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1.xml.rels" ContentType="application/vnd.openxmlformats-package.relationships+xml"/>
  <Override PartName="/word/_rels/document.xml.rels" ContentType="application/vnd.openxmlformats-package.relationships+xml"/>
  <Override PartName="/word/_rels/footer5.xml.rels" ContentType="application/vnd.openxmlformats-package.relationships+xml"/>
  <Override PartName="/word/_rels/footer8.xml.rels" ContentType="application/vnd.openxmlformats-package.relationships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gif" ContentType="image/gif"/>
  <Override PartName="/word/media/image3.png" ContentType="image/png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themeColor="text1" w:val="000000"/>
        </w:rPr>
      </w:pPr>
      <w:r>
        <w:rPr/>
        <w:drawing>
          <wp:inline distT="0" distB="0" distL="0" distR="0">
            <wp:extent cx="1627505" cy="18288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Bucharest University of Economic Studies</w:t>
      </w:r>
    </w:p>
    <w:p>
      <w:pPr>
        <w:pStyle w:val="Normal"/>
        <w:jc w:val="center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The Faculty of Economic Cybernetics, Statistics and Informatics</w:t>
      </w:r>
    </w:p>
    <w:p>
      <w:pPr>
        <w:pStyle w:val="Normal"/>
        <w:jc w:val="center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IT&amp;C Security Master</w:t>
      </w:r>
    </w:p>
    <w:p>
      <w:pPr>
        <w:pStyle w:val="Normal"/>
        <w:jc w:val="center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Title"/>
        <w:jc w:val="center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48"/>
          <w:szCs w:val="48"/>
        </w:rPr>
        <w:t>DISSERTATION THESIS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Coordinator</w:t>
      </w:r>
    </w:p>
    <w:p>
      <w:pPr>
        <w:pStyle w:val="Normal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Ph. D. Cristian TOMA</w:t>
      </w:r>
    </w:p>
    <w:p>
      <w:pPr>
        <w:pStyle w:val="Normal"/>
        <w:jc w:val="right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Graduate</w:t>
      </w:r>
    </w:p>
    <w:p>
      <w:pPr>
        <w:pStyle w:val="Normal"/>
        <w:jc w:val="right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Mihail Rareș NEDELCU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/>
      </w:r>
    </w:p>
    <w:p>
      <w:pPr>
        <w:pStyle w:val="Normal"/>
        <w:jc w:val="center"/>
        <w:rPr>
          <w:color w:themeColor="text1" w:val="000000"/>
        </w:rPr>
      </w:pPr>
      <w:r>
        <w:rPr/>
      </w:r>
    </w:p>
    <w:p>
      <w:pPr>
        <w:pStyle w:val="Normal"/>
        <w:jc w:val="center"/>
        <w:rPr>
          <w:color w:themeColor="text1" w:val="000000"/>
        </w:rPr>
      </w:pPr>
      <w:r>
        <w:rPr/>
      </w:r>
    </w:p>
    <w:p>
      <w:pPr>
        <w:pStyle w:val="Normal"/>
        <w:jc w:val="center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Bucharest</w:t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800" w:right="1800" w:gutter="0" w:header="0" w:top="1440" w:footer="1440" w:bottom="2023"/>
          <w:pgNumType w:fmt="decimal"/>
          <w:formProt w:val="false"/>
          <w:textDirection w:val="lrTb"/>
          <w:docGrid w:type="default" w:linePitch="360" w:charSpace="8192"/>
        </w:sectPr>
        <w:pStyle w:val="Normal"/>
        <w:jc w:val="center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2025</w:t>
      </w:r>
    </w:p>
    <w:p>
      <w:pPr>
        <w:pStyle w:val="Normal"/>
        <w:jc w:val="center"/>
        <w:rPr>
          <w:color w:themeColor="text1" w:val="000000"/>
        </w:rPr>
      </w:pPr>
      <w:r>
        <w:rPr/>
        <w:drawing>
          <wp:inline distT="0" distB="0" distL="0" distR="0">
            <wp:extent cx="1627505" cy="18288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Bucharest University of Economic Studies</w:t>
      </w:r>
    </w:p>
    <w:p>
      <w:pPr>
        <w:pStyle w:val="Normal"/>
        <w:jc w:val="center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The Faculty of Economic Cybernetics, Statistics and Informatics</w:t>
      </w:r>
    </w:p>
    <w:p>
      <w:pPr>
        <w:pStyle w:val="Normal"/>
        <w:jc w:val="center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IT&amp;C Security Master</w:t>
      </w:r>
    </w:p>
    <w:p>
      <w:pPr>
        <w:pStyle w:val="Normal"/>
        <w:jc w:val="center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Title"/>
        <w:jc w:val="center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48"/>
          <w:szCs w:val="48"/>
        </w:rPr>
        <w:t>E-VOTING APP BASED ON BLOCKCHAIN</w:t>
      </w:r>
    </w:p>
    <w:p>
      <w:pPr>
        <w:pStyle w:val="Normal"/>
        <w:jc w:val="center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DISSERTATION THESIS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Coordinator</w:t>
      </w:r>
    </w:p>
    <w:p>
      <w:pPr>
        <w:pStyle w:val="Normal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Ph. D. Cristian TOMA</w:t>
      </w:r>
    </w:p>
    <w:p>
      <w:pPr>
        <w:pStyle w:val="Normal"/>
        <w:jc w:val="right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Graduate</w:t>
      </w:r>
    </w:p>
    <w:p>
      <w:pPr>
        <w:pStyle w:val="Normal"/>
        <w:jc w:val="right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Mihail Rareș NEDELCU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jc w:val="center"/>
        <w:rPr>
          <w:color w:themeColor="text1" w:val="000000"/>
        </w:rPr>
      </w:pPr>
      <w:r>
        <w:rPr/>
      </w:r>
    </w:p>
    <w:p>
      <w:pPr>
        <w:pStyle w:val="Normal"/>
        <w:jc w:val="center"/>
        <w:rPr>
          <w:color w:themeColor="text1" w:val="000000"/>
        </w:rPr>
      </w:pPr>
      <w:r>
        <w:rPr/>
      </w:r>
    </w:p>
    <w:p>
      <w:pPr>
        <w:pStyle w:val="Normal"/>
        <w:jc w:val="center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Bucharest</w:t>
      </w:r>
    </w:p>
    <w:p>
      <w:pPr>
        <w:sectPr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417" w:right="1417" w:gutter="0" w:header="0" w:top="1417" w:footer="708" w:bottom="1417"/>
          <w:pgNumType w:fmt="decimal"/>
          <w:formProt w:val="false"/>
          <w:titlePg/>
          <w:textDirection w:val="lrTb"/>
          <w:docGrid w:type="default" w:linePitch="360" w:charSpace="8192"/>
        </w:sectPr>
        <w:pStyle w:val="Normal"/>
        <w:jc w:val="center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2025</w:t>
      </w:r>
      <w:r>
        <w:br w:type="page"/>
      </w:r>
    </w:p>
    <w:p>
      <w:pPr>
        <w:pStyle w:val="Normal"/>
        <w:spacing w:before="0" w:after="200"/>
        <w:jc w:val="center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Statement regarding the originality of the content</w:t>
      </w:r>
    </w:p>
    <w:p>
      <w:pPr>
        <w:pStyle w:val="Normal"/>
        <w:jc w:val="center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rPr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I hereby declare that the results presented in this paper are entirely the result of my own creation unless reference is made to the results of the other authors. I confirm that any material used from other sources (magazines, books, articles, and Internet sites) is clearly referenced in the paper and is indicated in the bibliographic reference list.</w:t>
      </w:r>
    </w:p>
    <w:p>
      <w:pPr>
        <w:sectPr>
          <w:footerReference w:type="even" r:id="rId10"/>
          <w:footerReference w:type="default" r:id="rId11"/>
          <w:footerReference w:type="first" r:id="rId12"/>
          <w:type w:val="nextPage"/>
          <w:pgSz w:w="11906" w:h="16838"/>
          <w:pgMar w:left="1417" w:right="1417" w:gutter="0" w:header="0" w:top="1417" w:footer="708" w:bottom="1414"/>
          <w:pgNumType w:fmt="decimal"/>
          <w:formProt w:val="false"/>
          <w:titlePg/>
          <w:textDirection w:val="lrTb"/>
          <w:docGrid w:type="default" w:linePitch="360" w:charSpace="8192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color w:themeColor="text1" w:val="000000"/>
            </w:rPr>
          </w:pPr>
          <w:r>
            <w:rPr>
              <w:color w:themeColor="text1" w:val="000000"/>
            </w:rPr>
            <w:t>Table of Contents</w:t>
          </w:r>
        </w:p>
        <w:p>
          <w:pPr>
            <w:pStyle w:val="TOC1"/>
            <w:tabs>
              <w:tab w:val="clear" w:pos="8640"/>
              <w:tab w:val="right" w:pos="9071" w:leader="dot"/>
            </w:tabs>
            <w:rPr>
              <w:color w:themeColor="text1" w:val="000000"/>
            </w:rPr>
          </w:pPr>
          <w:r>
            <w:fldChar w:fldCharType="begin"/>
          </w:r>
          <w:r>
            <w:rPr>
              <w:rStyle w:val="IndexLink"/>
              <w:color w:themeColor="text1" w:val="000000"/>
            </w:rPr>
            <w:instrText xml:space="preserve"> TOC \f \o "1-9" \h</w:instrText>
          </w:r>
          <w:r>
            <w:rPr>
              <w:rStyle w:val="IndexLink"/>
              <w:color w:themeColor="text1" w:val="000000"/>
            </w:rPr>
            <w:fldChar w:fldCharType="separate"/>
          </w:r>
          <w:hyperlink w:anchor="__RefHeading___Toc170_1677155948">
            <w:r>
              <w:rPr>
                <w:rStyle w:val="IndexLink"/>
                <w:color w:themeColor="text1" w:val="000000"/>
              </w:rPr>
              <w:t>References</w:t>
            </w:r>
            <w:r>
              <w:rPr>
                <w:rStyle w:val="IndexLink"/>
                <w:color w:themeColor="text1" w:val="000000"/>
              </w:rPr>
              <w:tab/>
              <w:t>5</w:t>
            </w:r>
          </w:hyperlink>
          <w:r>
            <w:rPr>
              <w:rStyle w:val="IndexLink"/>
              <w:color w:themeColor="text1" w:val="000000"/>
            </w:rPr>
            <w:fldChar w:fldCharType="end"/>
          </w:r>
        </w:p>
      </w:sdtContent>
    </w:sdt>
    <w:p>
      <w:pPr>
        <w:pStyle w:val="Normal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Heading1"/>
        <w:rPr>
          <w:color w:themeColor="text1" w:val="000000"/>
        </w:rPr>
      </w:pPr>
      <w:r>
        <w:rPr>
          <w:color w:themeColor="text1" w:val="000000"/>
        </w:rPr>
      </w:r>
      <w:r>
        <w:br w:type="page"/>
      </w:r>
    </w:p>
    <w:p>
      <w:pPr>
        <w:pStyle w:val="Heading1"/>
        <w:spacing w:before="0" w:after="0"/>
        <w:rPr>
          <w:color w:themeColor="text1" w:val="000000"/>
        </w:rPr>
      </w:pPr>
      <w:bookmarkStart w:id="0" w:name="__RefHeading___Toc170_1677155948"/>
      <w:bookmarkEnd w:id="0"/>
      <w:r>
        <w:rPr>
          <w:color w:themeColor="text1" w:val="000000"/>
        </w:rPr>
        <w:t>References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[1] L. Nai, M. Yu, L. Zhang and M. Fan, “A Secure Blockchain-Based Electronic Voting System,” *IEEE Access*, vol. 9, pp. 158406-158415, 2021.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[2] M. Ahmed and R. Arain, “Blockchain-Based E-Voting: A Comprehensive Review,” *Journal of Computer Networks and Communications*, vol. 2020, Article ID 4719654, 2020.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[3] A. Chaudhary, S. Gera, and N. Kumar, “Blockchain for Secure E-Voting Systems: A Survey,” *Computer Standards &amp; Interfaces*, vol. 82, p. 103616, 2022.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[4] Y. Tian et al., “A Facial Recognition System for Secure and Efficient Identity Verification,” *IEEE Transactions on Information Forensics and Security*, vol. 15, pp. 2541-2553, 2020.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[5] S. Das, N. Purohit, and P. Pande, “Blockchain-Enabled Secure Identity Verification in E-Voting,” in *Proc. 2021 IEEE Int. Conf. on Blockchain*, pp. 83–90.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[6] M. Ali, N. Raj, and T. P. Nandagopal, “A Study on Biometric and ID-based E-voting Systems,” *Journal of ICT Research and Applications*, vol. 15, no. 1, pp. 45-62, 2021.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[7] J. Benaloh, “Simple Verifiable Elections,” in *Proc. USENIX Security Symposium*, 2006.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[8] K. Sako and J. Kilian, “Receipt-Free Mix-Type Voting Scheme,” in *Advances in Cryptology — EUROCRYPT*, pp. 393–403, 1995.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[9] Z. Xia, X. Wang, and L. Xiong, “E-Voting Using Blockchain Technology,” *Future Generation Computer Systems*, vol. 120, pp. 65-78, 2021.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[10] A. Al-Bassam, “SCPKI: A Smart Contract-based PKI and Identity System,” in *Proc. ACM Workshop on Blockchain, Cryptocurrencies and Contracts*, 2017.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[11] R. Kshetri and J. Voas, “Blockchain-Enabled E-Voting,” *IEEE Software*, vol. 36, no. 4, pp. 95-99, 2019.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[12] T. Hardjono et al., “Votebook: A Proposal for a Blockchain Technology Framework for E-voting,” *MIT Connection Science Whitepaper*, 2018.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[13] A. Zyskind, O. Nathan, and A. Pentland, “Decentralizing Privacy: Using Blockchain to Protect Personal Data,” in *Proc. IEEE Security and Privacy Workshops*, 2015.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[14] E. Pour and J. Rabai, “A Survey of Blockchain-Based Voting Systems,” *Journal of Theoretical and Applied Information Technology*, vol. 99, no. 1, pp. 50–65, 2021.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[15] Y. Sun, Z. Yan, and Y. Wang, “Blockchain-based Identity Management Systems: A Review,” *Journal of Network and Computer Applications*, vol. 127, pp. 88–105, 2019.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[16] P. McCorry, S. F. Shahandashti, and F. Hao, “A Smart Contract for Boardroom Voting with Maximum Voter Privacy,” in *Proc. FC*, 2017.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[17] M. Pilkington, “Blockchain Technology: Principles and Applications,” in *Research Handbook on Digital Transformations*, Edward Elgar Publishing, 2016.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[18] Y. Zhang and J. Wen, “An IoT Electric Business Model Based on the Protocol of Bitcoin,” in *Proc. 18th Int. Conf. on Industrial Engineering and Engineering Management*, 2011.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[19] C. Dwork and M. Naor, “Pricing via Processing or Combatting Junk Mail,” in *CRYPTO 1992*, pp. 139–147.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[20] A. Kumar, “E-Voting System Using Blockchain Technology,” *International Journal of Computer Applications*, vol. 180, no. 38, pp. 12-18, 2018.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[21] V. Buterin, “A Next-Generation Smart Contract and Decentralized Application Platform,” *Ethereum White Paper*, 2013.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[22] M. Crosby, P. Pattanayak, S. Verma and V. Kalyanaraman, “Blockchain Technology: Beyond Bitcoin,” *Applied Innovation*, vol. 2, pp. 6-10, 2016.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[23] K. Fan, H. Wang, and Y. Yang, “Privacy-Preserving Smart Contracts with Public Verifiability,” *IEEE Transactions on Information Forensics and Security*, vol. 14, no. 10, pp. 2699-2713, 2019.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[24] L. Lamport, R. Shostak, and M. Pease, “The Byzantine Generals Problem,” *ACM Transactions on Programming Languages and Systems*, vol. 4, no. 3, pp. 382–401, 1982.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[25] T. Kim and S. Hong, “Secure and Transparent Blockchain-Based Voting System,” *IEEE Access*, vol. 9, pp. 95939–95950, 2021.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[26] A. Jain, A. Ross, and S. Prabhakar, “An Introduction to Biometric Recognition,” *IEEE Transactions on Circuits and Systems for Video Technology*, vol. 14, no. 1, pp. 4–20, 2004.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[27] M. Turk and A. Pentland, “Eigenfaces for Recognition,” *Journal of Cognitive Neuroscience*, vol. 3, no. 1, pp. 71–86, 1991.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[28] N. V. Boulgouris, K. N. Plataniotis, and D. Hatzinakos, “Gait Recognition: A Challenging Signal Processing Technology for Biometrics,” *EURASIP Journal on Advances in Signal Processing*, vol. 2004, no. 4, pp. 1–16.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[29] J. M. Alvarez, J. M. Recio, and S. de las Heras, “Secure Online Voting System with Identity Verification Based on Webcam,” in *Proc. 2014 Int. Conf. on E-democracy and E-government*, pp. 1-5.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[30] Y. Chen et al., “A Face Verification System Using Deep Learning for Secure Mobile Voting,” *IEEE Access*, vol. 8, pp. 136395–136405, 2020.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[31] A. Anjomshoaa, D. Duarte, D. Ren, S. Safaei, and C. C. Chung, “CityVotes: A Blockchain-Based Voting System for Smart Cities,” *Information*, vol. 11, no. 6, pp. 1–15, 2020.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[32] A. Riera and J. M. Riera, “A Framework for a Biometrically Controlled E-Voting System,” *Lecture Notes in Computer Science*, vol. 3645, pp. 130–139, 2005.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[33] M. A. Ferrer, J. Galbally, and J. Fierrez, “Privacy-Preserving Biometrics: A Review and Outlook,” *IEEE Signal Processing Magazine*, vol. 32, no. 5, pp. 146–153, 2015.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[34] G. Acquisti, L. Brandimarte, and G. Loewenstein, “Privacy and Human Behavior in the Age of Information,” *Science*, vol. 347, no. 6221, pp. 509–514, 2015.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[35] G. Kambourakis, D. Geneiatakis, and S. Gritzalis, “Securing E-Voting against Insider Threats,” *Computers &amp; Security*, vol. 26, no. 7–8, pp. 468–480, 2007.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[36] D. Chaum et al., “Scantegrity: End-to-End Voter-Verifiable Optical-Scan Voting,” *IEEE Security &amp; Privacy*, vol. 6, no. 3, pp. 40–46, 2008.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[37] C. Volkamer and M. Kirsten, “Usability of E-Voting Systems: State of the Art,” *Electronic Voting*, vol. 205, pp. 15–28, 2012.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[38] Estonian National Electoral Committee, “Estonia’s Internet Voting System,” 2022. [Online]. Available: https://www.valimised.ee/en/internet-voting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[39] A. Pereira, A. Ferreira, and J. Almeida, “eVoting with Blockchain and Facial Recognition: A Secure and Transparent System,” in *Proc. 2022 Int. Conf. on Intelligent Systems*, pp. 551–558.</w:t>
      </w:r>
    </w:p>
    <w:p>
      <w:pPr>
        <w:pStyle w:val="Normal"/>
        <w:spacing w:before="0" w:after="200"/>
        <w:rPr>
          <w:color w:themeColor="text1" w:val="000000"/>
        </w:rPr>
      </w:pPr>
      <w:r>
        <w:rPr>
          <w:color w:themeColor="text1" w:val="000000"/>
        </w:rPr>
        <w:t>[40] Microsoft, “Azure Face API,” 2024. [Online]. Available: https://azure.microsoft.com/en-us/services/cognitive-services/face/</w:t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1417" w:right="1417" w:gutter="0" w:header="0" w:top="1417" w:footer="708" w:bottom="1417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89752598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0" distB="0" distL="0" distR="0">
                  <wp:extent cx="5467350" cy="45085"/>
                  <wp:effectExtent l="114300" t="0" r="114300" b="0"/>
                  <wp:docPr id="5" name="Flowchart: Decision 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5467320" cy="45000"/>
                          </a:xfrm>
                          <a:prstGeom prst="flowChartDecision">
                            <a:avLst/>
                          </a:prstGeom>
                          <a:blipFill rotWithShape="0">
                            <a:blip r:embed="rId1"/>
                            <a:tile tx="0" ty="0" sx="100000" sy="100000" algn="tl"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 id="shape_0" ID="Flowchart: Decision 1" stroked="f" o:allowincell="f" style="position:absolute;margin-left:0pt;margin-top:-3.6pt;width:430.45pt;height:3.5pt;flip:y;mso-wrap-style:none;v-text-anchor:middle;mso-position-vertical:top" type="_x0000_t110">
                  <v:fill r:id="rId2" o:detectmouseclick="t" type="tile" color2="black"/>
                  <v:stroke color="#3465a4" joinstyle="round" endcap="flat"/>
                  <w10:wrap type="none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19664942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0" distB="0" distL="0" distR="0">
                  <wp:extent cx="5467350" cy="45085"/>
                  <wp:effectExtent l="114300" t="0" r="114300" b="0"/>
                  <wp:docPr id="3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5467320" cy="45000"/>
                          </a:xfrm>
                          <a:prstGeom prst="flowChartDecision">
                            <a:avLst/>
                          </a:prstGeom>
                          <a:blipFill rotWithShape="0">
                            <a:blip r:embed="rId1"/>
                            <a:tile tx="0" ty="0" sx="100000" sy="100000" algn="tl"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stroked="f" o:allowincell="f" style="position:absolute;margin-left:0pt;margin-top:-3.6pt;width:430.45pt;height:3.5pt;flip:y;mso-wrap-style:none;v-text-anchor:middle;mso-position-vertical:top" type="_x0000_t110">
                  <v:fill r:id="rId2" o:detectmouseclick="t" type="tile" color2="black"/>
                  <v:stroke color="#3465a4" joinstyle="round" endcap="flat"/>
                  <w10:wrap type="none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83399218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0" distB="0" distL="0" distR="0">
                  <wp:extent cx="5467350" cy="45085"/>
                  <wp:effectExtent l="114300" t="0" r="114300" b="0"/>
                  <wp:docPr id="4" name="Flowchart: Decision 2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5467320" cy="45000"/>
                          </a:xfrm>
                          <a:prstGeom prst="flowChartDecision">
                            <a:avLst/>
                          </a:prstGeom>
                          <a:blipFill rotWithShape="0">
                            <a:blip r:embed="rId1"/>
                            <a:tile tx="0" ty="0" sx="100000" sy="100000" algn="tl"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 id="shape_0" ID="Flowchart: Decision 2" stroked="f" o:allowincell="f" style="position:absolute;margin-left:0pt;margin-top:-3.6pt;width:430.45pt;height:3.5pt;flip:y;mso-wrap-style:none;v-text-anchor:middle;mso-position-vertical:top" type="_x0000_t110">
                  <v:fill r:id="rId2" o:detectmouseclick="t" type="tile" color2="black"/>
                  <v:stroke color="#3465a4" joinstyle="round" endcap="flat"/>
                  <w10:wrap type="none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OC1">
    <w:name w:val="toc 1"/>
    <w:basedOn w:val="Index"/>
    <w:pPr>
      <w:tabs>
        <w:tab w:val="clear" w:pos="720"/>
        <w:tab w:val="right" w:pos="8640" w:leader="dot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F81BD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C0504D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BBB59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8064A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BACC6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F79646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1.png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footer" Target="footer7.xml"/><Relationship Id="rId11" Type="http://schemas.openxmlformats.org/officeDocument/2006/relationships/footer" Target="footer8.xml"/><Relationship Id="rId12" Type="http://schemas.openxmlformats.org/officeDocument/2006/relationships/footer" Target="footer9.xml"/><Relationship Id="rId13" Type="http://schemas.openxmlformats.org/officeDocument/2006/relationships/footer" Target="footer10.xml"/><Relationship Id="rId14" Type="http://schemas.openxmlformats.org/officeDocument/2006/relationships/footer" Target="footer11.xml"/><Relationship Id="rId15" Type="http://schemas.openxmlformats.org/officeDocument/2006/relationships/footer" Target="footer1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footer11.xml.rels><?xml version="1.0" encoding="UTF-8"?>
<Relationships xmlns="http://schemas.openxmlformats.org/package/2006/relationships"><Relationship Id="rId1" Type="http://schemas.openxmlformats.org/officeDocument/2006/relationships/image" Target="media/image2.gif"/><Relationship Id="rId2" Type="http://schemas.openxmlformats.org/officeDocument/2006/relationships/image" Target="media/image3.png"/>
</Relationships>
</file>

<file path=word/_rels/footer5.xml.rels><?xml version="1.0" encoding="UTF-8"?>
<Relationships xmlns="http://schemas.openxmlformats.org/package/2006/relationships"><Relationship Id="rId1" Type="http://schemas.openxmlformats.org/officeDocument/2006/relationships/image" Target="media/image2.gif"/><Relationship Id="rId2" Type="http://schemas.openxmlformats.org/officeDocument/2006/relationships/image" Target="media/image3.png"/>
</Relationships>
</file>

<file path=word/_rels/footer8.xml.rels><?xml version="1.0" encoding="UTF-8"?>
<Relationships xmlns="http://schemas.openxmlformats.org/package/2006/relationships"><Relationship Id="rId1" Type="http://schemas.openxmlformats.org/officeDocument/2006/relationships/image" Target="media/image2.gif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LibreOffice/24.8.5.2$Linux_X86_64 LibreOffice_project/27b361b745d0ea8f99bc93dfcb7a39098dfa5fff</Application>
  <AppVersion>15.0000</AppVersion>
  <Pages>7</Pages>
  <Words>1067</Words>
  <Characters>6081</Characters>
  <CharactersWithSpaces>7061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2025-04-02T11:49:28Z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