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643B" w14:textId="77777777" w:rsidR="00607D19" w:rsidRDefault="00607D19">
      <w:pPr>
        <w:spacing w:before="2000"/>
      </w:pPr>
    </w:p>
    <w:p w14:paraId="7D43141B" w14:textId="0C980F5E" w:rsidR="00607D19" w:rsidRDefault="00BC58DB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 xml:space="preserve">DESIGN </w:t>
      </w:r>
      <w:r w:rsidR="00000000">
        <w:rPr>
          <w:b/>
          <w:bCs/>
          <w:color w:val="1F3864"/>
          <w:sz w:val="52"/>
          <w:szCs w:val="52"/>
        </w:rPr>
        <w:t>DOCUMENT</w:t>
      </w:r>
    </w:p>
    <w:p w14:paraId="420B2522" w14:textId="3E23328D" w:rsidR="00607D19" w:rsidRDefault="00BC58DB">
      <w:pPr>
        <w:spacing w:after="700"/>
        <w:jc w:val="center"/>
      </w:pPr>
      <w:r>
        <w:rPr>
          <w:b/>
          <w:bCs/>
          <w:sz w:val="34"/>
          <w:szCs w:val="34"/>
        </w:rPr>
        <w:t>AI CREATIVE MANAGEMENT SYSTEM</w:t>
      </w:r>
    </w:p>
    <w:tbl>
      <w:tblPr>
        <w:tblW w:w="900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8D0E0"/>
          <w:insideV w:val="single" w:sz="2" w:space="0" w:color="C8D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607D19" w14:paraId="70E02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C57E0" w14:textId="77777777" w:rsidR="00607D1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41400" w14:textId="77777777" w:rsidR="00607D1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607D19" w14:paraId="2EFB2E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924F0" w14:textId="77777777" w:rsidR="00607D19" w:rsidRDefault="00000000">
            <w:r>
              <w:rPr>
                <w:b/>
                <w:bCs/>
                <w:color w:val="000000"/>
                <w:sz w:val="19"/>
                <w:szCs w:val="19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AF80E" w14:textId="77777777" w:rsidR="00607D19" w:rsidRDefault="00000000">
            <w:r>
              <w:rPr>
                <w:color w:val="000000"/>
                <w:sz w:val="19"/>
                <w:szCs w:val="19"/>
              </w:rPr>
              <w:t>Flowchart Document — AI Digital Marketing Automation Platform</w:t>
            </w:r>
          </w:p>
        </w:tc>
      </w:tr>
      <w:tr w:rsidR="00607D19" w14:paraId="16F4CA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E9A98" w14:textId="77777777" w:rsidR="00607D19" w:rsidRDefault="00000000">
            <w:r>
              <w:rPr>
                <w:b/>
                <w:bCs/>
                <w:color w:val="000000"/>
                <w:sz w:val="19"/>
                <w:szCs w:val="19"/>
              </w:rPr>
              <w:t>Document Version</w:t>
            </w:r>
          </w:p>
        </w:tc>
        <w:tc>
          <w:tcPr>
            <w:tcW w:w="6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DC03E" w14:textId="77777777" w:rsidR="00607D19" w:rsidRDefault="00000000">
            <w:r>
              <w:rPr>
                <w:color w:val="000000"/>
                <w:sz w:val="19"/>
                <w:szCs w:val="19"/>
              </w:rPr>
              <w:t>1.0</w:t>
            </w:r>
          </w:p>
        </w:tc>
      </w:tr>
      <w:tr w:rsidR="00607D19" w14:paraId="344852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14276" w14:textId="77777777" w:rsidR="00607D19" w:rsidRDefault="00000000">
            <w:r>
              <w:rPr>
                <w:b/>
                <w:bCs/>
                <w:color w:val="000000"/>
                <w:sz w:val="19"/>
                <w:szCs w:val="19"/>
              </w:rPr>
              <w:t>Document Status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F90F1" w14:textId="675710E7" w:rsidR="00607D19" w:rsidRDefault="00000000">
            <w:r>
              <w:rPr>
                <w:color w:val="000000"/>
                <w:sz w:val="19"/>
                <w:szCs w:val="19"/>
              </w:rPr>
              <w:t>Draft for Revie</w:t>
            </w:r>
          </w:p>
        </w:tc>
      </w:tr>
      <w:tr w:rsidR="00607D19" w14:paraId="5364A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F6536" w14:textId="77777777" w:rsidR="00607D19" w:rsidRDefault="00000000">
            <w:r>
              <w:rPr>
                <w:b/>
                <w:bCs/>
                <w:color w:val="000000"/>
                <w:sz w:val="19"/>
                <w:szCs w:val="19"/>
              </w:rPr>
              <w:t>Companion Documents</w:t>
            </w:r>
          </w:p>
        </w:tc>
        <w:tc>
          <w:tcPr>
            <w:tcW w:w="6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AB7A9" w14:textId="77777777" w:rsidR="00607D19" w:rsidRDefault="00000000">
            <w:r>
              <w:rPr>
                <w:color w:val="000000"/>
                <w:sz w:val="19"/>
                <w:szCs w:val="19"/>
              </w:rPr>
              <w:t>SRS v1.0 · Product Development Plan v1.0 · Software Design Document v1.0</w:t>
            </w:r>
          </w:p>
        </w:tc>
      </w:tr>
      <w:tr w:rsidR="00607D19" w14:paraId="573E18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08ACB" w14:textId="77777777" w:rsidR="00607D19" w:rsidRDefault="00000000">
            <w:r>
              <w:rPr>
                <w:b/>
                <w:bCs/>
                <w:color w:val="000000"/>
                <w:sz w:val="19"/>
                <w:szCs w:val="19"/>
              </w:rPr>
              <w:t>Contents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97946" w14:textId="77777777" w:rsidR="00607D19" w:rsidRDefault="00000000">
            <w:r>
              <w:rPr>
                <w:color w:val="000000"/>
                <w:sz w:val="19"/>
                <w:szCs w:val="19"/>
              </w:rPr>
              <w:t>13 flowcharts covering every business process and state machine in the product</w:t>
            </w:r>
          </w:p>
        </w:tc>
      </w:tr>
      <w:tr w:rsidR="00607D19" w14:paraId="6E75C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43DD9" w14:textId="77777777" w:rsidR="00607D19" w:rsidRDefault="00000000">
            <w:r>
              <w:rPr>
                <w:b/>
                <w:bCs/>
                <w:color w:val="000000"/>
                <w:sz w:val="19"/>
                <w:szCs w:val="19"/>
              </w:rPr>
              <w:t>Prepared For</w:t>
            </w:r>
          </w:p>
        </w:tc>
        <w:tc>
          <w:tcPr>
            <w:tcW w:w="6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56162" w14:textId="669031D9" w:rsidR="00607D19" w:rsidRDefault="00000000" w:rsidP="00BC58DB">
            <w:pPr>
              <w:tabs>
                <w:tab w:val="right" w:pos="6420"/>
              </w:tabs>
            </w:pPr>
            <w:r>
              <w:rPr>
                <w:color w:val="000000"/>
                <w:sz w:val="19"/>
                <w:szCs w:val="19"/>
              </w:rPr>
              <w:t>Product Development Team</w:t>
            </w:r>
          </w:p>
        </w:tc>
      </w:tr>
      <w:tr w:rsidR="00607D19" w14:paraId="27E62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CB0CB" w14:textId="77777777" w:rsidR="00607D19" w:rsidRDefault="00000000">
            <w:r>
              <w:rPr>
                <w:b/>
                <w:bCs/>
                <w:color w:val="000000"/>
                <w:sz w:val="19"/>
                <w:szCs w:val="19"/>
              </w:rPr>
              <w:t>Audience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72A7E" w14:textId="77777777" w:rsidR="00607D19" w:rsidRDefault="00000000">
            <w:r>
              <w:rPr>
                <w:color w:val="000000"/>
                <w:sz w:val="19"/>
                <w:szCs w:val="19"/>
              </w:rPr>
              <w:t>Developers, QA, Product Owner, and the client during walkthroughs</w:t>
            </w:r>
          </w:p>
        </w:tc>
      </w:tr>
    </w:tbl>
    <w:p w14:paraId="427225D4" w14:textId="77777777" w:rsidR="00607D19" w:rsidRDefault="00607D19">
      <w:pPr>
        <w:pageBreakBefore/>
      </w:pPr>
    </w:p>
    <w:p w14:paraId="30221986" w14:textId="77777777" w:rsidR="00607D19" w:rsidRDefault="00000000">
      <w:pPr>
        <w:pStyle w:val="Heading1"/>
        <w:spacing w:before="200" w:after="140"/>
      </w:pPr>
      <w:r>
        <w:rPr>
          <w:b/>
          <w:bCs/>
          <w:color w:val="1F3864"/>
          <w:sz w:val="30"/>
          <w:szCs w:val="30"/>
        </w:rPr>
        <w:t>1. About this Document</w:t>
      </w:r>
    </w:p>
    <w:p w14:paraId="2739E58D" w14:textId="77777777" w:rsidR="00607D19" w:rsidRDefault="00000000">
      <w:pPr>
        <w:spacing w:after="120" w:line="276" w:lineRule="auto"/>
      </w:pPr>
      <w:r>
        <w:rPr>
          <w:color w:val="000000"/>
        </w:rPr>
        <w:t>This document collects every process flow and state machine defined for the AI Digital Marketing Automation Platform into one place, drawn as flowcharts rather than described in prose.</w:t>
      </w:r>
    </w:p>
    <w:p w14:paraId="73280AB7" w14:textId="77777777" w:rsidR="00607D19" w:rsidRDefault="00000000">
      <w:pPr>
        <w:spacing w:after="120" w:line="276" w:lineRule="auto"/>
      </w:pPr>
      <w:r>
        <w:rPr>
          <w:color w:val="000000"/>
        </w:rPr>
        <w:t>It is a companion to the Software Design Document, not a replacement for it. The SDD explains why each step exists and what data it touches; this document shows the sequence and the decision points at a glance. It is intended for three uses: walking a client through how the product will behave, briefing a developer before they build a module, and giving QA the decision branches that need test coverage.</w:t>
      </w:r>
    </w:p>
    <w:p w14:paraId="62300D08" w14:textId="77777777" w:rsidR="00607D19" w:rsidRDefault="00000000">
      <w:pPr>
        <w:spacing w:after="120" w:line="276" w:lineRule="auto"/>
      </w:pPr>
      <w:r>
        <w:rPr>
          <w:color w:val="000000"/>
        </w:rPr>
        <w:t>Every flowchart carries a reference to the requirement identifiers in the SRS and the section of the SDD that specifies it, so any box on any chart can be traced back to a written requirement.</w:t>
      </w:r>
    </w:p>
    <w:p w14:paraId="6870E42A" w14:textId="77777777" w:rsidR="00607D19" w:rsidRDefault="00000000">
      <w:pPr>
        <w:pStyle w:val="Heading2"/>
        <w:spacing w:before="240" w:after="110"/>
      </w:pPr>
      <w:r>
        <w:rPr>
          <w:b/>
          <w:bCs/>
          <w:color w:val="2E5496"/>
          <w:sz w:val="25"/>
          <w:szCs w:val="25"/>
        </w:rPr>
        <w:t>1.1 Symbol Legend</w:t>
      </w:r>
    </w:p>
    <w:p w14:paraId="4DEE0D8D" w14:textId="77777777" w:rsidR="00607D19" w:rsidRDefault="00000000">
      <w:pPr>
        <w:spacing w:after="120" w:line="276" w:lineRule="auto"/>
      </w:pPr>
      <w:r>
        <w:rPr>
          <w:color w:val="000000"/>
        </w:rPr>
        <w:t>The same visual convention is used on every chart.</w:t>
      </w:r>
    </w:p>
    <w:tbl>
      <w:tblPr>
        <w:tblW w:w="900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8D0E0"/>
          <w:insideV w:val="single" w:sz="2" w:space="0" w:color="C8D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07D19" w14:paraId="466B2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AC273" w14:textId="77777777" w:rsidR="00607D19" w:rsidRDefault="00000000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6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282A8" w14:textId="77777777" w:rsidR="00607D1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607D19" w14:paraId="399295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B66D9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Dark blue rounded box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5469C" w14:textId="77777777" w:rsidR="00607D19" w:rsidRDefault="00000000">
            <w:r>
              <w:rPr>
                <w:color w:val="000000"/>
                <w:sz w:val="18"/>
                <w:szCs w:val="18"/>
              </w:rPr>
              <w:t>Start or end point of the flow</w:t>
            </w:r>
          </w:p>
        </w:tc>
      </w:tr>
      <w:tr w:rsidR="00607D19" w14:paraId="5C6FDB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BBB77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Light blue rounded box</w:t>
            </w:r>
          </w:p>
        </w:tc>
        <w:tc>
          <w:tcPr>
            <w:tcW w:w="6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393F4" w14:textId="77777777" w:rsidR="00607D19" w:rsidRDefault="00000000">
            <w:r>
              <w:rPr>
                <w:color w:val="000000"/>
                <w:sz w:val="18"/>
                <w:szCs w:val="18"/>
              </w:rPr>
              <w:t>A process step performed by the system or a user</w:t>
            </w:r>
          </w:p>
        </w:tc>
      </w:tr>
      <w:tr w:rsidR="00607D19" w14:paraId="2CF006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B1BC4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Amber diamond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51694" w14:textId="77777777" w:rsidR="00607D19" w:rsidRDefault="00000000">
            <w:r>
              <w:rPr>
                <w:color w:val="000000"/>
                <w:sz w:val="18"/>
                <w:szCs w:val="18"/>
              </w:rPr>
              <w:t>A decision point; every outgoing arrow is labelled with its condition</w:t>
            </w:r>
          </w:p>
        </w:tc>
      </w:tr>
      <w:tr w:rsidR="00607D19" w14:paraId="48DF8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93B4D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Green box</w:t>
            </w:r>
          </w:p>
        </w:tc>
        <w:tc>
          <w:tcPr>
            <w:tcW w:w="6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4C327" w14:textId="77777777" w:rsidR="00607D19" w:rsidRDefault="00000000">
            <w:r>
              <w:rPr>
                <w:color w:val="000000"/>
                <w:sz w:val="18"/>
                <w:szCs w:val="18"/>
              </w:rPr>
              <w:t>A successful or committed outcome</w:t>
            </w:r>
          </w:p>
        </w:tc>
      </w:tr>
      <w:tr w:rsidR="00607D19" w14:paraId="416646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52F0A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Red box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A5F4A" w14:textId="77777777" w:rsidR="00607D19" w:rsidRDefault="00000000">
            <w:r>
              <w:rPr>
                <w:color w:val="000000"/>
                <w:sz w:val="18"/>
                <w:szCs w:val="18"/>
              </w:rPr>
              <w:t>A failure, blocked path, or exception route</w:t>
            </w:r>
          </w:p>
        </w:tc>
      </w:tr>
      <w:tr w:rsidR="00607D19" w14:paraId="69B77B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74020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Purple 3D box</w:t>
            </w:r>
          </w:p>
        </w:tc>
        <w:tc>
          <w:tcPr>
            <w:tcW w:w="6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3BE47" w14:textId="77777777" w:rsidR="00607D19" w:rsidRDefault="00000000">
            <w:r>
              <w:rPr>
                <w:color w:val="000000"/>
                <w:sz w:val="18"/>
                <w:szCs w:val="18"/>
              </w:rPr>
              <w:t>A call to an external service — AI provider, social platform, WhatsApp or email</w:t>
            </w:r>
          </w:p>
        </w:tc>
      </w:tr>
      <w:tr w:rsidR="00607D19" w14:paraId="77ED87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B3D7E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Cylinder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2D4E1" w14:textId="77777777" w:rsidR="00607D19" w:rsidRDefault="00000000">
            <w:r>
              <w:rPr>
                <w:color w:val="000000"/>
                <w:sz w:val="18"/>
                <w:szCs w:val="18"/>
              </w:rPr>
              <w:t>A database or storage write</w:t>
            </w:r>
          </w:p>
        </w:tc>
      </w:tr>
      <w:tr w:rsidR="00607D19" w14:paraId="281E5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2181A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Teal box</w:t>
            </w:r>
          </w:p>
        </w:tc>
        <w:tc>
          <w:tcPr>
            <w:tcW w:w="6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3902A" w14:textId="77777777" w:rsidR="00607D19" w:rsidRDefault="00000000">
            <w:r>
              <w:rPr>
                <w:color w:val="000000"/>
                <w:sz w:val="18"/>
                <w:szCs w:val="18"/>
              </w:rPr>
              <w:t>A queued or scheduled background operation</w:t>
            </w:r>
          </w:p>
        </w:tc>
      </w:tr>
      <w:tr w:rsidR="00607D19" w14:paraId="1F8AAF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94DC3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Dashed arrow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9053C" w14:textId="77777777" w:rsidR="00607D19" w:rsidRDefault="00000000">
            <w:r>
              <w:rPr>
                <w:color w:val="000000"/>
                <w:sz w:val="18"/>
                <w:szCs w:val="18"/>
              </w:rPr>
              <w:t>A data dependency rather than a sequential step</w:t>
            </w:r>
          </w:p>
        </w:tc>
      </w:tr>
    </w:tbl>
    <w:p w14:paraId="26689BE5" w14:textId="77777777" w:rsidR="00607D19" w:rsidRDefault="00000000">
      <w:pPr>
        <w:pStyle w:val="Heading2"/>
        <w:spacing w:before="240" w:after="110"/>
      </w:pPr>
      <w:r>
        <w:rPr>
          <w:b/>
          <w:bCs/>
          <w:color w:val="2E5496"/>
          <w:sz w:val="25"/>
          <w:szCs w:val="25"/>
        </w:rPr>
        <w:t>1.2 Index of Flowcharts</w:t>
      </w:r>
    </w:p>
    <w:tbl>
      <w:tblPr>
        <w:tblW w:w="900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8D0E0"/>
          <w:insideV w:val="single" w:sz="2" w:space="0" w:color="C8D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4400"/>
      </w:tblGrid>
      <w:tr w:rsidR="00607D19" w14:paraId="704FFE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17490" w14:textId="77777777" w:rsidR="00607D19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18006" w14:textId="77777777" w:rsidR="00607D19" w:rsidRDefault="00000000">
            <w:r>
              <w:rPr>
                <w:b/>
                <w:bCs/>
                <w:color w:val="FFFFFF"/>
                <w:sz w:val="17"/>
                <w:szCs w:val="17"/>
              </w:rPr>
              <w:t>Flowchart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91324" w14:textId="77777777" w:rsidR="00607D19" w:rsidRDefault="00000000">
            <w:r>
              <w:rPr>
                <w:b/>
                <w:bCs/>
                <w:color w:val="FFFFFF"/>
                <w:sz w:val="17"/>
                <w:szCs w:val="17"/>
              </w:rPr>
              <w:t>Traces to</w:t>
            </w:r>
          </w:p>
        </w:tc>
      </w:tr>
      <w:tr w:rsidR="00607D19" w14:paraId="3E35FF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4D449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F-01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0D69B" w14:textId="77777777" w:rsidR="00607D19" w:rsidRDefault="00000000">
            <w:r>
              <w:rPr>
                <w:color w:val="000000"/>
                <w:sz w:val="17"/>
                <w:szCs w:val="17"/>
              </w:rPr>
              <w:t>Master System Flow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5A2DE" w14:textId="77777777" w:rsidR="00607D19" w:rsidRDefault="00000000">
            <w:r>
              <w:rPr>
                <w:color w:val="000000"/>
                <w:sz w:val="17"/>
                <w:szCs w:val="17"/>
              </w:rPr>
              <w:t>SRS §10 · SDD §8</w:t>
            </w:r>
          </w:p>
        </w:tc>
      </w:tr>
      <w:tr w:rsidR="00607D19" w14:paraId="6EC880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799B4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F-02</w:t>
            </w:r>
          </w:p>
        </w:tc>
        <w:tc>
          <w:tcPr>
            <w:tcW w:w="3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05666" w14:textId="77777777" w:rsidR="00607D19" w:rsidRDefault="00000000">
            <w:r>
              <w:rPr>
                <w:color w:val="000000"/>
                <w:sz w:val="17"/>
                <w:szCs w:val="17"/>
              </w:rPr>
              <w:t>Authentication and Login Flow</w:t>
            </w:r>
          </w:p>
        </w:tc>
        <w:tc>
          <w:tcPr>
            <w:tcW w:w="4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F4FE4" w14:textId="77777777" w:rsidR="00607D19" w:rsidRDefault="00000000">
            <w:r>
              <w:rPr>
                <w:color w:val="000000"/>
                <w:sz w:val="17"/>
                <w:szCs w:val="17"/>
              </w:rPr>
              <w:t>FR-ADM-001, FR-CLT-002 · SDD §5.1</w:t>
            </w:r>
          </w:p>
        </w:tc>
      </w:tr>
      <w:tr w:rsidR="00607D19" w14:paraId="5A9655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BCC7F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F-03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0EA32" w14:textId="77777777" w:rsidR="00607D19" w:rsidRDefault="00000000">
            <w:r>
              <w:rPr>
                <w:color w:val="000000"/>
                <w:sz w:val="17"/>
                <w:szCs w:val="17"/>
              </w:rPr>
              <w:t>Company Onboarding Flow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553A3" w14:textId="77777777" w:rsidR="00607D19" w:rsidRDefault="00000000">
            <w:r>
              <w:rPr>
                <w:color w:val="000000"/>
                <w:sz w:val="17"/>
                <w:szCs w:val="17"/>
              </w:rPr>
              <w:t>SRS §10.1, FR-CMP-001, FR-BRD-001, FR-CLT-001 · SDD §8.1</w:t>
            </w:r>
          </w:p>
        </w:tc>
      </w:tr>
      <w:tr w:rsidR="00607D19" w14:paraId="0E52CC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8CBF4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F-04</w:t>
            </w:r>
          </w:p>
        </w:tc>
        <w:tc>
          <w:tcPr>
            <w:tcW w:w="3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52463" w14:textId="77777777" w:rsidR="00607D19" w:rsidRDefault="00000000">
            <w:r>
              <w:rPr>
                <w:color w:val="000000"/>
                <w:sz w:val="17"/>
                <w:szCs w:val="17"/>
              </w:rPr>
              <w:t>Content Calendar Excel Import Flow</w:t>
            </w:r>
          </w:p>
        </w:tc>
        <w:tc>
          <w:tcPr>
            <w:tcW w:w="4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1AE27" w14:textId="77777777" w:rsidR="00607D19" w:rsidRDefault="00000000">
            <w:r>
              <w:rPr>
                <w:color w:val="000000"/>
                <w:sz w:val="17"/>
                <w:szCs w:val="17"/>
              </w:rPr>
              <w:t>FR-CAL-002, FR-CAL-003 · SDD §5.5</w:t>
            </w:r>
          </w:p>
        </w:tc>
      </w:tr>
      <w:tr w:rsidR="00607D19" w14:paraId="7F2BFA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AD538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F-05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27405" w14:textId="77777777" w:rsidR="00607D19" w:rsidRDefault="00000000">
            <w:r>
              <w:rPr>
                <w:color w:val="000000"/>
                <w:sz w:val="17"/>
                <w:szCs w:val="17"/>
              </w:rPr>
              <w:t>AI Creative Generation Flow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9EA3E" w14:textId="77777777" w:rsidR="00607D19" w:rsidRDefault="00000000">
            <w:r>
              <w:rPr>
                <w:color w:val="000000"/>
                <w:sz w:val="17"/>
                <w:szCs w:val="17"/>
              </w:rPr>
              <w:t>SRS §10.3, FR-AI-001 to FR-AI-008 · SDD §5.6, §9</w:t>
            </w:r>
          </w:p>
        </w:tc>
      </w:tr>
      <w:tr w:rsidR="00607D19" w14:paraId="4113ED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55A77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F-06</w:t>
            </w:r>
          </w:p>
        </w:tc>
        <w:tc>
          <w:tcPr>
            <w:tcW w:w="3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C6C75" w14:textId="77777777" w:rsidR="00607D19" w:rsidRDefault="00000000">
            <w:r>
              <w:rPr>
                <w:color w:val="000000"/>
                <w:sz w:val="17"/>
                <w:szCs w:val="17"/>
              </w:rPr>
              <w:t>AI Video Generation Flow</w:t>
            </w:r>
          </w:p>
        </w:tc>
        <w:tc>
          <w:tcPr>
            <w:tcW w:w="4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9AD8D" w14:textId="77777777" w:rsidR="00607D19" w:rsidRDefault="00000000">
            <w:r>
              <w:rPr>
                <w:color w:val="000000"/>
                <w:sz w:val="17"/>
                <w:szCs w:val="17"/>
              </w:rPr>
              <w:t>FR-VID-001 to FR-VID-006 · SDD §5.7</w:t>
            </w:r>
          </w:p>
        </w:tc>
      </w:tr>
      <w:tr w:rsidR="00607D19" w14:paraId="06333A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6CFC6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F-07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DAC7B" w14:textId="77777777" w:rsidR="00607D19" w:rsidRDefault="00000000">
            <w:r>
              <w:rPr>
                <w:color w:val="000000"/>
                <w:sz w:val="17"/>
                <w:szCs w:val="17"/>
              </w:rPr>
              <w:t>Client Approval and Regeneration Flow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EC472" w14:textId="77777777" w:rsidR="00607D19" w:rsidRDefault="00000000">
            <w:r>
              <w:rPr>
                <w:color w:val="000000"/>
                <w:sz w:val="17"/>
                <w:szCs w:val="17"/>
              </w:rPr>
              <w:t>SRS §10.4, FR-APR-001 to FR-APR-005 · SDD §5.8</w:t>
            </w:r>
          </w:p>
        </w:tc>
      </w:tr>
      <w:tr w:rsidR="00607D19" w14:paraId="6DF45A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75E44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F-08</w:t>
            </w:r>
          </w:p>
        </w:tc>
        <w:tc>
          <w:tcPr>
            <w:tcW w:w="3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851E3" w14:textId="77777777" w:rsidR="00607D19" w:rsidRDefault="00000000">
            <w:r>
              <w:rPr>
                <w:color w:val="000000"/>
                <w:sz w:val="17"/>
                <w:szCs w:val="17"/>
              </w:rPr>
              <w:t>Publishing Flow with Retry Handling</w:t>
            </w:r>
          </w:p>
        </w:tc>
        <w:tc>
          <w:tcPr>
            <w:tcW w:w="4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A3C9E" w14:textId="77777777" w:rsidR="00607D19" w:rsidRDefault="00000000">
            <w:r>
              <w:rPr>
                <w:color w:val="000000"/>
                <w:sz w:val="17"/>
                <w:szCs w:val="17"/>
              </w:rPr>
              <w:t>SRS §10.5, FR-PUB-001 to FR-PUB-005 · SDD §5.9</w:t>
            </w:r>
          </w:p>
        </w:tc>
      </w:tr>
      <w:tr w:rsidR="00607D19" w14:paraId="5AF8C4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B30B2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F-09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7FC33" w14:textId="77777777" w:rsidR="00607D19" w:rsidRDefault="00000000">
            <w:r>
              <w:rPr>
                <w:color w:val="000000"/>
                <w:sz w:val="17"/>
                <w:szCs w:val="17"/>
              </w:rPr>
              <w:t>Social Account Connection and Token Lifecycle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2FAB4" w14:textId="77777777" w:rsidR="00607D19" w:rsidRDefault="00000000">
            <w:r>
              <w:rPr>
                <w:color w:val="000000"/>
                <w:sz w:val="17"/>
                <w:szCs w:val="17"/>
              </w:rPr>
              <w:t>FR-SOC-001 to FR-SOC-003, FR-SOC-006 · SDD §5.10, §10.3</w:t>
            </w:r>
          </w:p>
        </w:tc>
      </w:tr>
      <w:tr w:rsidR="00607D19" w14:paraId="29D0F6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4A388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F-10</w:t>
            </w:r>
          </w:p>
        </w:tc>
        <w:tc>
          <w:tcPr>
            <w:tcW w:w="3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26510" w14:textId="77777777" w:rsidR="00607D19" w:rsidRDefault="00000000">
            <w:r>
              <w:rPr>
                <w:color w:val="000000"/>
                <w:sz w:val="17"/>
                <w:szCs w:val="17"/>
              </w:rPr>
              <w:t>Notification Dispatch Flow</w:t>
            </w:r>
          </w:p>
        </w:tc>
        <w:tc>
          <w:tcPr>
            <w:tcW w:w="4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BC352" w14:textId="77777777" w:rsidR="00607D19" w:rsidRDefault="00000000">
            <w:r>
              <w:rPr>
                <w:color w:val="000000"/>
                <w:sz w:val="17"/>
                <w:szCs w:val="17"/>
              </w:rPr>
              <w:t>FR-NOT-001 to FR-NOT-005, FR-WA-003 to FR-WA-008 · SDD §5.11, §5.12</w:t>
            </w:r>
          </w:p>
        </w:tc>
      </w:tr>
      <w:tr w:rsidR="00607D19" w14:paraId="2F7A45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08B25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F-11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6DC30" w14:textId="77777777" w:rsidR="00607D19" w:rsidRDefault="00000000">
            <w:r>
              <w:rPr>
                <w:color w:val="000000"/>
                <w:sz w:val="17"/>
                <w:szCs w:val="17"/>
              </w:rPr>
              <w:t>Analytics Collection and Reporting Flow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9FDCB" w14:textId="77777777" w:rsidR="00607D19" w:rsidRDefault="00000000">
            <w:r>
              <w:rPr>
                <w:color w:val="000000"/>
                <w:sz w:val="17"/>
                <w:szCs w:val="17"/>
              </w:rPr>
              <w:t>SRS §10.6, FR-ANL-001 to FR-ANL-007, FR-REP-001 to FR-REP-005 · SDD §5.13, §5.14</w:t>
            </w:r>
          </w:p>
        </w:tc>
      </w:tr>
      <w:tr w:rsidR="00607D19" w14:paraId="0B50CE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E1B1D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F-12</w:t>
            </w:r>
          </w:p>
        </w:tc>
        <w:tc>
          <w:tcPr>
            <w:tcW w:w="38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2C9A1" w14:textId="77777777" w:rsidR="00607D19" w:rsidRDefault="00000000">
            <w:r>
              <w:rPr>
                <w:color w:val="000000"/>
                <w:sz w:val="17"/>
                <w:szCs w:val="17"/>
              </w:rPr>
              <w:t>Subscription Lifecycle (State Diagram)</w:t>
            </w:r>
          </w:p>
        </w:tc>
        <w:tc>
          <w:tcPr>
            <w:tcW w:w="4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DF1C5" w14:textId="77777777" w:rsidR="00607D19" w:rsidRDefault="00000000">
            <w:r>
              <w:rPr>
                <w:color w:val="000000"/>
                <w:sz w:val="17"/>
                <w:szCs w:val="17"/>
              </w:rPr>
              <w:t>SRS §26 · SDD §5.15</w:t>
            </w:r>
          </w:p>
        </w:tc>
      </w:tr>
      <w:tr w:rsidR="00607D19" w14:paraId="74604A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F67C4" w14:textId="77777777" w:rsidR="00607D19" w:rsidRDefault="00000000">
            <w:r>
              <w:rPr>
                <w:b/>
                <w:bCs/>
                <w:color w:val="000000"/>
                <w:sz w:val="17"/>
                <w:szCs w:val="17"/>
              </w:rPr>
              <w:t>F-13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CA1C2" w14:textId="77777777" w:rsidR="00607D19" w:rsidRDefault="00000000">
            <w:r>
              <w:rPr>
                <w:color w:val="000000"/>
                <w:sz w:val="17"/>
                <w:szCs w:val="17"/>
              </w:rPr>
              <w:t>Content Item State Diagram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65FA7" w14:textId="77777777" w:rsidR="00607D19" w:rsidRDefault="00000000">
            <w:r>
              <w:rPr>
                <w:color w:val="000000"/>
                <w:sz w:val="17"/>
                <w:szCs w:val="17"/>
              </w:rPr>
              <w:t>SDD §5.5, §5.8, §5.9</w:t>
            </w:r>
          </w:p>
        </w:tc>
      </w:tr>
    </w:tbl>
    <w:p w14:paraId="2D21AE94" w14:textId="77777777" w:rsidR="00607D19" w:rsidRDefault="00000000">
      <w:pPr>
        <w:pStyle w:val="Heading2"/>
        <w:spacing w:before="240" w:after="110"/>
      </w:pPr>
      <w:r>
        <w:rPr>
          <w:b/>
          <w:bCs/>
          <w:color w:val="2E5496"/>
          <w:sz w:val="25"/>
          <w:szCs w:val="25"/>
        </w:rPr>
        <w:t>1.3 How the Flows Fit Together</w:t>
      </w:r>
    </w:p>
    <w:p w14:paraId="00332808" w14:textId="77777777" w:rsidR="00607D19" w:rsidRDefault="00000000">
      <w:pPr>
        <w:spacing w:after="120" w:line="276" w:lineRule="auto"/>
      </w:pPr>
      <w:r>
        <w:rPr>
          <w:color w:val="000000"/>
        </w:rPr>
        <w:lastRenderedPageBreak/>
        <w:t>F-01 is the master flow: it shows the seven phases the product moves through, and each remaining chart expands one of them. Read F-01 first, then read the detail chart for whichever phase you are working on.</w:t>
      </w:r>
    </w:p>
    <w:tbl>
      <w:tblPr>
        <w:tblW w:w="900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8D0E0"/>
          <w:insideV w:val="single" w:sz="2" w:space="0" w:color="C8D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07D19" w14:paraId="34355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35A3A" w14:textId="77777777" w:rsidR="00607D19" w:rsidRDefault="00000000">
            <w:r>
              <w:rPr>
                <w:b/>
                <w:bCs/>
                <w:color w:val="FFFFFF"/>
                <w:sz w:val="18"/>
                <w:szCs w:val="18"/>
              </w:rPr>
              <w:t>Phase in F-01</w:t>
            </w:r>
          </w:p>
        </w:tc>
        <w:tc>
          <w:tcPr>
            <w:tcW w:w="6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93A10" w14:textId="77777777" w:rsidR="00607D1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 flowcharts</w:t>
            </w:r>
          </w:p>
        </w:tc>
      </w:tr>
      <w:tr w:rsidR="00607D19" w14:paraId="5A4CF6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89423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1. Company onboarding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7F774" w14:textId="77777777" w:rsidR="00607D19" w:rsidRDefault="00000000">
            <w:r>
              <w:rPr>
                <w:color w:val="000000"/>
                <w:sz w:val="18"/>
                <w:szCs w:val="18"/>
              </w:rPr>
              <w:t>F-02 Authentication · F-03 Onboarding · F-09 Social account connection</w:t>
            </w:r>
          </w:p>
        </w:tc>
      </w:tr>
      <w:tr w:rsidR="00607D19" w14:paraId="0F832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BCCDB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2. Content planning</w:t>
            </w:r>
          </w:p>
        </w:tc>
        <w:tc>
          <w:tcPr>
            <w:tcW w:w="6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EC6F3" w14:textId="77777777" w:rsidR="00607D19" w:rsidRDefault="00000000">
            <w:r>
              <w:rPr>
                <w:color w:val="000000"/>
                <w:sz w:val="18"/>
                <w:szCs w:val="18"/>
              </w:rPr>
              <w:t>F-04 Calendar Excel import</w:t>
            </w:r>
          </w:p>
        </w:tc>
      </w:tr>
      <w:tr w:rsidR="00607D19" w14:paraId="5A6A1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8EE9E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3. AI generation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6EF61" w14:textId="77777777" w:rsidR="00607D19" w:rsidRDefault="00000000">
            <w:r>
              <w:rPr>
                <w:color w:val="000000"/>
                <w:sz w:val="18"/>
                <w:szCs w:val="18"/>
              </w:rPr>
              <w:t>F-05 Creative generation · F-06 Video generation</w:t>
            </w:r>
          </w:p>
        </w:tc>
      </w:tr>
      <w:tr w:rsidR="00607D19" w14:paraId="3460F5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7E4FF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4. Client approval</w:t>
            </w:r>
          </w:p>
        </w:tc>
        <w:tc>
          <w:tcPr>
            <w:tcW w:w="6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8E047" w14:textId="77777777" w:rsidR="00607D19" w:rsidRDefault="00000000">
            <w:r>
              <w:rPr>
                <w:color w:val="000000"/>
                <w:sz w:val="18"/>
                <w:szCs w:val="18"/>
              </w:rPr>
              <w:t>F-07 Approval and regeneration · F-10 Notification dispatch</w:t>
            </w:r>
          </w:p>
        </w:tc>
      </w:tr>
      <w:tr w:rsidR="00607D19" w14:paraId="3931A3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CD8F0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5. Publishing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B365F" w14:textId="77777777" w:rsidR="00607D19" w:rsidRDefault="00000000">
            <w:r>
              <w:rPr>
                <w:color w:val="000000"/>
                <w:sz w:val="18"/>
                <w:szCs w:val="18"/>
              </w:rPr>
              <w:t>F-08 Publishing with retry</w:t>
            </w:r>
          </w:p>
        </w:tc>
      </w:tr>
      <w:tr w:rsidR="00607D19" w14:paraId="3DDB4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70F98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6. Analytics</w:t>
            </w:r>
          </w:p>
        </w:tc>
        <w:tc>
          <w:tcPr>
            <w:tcW w:w="6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E1E3F" w14:textId="77777777" w:rsidR="00607D19" w:rsidRDefault="00000000">
            <w:r>
              <w:rPr>
                <w:color w:val="000000"/>
                <w:sz w:val="18"/>
                <w:szCs w:val="18"/>
              </w:rPr>
              <w:t>F-11 Analytics collection</w:t>
            </w:r>
          </w:p>
        </w:tc>
      </w:tr>
      <w:tr w:rsidR="00607D19" w14:paraId="66A722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AA0C9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7. Reporting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6F378" w14:textId="77777777" w:rsidR="00607D19" w:rsidRDefault="00000000">
            <w:r>
              <w:rPr>
                <w:color w:val="000000"/>
                <w:sz w:val="18"/>
                <w:szCs w:val="18"/>
              </w:rPr>
              <w:t>F-11 Reporting (lower half)</w:t>
            </w:r>
          </w:p>
        </w:tc>
      </w:tr>
      <w:tr w:rsidR="00607D19" w14:paraId="03CC51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5162B" w14:textId="77777777" w:rsidR="00607D19" w:rsidRDefault="00000000">
            <w:r>
              <w:rPr>
                <w:b/>
                <w:bCs/>
                <w:color w:val="000000"/>
                <w:sz w:val="18"/>
                <w:szCs w:val="18"/>
              </w:rPr>
              <w:t>Cross-cutting</w:t>
            </w:r>
          </w:p>
        </w:tc>
        <w:tc>
          <w:tcPr>
            <w:tcW w:w="64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042B7" w14:textId="77777777" w:rsidR="00607D19" w:rsidRDefault="00000000">
            <w:r>
              <w:rPr>
                <w:color w:val="000000"/>
                <w:sz w:val="18"/>
                <w:szCs w:val="18"/>
              </w:rPr>
              <w:t>F-12 Subscription lifecycle · F-13 Content item state diagram</w:t>
            </w:r>
          </w:p>
        </w:tc>
      </w:tr>
    </w:tbl>
    <w:p w14:paraId="50531E5D" w14:textId="77777777" w:rsidR="00607D19" w:rsidRDefault="00000000">
      <w:pPr>
        <w:pStyle w:val="Heading2"/>
        <w:spacing w:before="240" w:after="110"/>
      </w:pPr>
      <w:r>
        <w:rPr>
          <w:b/>
          <w:bCs/>
          <w:color w:val="2E5496"/>
          <w:sz w:val="25"/>
          <w:szCs w:val="25"/>
        </w:rPr>
        <w:t>1.4 Reading the Decision Points</w:t>
      </w:r>
    </w:p>
    <w:p w14:paraId="1FC0A8A8" w14:textId="77777777" w:rsidR="00607D19" w:rsidRDefault="00000000">
      <w:pPr>
        <w:spacing w:after="120" w:line="276" w:lineRule="auto"/>
      </w:pPr>
      <w:r>
        <w:rPr>
          <w:color w:val="000000"/>
        </w:rPr>
        <w:t>Three decision points on these charts carry business rules that are easy to miss and are the most common source of defects:</w:t>
      </w:r>
    </w:p>
    <w:p w14:paraId="3D130AD3" w14:textId="77777777" w:rsidR="00607D19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F-05 — "Variations passed?" has three outcomes, not two. Three of three is a normal ready state; one or two produces a partial set that is still shown to the client while the failed slots retry once; zero fails the calendar item and alerts the Admin.</w:t>
      </w:r>
    </w:p>
    <w:p w14:paraId="1E9319AB" w14:textId="77777777" w:rsidR="00607D19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F-07 — "First rejection?" enforces the one-time regeneration rule. A second rejection must never trigger another AI round; it routes to Admin manual intervention.</w:t>
      </w:r>
    </w:p>
    <w:p w14:paraId="0C4C86DF" w14:textId="77777777" w:rsidR="00607D19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t>F-08 — "Error type?" determines whether a publishing failure is retried at all. Only transient errors are retried; authentication and permanent errors stop immediately so the system does not burn attempts against a dead token.</w:t>
      </w:r>
    </w:p>
    <w:p w14:paraId="6EDED301" w14:textId="77777777" w:rsidR="00607D19" w:rsidRDefault="00607D19">
      <w:pPr>
        <w:sectPr w:rsidR="00607D19">
          <w:headerReference w:type="default" r:id="rId7"/>
          <w:footerReference w:type="default" r:id="rId8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551BDD4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01  Master</w:t>
      </w:r>
      <w:proofErr w:type="gramEnd"/>
      <w:r>
        <w:rPr>
          <w:b/>
          <w:bCs/>
          <w:color w:val="1F3864"/>
          <w:sz w:val="28"/>
          <w:szCs w:val="28"/>
        </w:rPr>
        <w:t xml:space="preserve"> System Flow</w:t>
      </w:r>
    </w:p>
    <w:p w14:paraId="5BEC6094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SRS §10 · SDD §8</w:t>
      </w:r>
    </w:p>
    <w:p w14:paraId="164203A1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End-to-end lifecycle of the platform, from company onboarding through to reporting. Every other flowchart in this document expands one phase of this diagram.</w:t>
      </w:r>
    </w:p>
    <w:p w14:paraId="7D92069C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C94D9F5" wp14:editId="257A811E">
            <wp:extent cx="4391025" cy="7991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87AE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F-01 — Master System Flow</w:t>
      </w:r>
    </w:p>
    <w:p w14:paraId="3CA6058A" w14:textId="77777777" w:rsidR="00607D19" w:rsidRDefault="00607D19">
      <w:pPr>
        <w:sectPr w:rsidR="00607D19">
          <w:headerReference w:type="default" r:id="rId10"/>
          <w:footerReference w:type="default" r:id="rId11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482F451E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02  Authentication</w:t>
      </w:r>
      <w:proofErr w:type="gramEnd"/>
      <w:r>
        <w:rPr>
          <w:b/>
          <w:bCs/>
          <w:color w:val="1F3864"/>
          <w:sz w:val="28"/>
          <w:szCs w:val="28"/>
        </w:rPr>
        <w:t xml:space="preserve"> and Login Flow</w:t>
      </w:r>
    </w:p>
    <w:p w14:paraId="587B5C66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FR-ADM-001, FR-CLT-002 · SDD §5.1</w:t>
      </w:r>
    </w:p>
    <w:p w14:paraId="0F94A05B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Credential verification, lockout handling, token issue and role-based landing. Both Admin and Client use the same flow; only the destination differs.</w:t>
      </w:r>
    </w:p>
    <w:p w14:paraId="53D87ABB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7B83224" wp14:editId="20686B8B">
            <wp:extent cx="6076950" cy="7715250"/>
            <wp:effectExtent l="0" t="0" r="0" b="0"/>
            <wp:docPr id="1331408960" name="Picture 1331408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3033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F-02 — Authentication and Login Flow</w:t>
      </w:r>
    </w:p>
    <w:p w14:paraId="36EAED51" w14:textId="77777777" w:rsidR="00607D19" w:rsidRDefault="00607D19">
      <w:pPr>
        <w:sectPr w:rsidR="00607D19">
          <w:headerReference w:type="default" r:id="rId13"/>
          <w:footerReference w:type="default" r:id="rId14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6D9F1FA1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03  Company</w:t>
      </w:r>
      <w:proofErr w:type="gramEnd"/>
      <w:r>
        <w:rPr>
          <w:b/>
          <w:bCs/>
          <w:color w:val="1F3864"/>
          <w:sz w:val="28"/>
          <w:szCs w:val="28"/>
        </w:rPr>
        <w:t xml:space="preserve"> Onboarding Flow</w:t>
      </w:r>
    </w:p>
    <w:p w14:paraId="0C8D5036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SRS §10.1, FR-CMP-001, FR-BRD-001, FR-CLT-001 · SDD §8.1</w:t>
      </w:r>
    </w:p>
    <w:p w14:paraId="244AF0AD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Steps the Admin follows to take a new client company from creation to being ready for content planning. Two gates block progress: an incomplete brand kit blocks AI generation, and no connected social account blocks publishing.</w:t>
      </w:r>
    </w:p>
    <w:p w14:paraId="69FFD424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0F26C84" wp14:editId="4F39E68F">
            <wp:extent cx="6191250" cy="7286625"/>
            <wp:effectExtent l="0" t="0" r="0" b="0"/>
            <wp:docPr id="981060812" name="Picture 98106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6B3B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F-03 — Company Onboarding Flow</w:t>
      </w:r>
    </w:p>
    <w:p w14:paraId="71707D77" w14:textId="77777777" w:rsidR="00607D19" w:rsidRDefault="00607D19">
      <w:pPr>
        <w:sectPr w:rsidR="00607D19">
          <w:headerReference w:type="default" r:id="rId16"/>
          <w:footerReference w:type="default" r:id="rId17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38A1F91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04  Content</w:t>
      </w:r>
      <w:proofErr w:type="gramEnd"/>
      <w:r>
        <w:rPr>
          <w:b/>
          <w:bCs/>
          <w:color w:val="1F3864"/>
          <w:sz w:val="28"/>
          <w:szCs w:val="28"/>
        </w:rPr>
        <w:t xml:space="preserve"> Calendar Excel Import Flow</w:t>
      </w:r>
    </w:p>
    <w:p w14:paraId="64E9AF5A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FR-CAL-002, FR-CAL-003 · SDD §5.5</w:t>
      </w:r>
    </w:p>
    <w:p w14:paraId="73F8F9F1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 xml:space="preserve">Two-phase import: parse and validate without writing, then commit only after the </w:t>
      </w:r>
      <w:proofErr w:type="gramStart"/>
      <w:r>
        <w:rPr>
          <w:color w:val="000000"/>
          <w:sz w:val="19"/>
          <w:szCs w:val="19"/>
        </w:rPr>
        <w:t>Admin</w:t>
      </w:r>
      <w:proofErr w:type="gramEnd"/>
      <w:r>
        <w:rPr>
          <w:color w:val="000000"/>
          <w:sz w:val="19"/>
          <w:szCs w:val="19"/>
        </w:rPr>
        <w:t xml:space="preserve"> reviews the row-level report. This prevents a partially imported month.</w:t>
      </w:r>
    </w:p>
    <w:p w14:paraId="3199821F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B4ED749" wp14:editId="1AA5F579">
            <wp:extent cx="3895725" cy="7991475"/>
            <wp:effectExtent l="0" t="0" r="0" b="0"/>
            <wp:docPr id="268168783" name="Picture 268168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A491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F-04 — Content Calendar Excel Import Flow</w:t>
      </w:r>
    </w:p>
    <w:p w14:paraId="4AB34F8D" w14:textId="77777777" w:rsidR="00607D19" w:rsidRDefault="00607D19">
      <w:pPr>
        <w:sectPr w:rsidR="00607D19">
          <w:headerReference w:type="default" r:id="rId19"/>
          <w:footerReference w:type="default" r:id="rId20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5BFFBE3F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05  AI</w:t>
      </w:r>
      <w:proofErr w:type="gramEnd"/>
      <w:r>
        <w:rPr>
          <w:b/>
          <w:bCs/>
          <w:color w:val="1F3864"/>
          <w:sz w:val="28"/>
          <w:szCs w:val="28"/>
        </w:rPr>
        <w:t xml:space="preserve"> Creative Generation Flow</w:t>
      </w:r>
    </w:p>
    <w:p w14:paraId="7D32518C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SRS §10.3, FR-AI-001 to FR-AI-008 · SDD §5.6, §9</w:t>
      </w:r>
    </w:p>
    <w:p w14:paraId="0E6F5FD3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How a calendar item becomes a caption, hashtag set and three creative variations. The generation group succeeds fully, partially or not at all, and each outcome is handled differently.</w:t>
      </w:r>
    </w:p>
    <w:p w14:paraId="61BBCDC9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BC6D070" wp14:editId="45373C58">
            <wp:extent cx="5419725" cy="7991475"/>
            <wp:effectExtent l="0" t="0" r="0" b="0"/>
            <wp:docPr id="1067452665" name="Picture 1067452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7155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F-05 — AI Creative Generation Flow</w:t>
      </w:r>
    </w:p>
    <w:p w14:paraId="3052B780" w14:textId="77777777" w:rsidR="00607D19" w:rsidRDefault="00607D19">
      <w:pPr>
        <w:sectPr w:rsidR="00607D19">
          <w:headerReference w:type="default" r:id="rId22"/>
          <w:footerReference w:type="default" r:id="rId23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0567972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06  AI</w:t>
      </w:r>
      <w:proofErr w:type="gramEnd"/>
      <w:r>
        <w:rPr>
          <w:b/>
          <w:bCs/>
          <w:color w:val="1F3864"/>
          <w:sz w:val="28"/>
          <w:szCs w:val="28"/>
        </w:rPr>
        <w:t xml:space="preserve"> Video Generation Flow</w:t>
      </w:r>
    </w:p>
    <w:p w14:paraId="407E0359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FR-VID-001 to FR-VID-006 · SDD §5.7</w:t>
      </w:r>
    </w:p>
    <w:p w14:paraId="3D534DC4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Script to finished short-form video. If the video provider is unavailable the system falls back to an animated composition of brand stills rather than failing the calendar item.</w:t>
      </w:r>
    </w:p>
    <w:p w14:paraId="3FDB2947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312C5EC" wp14:editId="323FD34A">
            <wp:extent cx="3800475" cy="7991475"/>
            <wp:effectExtent l="0" t="0" r="0" b="0"/>
            <wp:docPr id="1548998157" name="Picture 1548998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50CC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F-06 — AI Video Generation Flow</w:t>
      </w:r>
    </w:p>
    <w:p w14:paraId="73E7914D" w14:textId="77777777" w:rsidR="00607D19" w:rsidRDefault="00607D19">
      <w:pPr>
        <w:sectPr w:rsidR="00607D19">
          <w:headerReference w:type="default" r:id="rId25"/>
          <w:footerReference w:type="default" r:id="rId26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15BE2618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07  Client</w:t>
      </w:r>
      <w:proofErr w:type="gramEnd"/>
      <w:r>
        <w:rPr>
          <w:b/>
          <w:bCs/>
          <w:color w:val="1F3864"/>
          <w:sz w:val="28"/>
          <w:szCs w:val="28"/>
        </w:rPr>
        <w:t xml:space="preserve"> Approval and Regeneration Flow</w:t>
      </w:r>
    </w:p>
    <w:p w14:paraId="3AC82895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SRS §10.4, FR-APR-001 to FR-APR-005 · SDD §5.8</w:t>
      </w:r>
    </w:p>
    <w:p w14:paraId="2BC9A902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The client review journey. Exactly one automatic regeneration is permitted; a second rejection routes the item to Admin manual intervention.</w:t>
      </w:r>
    </w:p>
    <w:p w14:paraId="72657323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5998EBB" wp14:editId="7F057565">
            <wp:extent cx="6191250" cy="7410450"/>
            <wp:effectExtent l="0" t="0" r="0" b="0"/>
            <wp:docPr id="2028411572" name="Picture 202841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F582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F-07 — Client Approval and Regeneration Flow</w:t>
      </w:r>
    </w:p>
    <w:p w14:paraId="281D565E" w14:textId="77777777" w:rsidR="00607D19" w:rsidRDefault="00607D19">
      <w:pPr>
        <w:sectPr w:rsidR="00607D19">
          <w:headerReference w:type="default" r:id="rId28"/>
          <w:footerReference w:type="default" r:id="rId2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8871B56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08  Publishing</w:t>
      </w:r>
      <w:proofErr w:type="gramEnd"/>
      <w:r>
        <w:rPr>
          <w:b/>
          <w:bCs/>
          <w:color w:val="1F3864"/>
          <w:sz w:val="28"/>
          <w:szCs w:val="28"/>
        </w:rPr>
        <w:t xml:space="preserve"> Flow with Retry Handling</w:t>
      </w:r>
    </w:p>
    <w:p w14:paraId="423054C9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SRS §10.5, FR-PUB-001 to FR-PUB-005 · SDD §5.9</w:t>
      </w:r>
    </w:p>
    <w:p w14:paraId="533172BE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Dispatch of approved content to each platform. Pre-flight checks catch problems before the platform is called, and errors are classified so that only transient failures are retried.</w:t>
      </w:r>
    </w:p>
    <w:p w14:paraId="2B0BC70E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F759F40" wp14:editId="2E6B21F5">
            <wp:extent cx="6191250" cy="6372225"/>
            <wp:effectExtent l="0" t="0" r="0" b="0"/>
            <wp:docPr id="847018104" name="Picture 847018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2A5D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F-08 — Publishing Flow with Retry Handling</w:t>
      </w:r>
    </w:p>
    <w:p w14:paraId="1BC64087" w14:textId="77777777" w:rsidR="00607D19" w:rsidRDefault="00607D19">
      <w:pPr>
        <w:sectPr w:rsidR="00607D19">
          <w:headerReference w:type="default" r:id="rId31"/>
          <w:footerReference w:type="default" r:id="rId32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1FA62F92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09  Social</w:t>
      </w:r>
      <w:proofErr w:type="gramEnd"/>
      <w:r>
        <w:rPr>
          <w:b/>
          <w:bCs/>
          <w:color w:val="1F3864"/>
          <w:sz w:val="28"/>
          <w:szCs w:val="28"/>
        </w:rPr>
        <w:t xml:space="preserve"> Account Connection and Token Lifecycle</w:t>
      </w:r>
    </w:p>
    <w:p w14:paraId="457BB42D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FR-SOC-001 to FR-SOC-003, FR-SOC-006 · SDD §5.10, §10.3</w:t>
      </w:r>
    </w:p>
    <w:p w14:paraId="35BC0EC5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OAuth connection and the ongoing hourly token health check. A token that cannot be refreshed marks the account Reconnect Required and blocks publishing rather than posting with a dead token.</w:t>
      </w:r>
    </w:p>
    <w:p w14:paraId="0A8F6F0A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F028753" wp14:editId="7F0E5463">
            <wp:extent cx="6191250" cy="7743825"/>
            <wp:effectExtent l="0" t="0" r="0" b="0"/>
            <wp:docPr id="1645999762" name="Picture 1645999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9372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F-09 — Social Account Connection and Token Lifecycle</w:t>
      </w:r>
    </w:p>
    <w:p w14:paraId="0D5C5AD4" w14:textId="77777777" w:rsidR="00607D19" w:rsidRDefault="00607D19">
      <w:pPr>
        <w:sectPr w:rsidR="00607D19">
          <w:headerReference w:type="default" r:id="rId34"/>
          <w:footerReference w:type="default" r:id="rId35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2B152566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10  Notification</w:t>
      </w:r>
      <w:proofErr w:type="gramEnd"/>
      <w:r>
        <w:rPr>
          <w:b/>
          <w:bCs/>
          <w:color w:val="1F3864"/>
          <w:sz w:val="28"/>
          <w:szCs w:val="28"/>
        </w:rPr>
        <w:t xml:space="preserve"> Dispatch Flow</w:t>
      </w:r>
    </w:p>
    <w:p w14:paraId="65487E3D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FR-NOT-001 to FR-NOT-005, FR-WA-003 to FR-WA-008 · SDD §5.11, §5.12</w:t>
      </w:r>
    </w:p>
    <w:p w14:paraId="291FCF3D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 xml:space="preserve">One event </w:t>
      </w:r>
      <w:proofErr w:type="gramStart"/>
      <w:r>
        <w:rPr>
          <w:color w:val="000000"/>
          <w:sz w:val="19"/>
          <w:szCs w:val="19"/>
        </w:rPr>
        <w:t>fans</w:t>
      </w:r>
      <w:proofErr w:type="gramEnd"/>
      <w:r>
        <w:rPr>
          <w:color w:val="000000"/>
          <w:sz w:val="19"/>
          <w:szCs w:val="19"/>
        </w:rPr>
        <w:t xml:space="preserve"> out to the channels the recipient has enabled. Repeated WhatsApp failure disables that channel for the company and falls back to email.</w:t>
      </w:r>
    </w:p>
    <w:p w14:paraId="445E3246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3C866FA" wp14:editId="1A237F55">
            <wp:extent cx="6191250" cy="6076950"/>
            <wp:effectExtent l="0" t="0" r="0" b="0"/>
            <wp:docPr id="1255683158" name="Picture 1255683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7C79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F-10 — Notification Dispatch Flow</w:t>
      </w:r>
    </w:p>
    <w:p w14:paraId="6FA30E03" w14:textId="77777777" w:rsidR="00607D19" w:rsidRDefault="00607D19">
      <w:pPr>
        <w:sectPr w:rsidR="00607D19">
          <w:headerReference w:type="default" r:id="rId37"/>
          <w:footerReference w:type="default" r:id="rId38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5D5D8432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11  Analytics</w:t>
      </w:r>
      <w:proofErr w:type="gramEnd"/>
      <w:r>
        <w:rPr>
          <w:b/>
          <w:bCs/>
          <w:color w:val="1F3864"/>
          <w:sz w:val="28"/>
          <w:szCs w:val="28"/>
        </w:rPr>
        <w:t xml:space="preserve"> Collection and Reporting Flow</w:t>
      </w:r>
    </w:p>
    <w:p w14:paraId="67A55CC9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SRS §10.6, FR-ANL-001 to FR-ANL-007, FR-REP-001 to FR-REP-005 · SDD §5.13, §5.14</w:t>
      </w:r>
    </w:p>
    <w:p w14:paraId="4DE57711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Scheduled metric collection feeding dashboards, and the monthly report build. Metrics are stored as snapshots so history is preserved and growth can be charted.</w:t>
      </w:r>
    </w:p>
    <w:p w14:paraId="77159E2A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ED892AE" wp14:editId="357FFCE5">
            <wp:extent cx="3943350" cy="7991475"/>
            <wp:effectExtent l="0" t="0" r="0" b="0"/>
            <wp:docPr id="1201282070" name="Picture 1201282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AD0B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F-11 — Analytics Collection and Reporting Flow</w:t>
      </w:r>
    </w:p>
    <w:p w14:paraId="2538352C" w14:textId="77777777" w:rsidR="00607D19" w:rsidRDefault="00607D19">
      <w:pPr>
        <w:sectPr w:rsidR="00607D19">
          <w:headerReference w:type="default" r:id="rId40"/>
          <w:footerReference w:type="default" r:id="rId41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85C98F8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12  Subscription</w:t>
      </w:r>
      <w:proofErr w:type="gramEnd"/>
      <w:r>
        <w:rPr>
          <w:b/>
          <w:bCs/>
          <w:color w:val="1F3864"/>
          <w:sz w:val="28"/>
          <w:szCs w:val="28"/>
        </w:rPr>
        <w:t xml:space="preserve"> Lifecycle (State Diagram)</w:t>
      </w:r>
    </w:p>
    <w:p w14:paraId="136566F2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SRS §26 · SDD §5.15</w:t>
      </w:r>
    </w:p>
    <w:p w14:paraId="342B0757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 xml:space="preserve">All subscription states and the transitions between them. Every transition is performed by the </w:t>
      </w:r>
      <w:proofErr w:type="gramStart"/>
      <w:r>
        <w:rPr>
          <w:color w:val="000000"/>
          <w:sz w:val="19"/>
          <w:szCs w:val="19"/>
        </w:rPr>
        <w:t>Admin</w:t>
      </w:r>
      <w:proofErr w:type="gramEnd"/>
      <w:r>
        <w:rPr>
          <w:color w:val="000000"/>
          <w:sz w:val="19"/>
          <w:szCs w:val="19"/>
        </w:rPr>
        <w:t>; the platform never sells or processes payment.</w:t>
      </w:r>
    </w:p>
    <w:p w14:paraId="71C55BA3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A15B550" wp14:editId="7DD9628D">
            <wp:extent cx="4933950" cy="5943600"/>
            <wp:effectExtent l="0" t="0" r="0" b="0"/>
            <wp:docPr id="852276422" name="Picture 852276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5D8C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F-12 — Subscription Lifecycle (State Diagram)</w:t>
      </w:r>
    </w:p>
    <w:p w14:paraId="6E669BE6" w14:textId="77777777" w:rsidR="00607D19" w:rsidRDefault="00607D19">
      <w:pPr>
        <w:sectPr w:rsidR="00607D19">
          <w:headerReference w:type="default" r:id="rId43"/>
          <w:footerReference w:type="default" r:id="rId44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177B0CD" w14:textId="77777777" w:rsidR="00607D19" w:rsidRDefault="00000000">
      <w:pPr>
        <w:pStyle w:val="Heading1"/>
        <w:spacing w:after="60"/>
      </w:pPr>
      <w:r>
        <w:rPr>
          <w:b/>
          <w:bCs/>
          <w:color w:val="1F3864"/>
          <w:sz w:val="28"/>
          <w:szCs w:val="28"/>
        </w:rPr>
        <w:lastRenderedPageBreak/>
        <w:t>F-</w:t>
      </w:r>
      <w:proofErr w:type="gramStart"/>
      <w:r>
        <w:rPr>
          <w:b/>
          <w:bCs/>
          <w:color w:val="1F3864"/>
          <w:sz w:val="28"/>
          <w:szCs w:val="28"/>
        </w:rPr>
        <w:t>13  Content</w:t>
      </w:r>
      <w:proofErr w:type="gramEnd"/>
      <w:r>
        <w:rPr>
          <w:b/>
          <w:bCs/>
          <w:color w:val="1F3864"/>
          <w:sz w:val="28"/>
          <w:szCs w:val="28"/>
        </w:rPr>
        <w:t xml:space="preserve"> Item State Diagram</w:t>
      </w:r>
    </w:p>
    <w:p w14:paraId="17C69832" w14:textId="77777777" w:rsidR="00607D19" w:rsidRDefault="00000000">
      <w:pPr>
        <w:spacing w:after="80"/>
      </w:pPr>
      <w:r>
        <w:rPr>
          <w:i/>
          <w:iCs/>
          <w:color w:val="5A6478"/>
          <w:sz w:val="17"/>
          <w:szCs w:val="17"/>
        </w:rPr>
        <w:t>Traces to: SDD §5.5, §5.8, §5.9</w:t>
      </w:r>
    </w:p>
    <w:p w14:paraId="38C9630C" w14:textId="77777777" w:rsidR="00607D19" w:rsidRDefault="00000000">
      <w:pPr>
        <w:spacing w:after="160" w:line="276" w:lineRule="auto"/>
      </w:pPr>
      <w:r>
        <w:rPr>
          <w:color w:val="000000"/>
          <w:sz w:val="19"/>
          <w:szCs w:val="19"/>
        </w:rPr>
        <w:t>The complete lifecycle of a single calendar item. Any transition not drawn here is illegal and must be rejected by the application.</w:t>
      </w:r>
    </w:p>
    <w:p w14:paraId="20E995A2" w14:textId="77777777" w:rsidR="00607D1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7A6A6AC" wp14:editId="6F54DA3D">
            <wp:extent cx="6191250" cy="6448425"/>
            <wp:effectExtent l="0" t="0" r="0" b="0"/>
            <wp:docPr id="1279637060" name="Picture 1279637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2C43" w14:textId="77777777" w:rsidR="00607D19" w:rsidRDefault="00000000">
      <w:pPr>
        <w:jc w:val="center"/>
      </w:pPr>
      <w:r>
        <w:rPr>
          <w:i/>
          <w:iCs/>
          <w:color w:val="5A6478"/>
          <w:sz w:val="16"/>
          <w:szCs w:val="16"/>
        </w:rPr>
        <w:t>Figure F-13 — Content Item State Diagram</w:t>
      </w:r>
    </w:p>
    <w:sectPr w:rsidR="00607D19">
      <w:headerReference w:type="default" r:id="rId46"/>
      <w:footerReference w:type="default" r:id="rId4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99FAA" w14:textId="77777777" w:rsidR="00720799" w:rsidRDefault="00720799">
      <w:r>
        <w:separator/>
      </w:r>
    </w:p>
  </w:endnote>
  <w:endnote w:type="continuationSeparator" w:id="0">
    <w:p w14:paraId="7527CAB3" w14:textId="77777777" w:rsidR="00720799" w:rsidRDefault="00720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1BDA" w14:textId="77777777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2</w:t>
    </w:r>
    <w:r>
      <w:rPr>
        <w:color w:val="6A738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E4F7" w14:textId="4A51E542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4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5</w:t>
    </w:r>
    <w:r>
      <w:rPr>
        <w:color w:val="6A7387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8FC7B" w14:textId="000280C5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5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6</w:t>
    </w:r>
    <w:r>
      <w:rPr>
        <w:color w:val="6A7387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6D3E6" w14:textId="1A68549E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6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7</w:t>
    </w:r>
    <w:r>
      <w:rPr>
        <w:color w:val="6A7387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974B5" w14:textId="4DB55E79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7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8</w:t>
    </w:r>
    <w:r>
      <w:rPr>
        <w:color w:val="6A7387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DE30" w14:textId="1DCE3A81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8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9</w:t>
    </w:r>
    <w:r>
      <w:rPr>
        <w:color w:val="6A7387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8244" w14:textId="25C4009B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9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10</w:t>
    </w:r>
    <w:r>
      <w:rPr>
        <w:color w:val="6A7387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5A92B" w14:textId="29F06B2C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10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11</w:t>
    </w:r>
    <w:r>
      <w:rPr>
        <w:color w:val="6A7387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81A86" w14:textId="13B49820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11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12</w:t>
    </w:r>
    <w:r>
      <w:rPr>
        <w:color w:val="6A7387"/>
        <w:sz w:val="16"/>
        <w:szCs w:val="16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949BD" w14:textId="3CDF026A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12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13</w:t>
    </w:r>
    <w:r>
      <w:rPr>
        <w:color w:val="6A7387"/>
        <w:sz w:val="16"/>
        <w:szCs w:val="16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DEBC4" w14:textId="2347A590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13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14</w:t>
    </w:r>
    <w:r>
      <w:rPr>
        <w:color w:val="6A7387"/>
        <w:sz w:val="16"/>
        <w:szCs w:val="16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31D3" w14:textId="415FA1DD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14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15</w:t>
    </w:r>
    <w:r>
      <w:rPr>
        <w:color w:val="6A7387"/>
        <w:sz w:val="16"/>
        <w:szCs w:val="16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DB4E" w14:textId="5AB51C3A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15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16</w:t>
    </w:r>
    <w:r>
      <w:rPr>
        <w:color w:val="6A7387"/>
        <w:sz w:val="16"/>
        <w:szCs w:val="16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9533" w14:textId="77EA8877" w:rsidR="00607D19" w:rsidRDefault="00000000">
    <w:pPr>
      <w:jc w:val="center"/>
    </w:pPr>
    <w:r>
      <w:rPr>
        <w:color w:val="6A7387"/>
        <w:sz w:val="16"/>
        <w:szCs w:val="16"/>
      </w:rPr>
      <w:t xml:space="preserve">Page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PAGE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16</w:t>
    </w:r>
    <w:r>
      <w:rPr>
        <w:color w:val="6A7387"/>
        <w:sz w:val="16"/>
        <w:szCs w:val="16"/>
      </w:rPr>
      <w:fldChar w:fldCharType="end"/>
    </w:r>
    <w:r>
      <w:rPr>
        <w:color w:val="6A7387"/>
        <w:sz w:val="16"/>
        <w:szCs w:val="16"/>
      </w:rPr>
      <w:t xml:space="preserve"> of </w:t>
    </w:r>
    <w:r>
      <w:rPr>
        <w:color w:val="6A7387"/>
        <w:sz w:val="16"/>
        <w:szCs w:val="16"/>
      </w:rPr>
      <w:fldChar w:fldCharType="begin"/>
    </w:r>
    <w:r>
      <w:rPr>
        <w:color w:val="6A7387"/>
        <w:sz w:val="16"/>
        <w:szCs w:val="16"/>
      </w:rPr>
      <w:instrText>NUMPAGES</w:instrText>
    </w:r>
    <w:r>
      <w:rPr>
        <w:color w:val="6A7387"/>
        <w:sz w:val="16"/>
        <w:szCs w:val="16"/>
      </w:rPr>
      <w:fldChar w:fldCharType="separate"/>
    </w:r>
    <w:r w:rsidR="00BC58DB">
      <w:rPr>
        <w:noProof/>
        <w:color w:val="6A7387"/>
        <w:sz w:val="16"/>
        <w:szCs w:val="16"/>
      </w:rPr>
      <w:t>16</w:t>
    </w:r>
    <w:r>
      <w:rPr>
        <w:color w:val="6A738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AC9F" w14:textId="77777777" w:rsidR="00720799" w:rsidRDefault="00720799">
      <w:r>
        <w:separator/>
      </w:r>
    </w:p>
  </w:footnote>
  <w:footnote w:type="continuationSeparator" w:id="0">
    <w:p w14:paraId="45C14808" w14:textId="77777777" w:rsidR="00720799" w:rsidRDefault="00720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F224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0413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BE6C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2AAA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2522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2E5E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7198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2838D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3BD9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7371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A643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94A8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0BF2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AA14" w14:textId="77777777" w:rsidR="00607D19" w:rsidRDefault="00000000">
    <w:pPr>
      <w:pBdr>
        <w:bottom w:val="single" w:sz="4" w:space="4" w:color="C8D0E0"/>
      </w:pBdr>
      <w:jc w:val="right"/>
    </w:pPr>
    <w:r>
      <w:rPr>
        <w:color w:val="6A7387"/>
        <w:sz w:val="16"/>
        <w:szCs w:val="16"/>
      </w:rPr>
      <w:t xml:space="preserve">Flowchart </w:t>
    </w:r>
    <w:proofErr w:type="gramStart"/>
    <w:r>
      <w:rPr>
        <w:color w:val="6A7387"/>
        <w:sz w:val="16"/>
        <w:szCs w:val="16"/>
      </w:rPr>
      <w:t>Document  |</w:t>
    </w:r>
    <w:proofErr w:type="gramEnd"/>
    <w:r>
      <w:rPr>
        <w:color w:val="6A7387"/>
        <w:sz w:val="16"/>
        <w:szCs w:val="16"/>
      </w:rPr>
      <w:t xml:space="preserve">  AI Digital Marketing Automation </w:t>
    </w:r>
    <w:proofErr w:type="gramStart"/>
    <w:r>
      <w:rPr>
        <w:color w:val="6A7387"/>
        <w:sz w:val="16"/>
        <w:szCs w:val="16"/>
      </w:rPr>
      <w:t>Platform  |</w:t>
    </w:r>
    <w:proofErr w:type="gramEnd"/>
    <w:r>
      <w:rPr>
        <w:color w:val="6A7387"/>
        <w:sz w:val="16"/>
        <w:szCs w:val="16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4DAE"/>
    <w:multiLevelType w:val="hybridMultilevel"/>
    <w:tmpl w:val="6D8E44B2"/>
    <w:lvl w:ilvl="0" w:tplc="DB026D36">
      <w:start w:val="1"/>
      <w:numFmt w:val="bullet"/>
      <w:lvlText w:val="●"/>
      <w:lvlJc w:val="left"/>
      <w:pPr>
        <w:ind w:left="720" w:hanging="360"/>
      </w:pPr>
    </w:lvl>
    <w:lvl w:ilvl="1" w:tplc="3C1A325C">
      <w:start w:val="1"/>
      <w:numFmt w:val="bullet"/>
      <w:lvlText w:val="○"/>
      <w:lvlJc w:val="left"/>
      <w:pPr>
        <w:ind w:left="1440" w:hanging="360"/>
      </w:pPr>
    </w:lvl>
    <w:lvl w:ilvl="2" w:tplc="3EC8D1CA">
      <w:start w:val="1"/>
      <w:numFmt w:val="bullet"/>
      <w:lvlText w:val="■"/>
      <w:lvlJc w:val="left"/>
      <w:pPr>
        <w:ind w:left="2160" w:hanging="360"/>
      </w:pPr>
    </w:lvl>
    <w:lvl w:ilvl="3" w:tplc="B73ABBC2">
      <w:start w:val="1"/>
      <w:numFmt w:val="bullet"/>
      <w:lvlText w:val="●"/>
      <w:lvlJc w:val="left"/>
      <w:pPr>
        <w:ind w:left="2880" w:hanging="360"/>
      </w:pPr>
    </w:lvl>
    <w:lvl w:ilvl="4" w:tplc="ADC6FB84">
      <w:start w:val="1"/>
      <w:numFmt w:val="bullet"/>
      <w:lvlText w:val="○"/>
      <w:lvlJc w:val="left"/>
      <w:pPr>
        <w:ind w:left="3600" w:hanging="360"/>
      </w:pPr>
    </w:lvl>
    <w:lvl w:ilvl="5" w:tplc="A6300D92">
      <w:start w:val="1"/>
      <w:numFmt w:val="bullet"/>
      <w:lvlText w:val="■"/>
      <w:lvlJc w:val="left"/>
      <w:pPr>
        <w:ind w:left="4320" w:hanging="360"/>
      </w:pPr>
    </w:lvl>
    <w:lvl w:ilvl="6" w:tplc="0F769ECA">
      <w:start w:val="1"/>
      <w:numFmt w:val="bullet"/>
      <w:lvlText w:val="●"/>
      <w:lvlJc w:val="left"/>
      <w:pPr>
        <w:ind w:left="5040" w:hanging="360"/>
      </w:pPr>
    </w:lvl>
    <w:lvl w:ilvl="7" w:tplc="1764A0CE">
      <w:start w:val="1"/>
      <w:numFmt w:val="bullet"/>
      <w:lvlText w:val="●"/>
      <w:lvlJc w:val="left"/>
      <w:pPr>
        <w:ind w:left="5760" w:hanging="360"/>
      </w:pPr>
    </w:lvl>
    <w:lvl w:ilvl="8" w:tplc="A2F65A5A">
      <w:start w:val="1"/>
      <w:numFmt w:val="bullet"/>
      <w:lvlText w:val="●"/>
      <w:lvlJc w:val="left"/>
      <w:pPr>
        <w:ind w:left="6480" w:hanging="360"/>
      </w:pPr>
    </w:lvl>
  </w:abstractNum>
  <w:num w:numId="1" w16cid:durableId="722172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D19"/>
    <w:rsid w:val="005724CE"/>
    <w:rsid w:val="00607D19"/>
    <w:rsid w:val="00720799"/>
    <w:rsid w:val="009B071B"/>
    <w:rsid w:val="00BC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D60D"/>
  <w15:docId w15:val="{C8BF5B4A-21DB-48C5-A08E-7536083D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footer" Target="footer7.xml"/><Relationship Id="rId39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header" Target="header10.xml"/><Relationship Id="rId42" Type="http://schemas.openxmlformats.org/officeDocument/2006/relationships/image" Target="media/image12.png"/><Relationship Id="rId47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5" Type="http://schemas.openxmlformats.org/officeDocument/2006/relationships/header" Target="header7.xml"/><Relationship Id="rId33" Type="http://schemas.openxmlformats.org/officeDocument/2006/relationships/image" Target="media/image9.png"/><Relationship Id="rId38" Type="http://schemas.openxmlformats.org/officeDocument/2006/relationships/footer" Target="footer11.xml"/><Relationship Id="rId46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29" Type="http://schemas.openxmlformats.org/officeDocument/2006/relationships/footer" Target="footer8.xml"/><Relationship Id="rId41" Type="http://schemas.openxmlformats.org/officeDocument/2006/relationships/footer" Target="foot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footer" Target="footer9.xml"/><Relationship Id="rId37" Type="http://schemas.openxmlformats.org/officeDocument/2006/relationships/header" Target="header11.xml"/><Relationship Id="rId40" Type="http://schemas.openxmlformats.org/officeDocument/2006/relationships/header" Target="header12.xml"/><Relationship Id="rId45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oter" Target="footer6.xml"/><Relationship Id="rId28" Type="http://schemas.openxmlformats.org/officeDocument/2006/relationships/header" Target="header8.xml"/><Relationship Id="rId36" Type="http://schemas.openxmlformats.org/officeDocument/2006/relationships/image" Target="media/image10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header" Target="header9.xml"/><Relationship Id="rId44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image" Target="media/image7.png"/><Relationship Id="rId30" Type="http://schemas.openxmlformats.org/officeDocument/2006/relationships/image" Target="media/image8.png"/><Relationship Id="rId35" Type="http://schemas.openxmlformats.org/officeDocument/2006/relationships/footer" Target="footer10.xml"/><Relationship Id="rId43" Type="http://schemas.openxmlformats.org/officeDocument/2006/relationships/header" Target="header13.xml"/><Relationship Id="rId48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Flowchart Document — AI Digital Marketing Automation Platform</vt:lpstr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Flowchart Document — AI Digital Marketing Automation Platform</dc:title>
  <dc:creator>Product Development Team</dc:creator>
  <dc:description>System process flows and state diagrams, Version 1.0</dc:description>
  <cp:lastModifiedBy>Digvijay Vapilkar</cp:lastModifiedBy>
  <cp:revision>3</cp:revision>
  <dcterms:created xsi:type="dcterms:W3CDTF">2026-08-06T06:09:00Z</dcterms:created>
  <dcterms:modified xsi:type="dcterms:W3CDTF">2026-08-06T13:15:00Z</dcterms:modified>
</cp:coreProperties>
</file>