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6D27" w14:textId="77777777" w:rsidR="00F47A1F" w:rsidRPr="009B378A" w:rsidRDefault="00F47A1F" w:rsidP="00F47A1F">
      <w:pPr>
        <w:pStyle w:val="Heading1"/>
      </w:pPr>
      <w:r>
        <w:t>Decoding the Mutual Fund Categories</w:t>
      </w:r>
    </w:p>
    <w:p w14:paraId="6671501A" w14:textId="77777777" w:rsidR="00F47A1F" w:rsidRPr="009B378A" w:rsidRDefault="00F47A1F" w:rsidP="00F47A1F">
      <w:pPr>
        <w:pStyle w:val="Subtitle"/>
      </w:pPr>
      <w:r>
        <w:t>Clearing the confusion: Difference between Flexi Cap, Multi Cap, Multi Asset Allocation and Dynamic Asset allocation (Balanced Advantage)</w:t>
      </w:r>
    </w:p>
    <w:p w14:paraId="241AD49B" w14:textId="77777777" w:rsidR="00F47A1F" w:rsidRPr="009B378A" w:rsidRDefault="00F47A1F" w:rsidP="00F47A1F">
      <w:r>
        <w:t>People often compare funds’ performance which are from different categories. At times that comparison is unfair because of the difference in fund categories. SEBI</w:t>
      </w:r>
      <w:r>
        <w:rPr>
          <w:rStyle w:val="FootnoteReference"/>
        </w:rPr>
        <w:footnoteReference w:id="1"/>
      </w:r>
      <w:r>
        <w:t xml:space="preserve"> has defined Fund categories that establish the fund manager's mandate. Each SEBI defined fund category comes with a set of rules. The rules specify what all asset classes the fund is allowed to invest in, what are the constraints on the asset allocation and other factors.  It is unfair to compare a large cap fund against a mid-cap fund</w:t>
      </w:r>
      <w:r>
        <w:rPr>
          <w:rStyle w:val="FootnoteReference"/>
        </w:rPr>
        <w:footnoteReference w:id="2"/>
      </w:r>
      <w:r>
        <w:t>. Risk &amp; returns for each category may vary.  Which fund category is good for the investor depends on their risk appetite. </w:t>
      </w:r>
    </w:p>
    <w:p w14:paraId="345B0C03" w14:textId="77777777" w:rsidR="00F47A1F" w:rsidRPr="009B378A" w:rsidRDefault="00F47A1F" w:rsidP="00F47A1F">
      <w:r>
        <w:t xml:space="preserve">This is the first post in a series of posts investigating the SEBI mandated mutual fund categories. We start with the 4 popular categories, which sound similar but are different in reality. </w:t>
      </w:r>
    </w:p>
    <w:p w14:paraId="23E8906E" w14:textId="77777777" w:rsidR="00F47A1F" w:rsidRPr="009B378A" w:rsidRDefault="00F47A1F" w:rsidP="00F47A1F">
      <w:pPr>
        <w:pStyle w:val="Quote"/>
      </w:pPr>
      <w:r>
        <w:t>After reading this post, if someone says “Mutual Fund Sahi Hai” or “Suno sabki Karo multi”, you should be able to reflect “Kaunsa Mutual Fund mere liye sahi hai?” and “what multi really is?”</w:t>
      </w:r>
    </w:p>
    <w:p w14:paraId="2BF98E6D" w14:textId="77777777" w:rsidR="00F47A1F" w:rsidRPr="009B378A" w:rsidRDefault="00F47A1F" w:rsidP="00F47A1F">
      <w:pPr>
        <w:pStyle w:val="Heading2"/>
        <w:rPr>
          <w:b/>
          <w:bCs/>
        </w:rPr>
      </w:pPr>
      <w:r>
        <w:lastRenderedPageBreak/>
        <w:t>Key Takeaway</w:t>
      </w:r>
    </w:p>
    <w:tbl>
      <w:tblPr>
        <w:tblW w:w="0" w:type="auto"/>
        <w:tblCellMar>
          <w:top w:w="15" w:type="dxa"/>
          <w:left w:w="15" w:type="dxa"/>
          <w:bottom w:w="15" w:type="dxa"/>
          <w:right w:w="15" w:type="dxa"/>
        </w:tblCellMar>
        <w:tblLook w:val="04A0" w:firstRow="1" w:lastRow="0" w:firstColumn="1" w:lastColumn="0" w:noHBand="0" w:noVBand="1"/>
      </w:tblPr>
      <w:tblGrid>
        <w:gridCol w:w="1841"/>
        <w:gridCol w:w="1739"/>
        <w:gridCol w:w="3078"/>
        <w:gridCol w:w="2348"/>
      </w:tblGrid>
      <w:tr w:rsidR="00F47A1F" w:rsidRPr="009B378A" w14:paraId="6AF1750E" w14:textId="77777777" w:rsidTr="00392776">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9A37F" w14:textId="77777777" w:rsidR="00F47A1F" w:rsidRPr="009B378A" w:rsidRDefault="00F47A1F" w:rsidP="00F47A1F">
            <w:pPr>
              <w:rPr>
                <w:b/>
                <w:bCs/>
              </w:rPr>
            </w:pPr>
            <w:r>
              <w:rPr>
                <w:b/>
                <w:bCs/>
              </w:rPr>
              <w:t>Fund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6205F1" w14:textId="77777777" w:rsidR="00F47A1F" w:rsidRPr="009B378A" w:rsidRDefault="00F47A1F" w:rsidP="00F47A1F">
            <w:pPr>
              <w:rPr>
                <w:b/>
                <w:bCs/>
              </w:rPr>
            </w:pPr>
            <w:r>
              <w:rPr>
                <w:b/>
                <w:bCs/>
              </w:rPr>
              <w:t>Primary Asset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8AE156" w14:textId="77777777" w:rsidR="00F47A1F" w:rsidRPr="009B378A" w:rsidRDefault="00F47A1F" w:rsidP="00F47A1F">
            <w:pPr>
              <w:rPr>
                <w:b/>
                <w:bCs/>
              </w:rPr>
            </w:pPr>
            <w:r>
              <w:rPr>
                <w:b/>
                <w:bCs/>
              </w:rPr>
              <w:t>Asset Allocation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F3AAEF" w14:textId="77777777" w:rsidR="00F47A1F" w:rsidRPr="009B378A" w:rsidRDefault="00F47A1F" w:rsidP="00F47A1F">
            <w:pPr>
              <w:rPr>
                <w:b/>
                <w:bCs/>
              </w:rPr>
            </w:pPr>
            <w:r>
              <w:rPr>
                <w:b/>
                <w:bCs/>
              </w:rPr>
              <w:t>Residual Asset Strategy</w:t>
            </w:r>
          </w:p>
        </w:tc>
      </w:tr>
      <w:tr w:rsidR="00F47A1F" w:rsidRPr="009B378A" w14:paraId="638C4C51" w14:textId="77777777" w:rsidTr="00392776">
        <w:trPr>
          <w:trHeight w:val="904"/>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2478F2" w14:textId="77777777" w:rsidR="00F47A1F" w:rsidRPr="009B378A" w:rsidRDefault="00F47A1F" w:rsidP="00F47A1F">
            <w:r>
              <w:rPr>
                <w:b/>
                <w:bCs/>
              </w:rPr>
              <w:t>Flexi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40B442" w14:textId="77777777" w:rsidR="00F47A1F" w:rsidRPr="009B378A" w:rsidRDefault="00F47A1F" w:rsidP="00F47A1F">
            <w:r>
              <w:t>Equity (Min 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00160" w14:textId="77777777" w:rsidR="00F47A1F" w:rsidRPr="009B378A" w:rsidRDefault="00F47A1F" w:rsidP="00F47A1F">
            <w:r>
              <w:t>Minimum 65% of total assets in equity.</w:t>
            </w:r>
            <w:r>
              <w:rPr>
                <w:rStyle w:val="FootnoteReference"/>
              </w:rPr>
              <w:footnoteReference w:id="3"/>
            </w:r>
            <w:r>
              <w:t xml:space="preserve"> No mandated split across large, mid or small caps. Allocation based on fund manager’s discretion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17899" w14:textId="77777777" w:rsidR="00F47A1F" w:rsidRPr="009B378A" w:rsidRDefault="00F47A1F" w:rsidP="00F47A1F">
            <w:r>
              <w:t>Equity &amp; related, Money market, liquid instruments, Gold/Silver instruments, InvITs</w:t>
            </w:r>
          </w:p>
        </w:tc>
      </w:tr>
      <w:tr w:rsidR="00F47A1F" w:rsidRPr="009B378A" w14:paraId="4E22EED5" w14:textId="77777777" w:rsidTr="00392776">
        <w:trPr>
          <w:trHeight w:val="47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89BE4" w14:textId="77777777" w:rsidR="00F47A1F" w:rsidRPr="009B378A" w:rsidRDefault="00F47A1F" w:rsidP="00F47A1F">
            <w:r>
              <w:rPr>
                <w:b/>
                <w:bCs/>
              </w:rPr>
              <w:t>Multi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6132DA" w14:textId="77777777" w:rsidR="00F47A1F" w:rsidRPr="009B378A" w:rsidRDefault="00F47A1F" w:rsidP="00F47A1F">
            <w:r>
              <w:t>Equity (Min 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E89171" w14:textId="77777777" w:rsidR="00F47A1F" w:rsidRPr="009B378A" w:rsidRDefault="00F47A1F" w:rsidP="00F47A1F">
            <w:r>
              <w:t>Minimum 75% of total assets in equity, including minimum 25% each in large cap, mid cap and small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205106" w14:textId="77777777" w:rsidR="00F47A1F" w:rsidRPr="009B378A" w:rsidRDefault="00F47A1F" w:rsidP="00F47A1F">
            <w:r>
              <w:t>Equity &amp; related,</w:t>
            </w:r>
          </w:p>
          <w:p w14:paraId="38D13D21" w14:textId="77777777" w:rsidR="00F47A1F" w:rsidRPr="009B378A" w:rsidRDefault="00F47A1F" w:rsidP="00F47A1F">
            <w:r>
              <w:t>Money market, liquid instruments, Gold/Silver instruments, InvITs</w:t>
            </w:r>
          </w:p>
        </w:tc>
      </w:tr>
      <w:tr w:rsidR="00F47A1F" w:rsidRPr="009B378A" w14:paraId="7BA764C0" w14:textId="77777777" w:rsidTr="00392776">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314509" w14:textId="77777777" w:rsidR="00F47A1F" w:rsidRPr="009B378A" w:rsidRDefault="00F47A1F" w:rsidP="001417C8">
            <w:r>
              <w:rPr>
                <w:b/>
                <w:bCs/>
              </w:rPr>
              <w:t>Multi Asset Allocation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323413" w14:textId="77777777" w:rsidR="00F47A1F" w:rsidRPr="009B378A" w:rsidRDefault="00F47A1F" w:rsidP="001417C8">
            <w:r>
              <w:t>Equity, Debt, &amp; Alternatives (Min 3 classes)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49385" w14:textId="77777777" w:rsidR="00F47A1F" w:rsidRPr="009B378A" w:rsidRDefault="00F47A1F" w:rsidP="001417C8">
            <w:r>
              <w:t>Min 10% in each chosen asset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9C2E41" w14:textId="77777777" w:rsidR="00F47A1F" w:rsidRPr="009B378A" w:rsidRDefault="00F47A1F" w:rsidP="001417C8">
            <w:r>
              <w:t>Gold/Silver ETFs, InvITs, ETCDs</w:t>
            </w:r>
          </w:p>
        </w:tc>
      </w:tr>
      <w:tr w:rsidR="00F47A1F" w:rsidRPr="009B378A" w14:paraId="447F7180" w14:textId="77777777" w:rsidTr="00392776">
        <w:trPr>
          <w:trHeight w:val="19"/>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D12497" w14:textId="77777777" w:rsidR="00F47A1F" w:rsidRPr="009B378A" w:rsidRDefault="00F47A1F" w:rsidP="00F47A1F">
            <w:r>
              <w:rPr>
                <w:b/>
                <w:bCs/>
              </w:rPr>
              <w:t>Dynamic Asset Allocation (Balanced Advantage)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75A505" w14:textId="77777777" w:rsidR="00F47A1F" w:rsidRPr="009B378A" w:rsidRDefault="00F47A1F" w:rsidP="00F47A1F">
            <w:r>
              <w:t>Equity &amp; Debt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8ADCC" w14:textId="77777777" w:rsidR="00F47A1F" w:rsidRPr="009B378A" w:rsidRDefault="00F47A1F" w:rsidP="00F47A1F">
            <w:r>
              <w:t>No fixed split. Equity and debt are managed dynamically, at the manager's discretion.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40440D" w14:textId="77777777" w:rsidR="00F47A1F" w:rsidRPr="009B378A" w:rsidRDefault="00F47A1F" w:rsidP="00F47A1F">
            <w:r>
              <w:t>Gold/Silver ETFs, InvITs, ETCDs</w:t>
            </w:r>
          </w:p>
        </w:tc>
      </w:tr>
    </w:tbl>
    <w:p w14:paraId="68321FFA" w14:textId="77777777" w:rsidR="00F47A1F" w:rsidRPr="009B378A" w:rsidRDefault="00F47A1F" w:rsidP="00F47A1F"/>
    <w:p w14:paraId="6601A9E9" w14:textId="77777777" w:rsidR="00F47A1F" w:rsidRDefault="00F47A1F" w:rsidP="00F47A1F">
      <w:pPr>
        <w:pStyle w:val="Heading2"/>
      </w:pPr>
      <w:r>
        <w:t>Why does it matter?</w:t>
      </w:r>
    </w:p>
    <w:p w14:paraId="68E045A8" w14:textId="77777777" w:rsidR="009C1354" w:rsidRPr="009C1354" w:rsidRDefault="00DB1DFD" w:rsidP="009C1354">
      <w:r>
        <w:t>It matters because fund categories have different risk and return profile. Equity, Debt and Alternatives (commodity, golds, InvITs) have distinct risk and return profile. The difference in composition of assets and allocation within asset classes can create different risk profiles. Investors must chose based on their risk profile and unique needs.</w:t>
      </w:r>
    </w:p>
    <w:p w14:paraId="7EDD1B17" w14:textId="77777777" w:rsidR="00F47A1F" w:rsidRPr="009B378A" w:rsidRDefault="00F47A1F" w:rsidP="00F47A1F">
      <w:r>
        <w:t>In the absence of any regulatory constraints, a fund might silently deviate away from the initial claim, resulting in a portfolio that deviates significantly from the investor’s original choice. Clear categorization ensures a strategy remains aligned with individual risk tolerance while holding managers responsible for their specific investment boundaries. </w:t>
      </w:r>
    </w:p>
    <w:p w14:paraId="03653220" w14:textId="77777777" w:rsidR="00F47A1F" w:rsidRPr="009B378A" w:rsidRDefault="00F47A1F" w:rsidP="00F47A1F">
      <w:r>
        <w:lastRenderedPageBreak/>
        <w:t>To facilitate this, a fresh SEBI directive regarding the Categorization and Rationalization of Mutual Fund Schemes was released on Feb 26, 2026.</w:t>
      </w:r>
      <w:r>
        <w:rPr>
          <w:rStyle w:val="FootnoteReference"/>
        </w:rPr>
        <w:footnoteReference w:id="4"/>
      </w:r>
      <w:r>
        <w:t xml:space="preserve"> Current mutual fund offerings have been provided a rigorous six-month window from the publication date to harmonize their naming conventions, core objectives, and allocation strategies, concluding around Aug 26, 2026.</w:t>
      </w:r>
      <w:r>
        <w:rPr>
          <w:rStyle w:val="FootnoteReference"/>
        </w:rPr>
        <w:footnoteReference w:id="5"/>
      </w:r>
    </w:p>
    <w:p w14:paraId="5C40B756" w14:textId="77777777" w:rsidR="00F47A1F" w:rsidRPr="009B378A" w:rsidRDefault="00F47A1F" w:rsidP="00F47A1F">
      <w:pPr>
        <w:pStyle w:val="Heading2"/>
        <w:rPr>
          <w:b/>
          <w:bCs/>
        </w:rPr>
      </w:pPr>
      <w:r>
        <w:t>How does it look in practice?</w:t>
      </w:r>
    </w:p>
    <w:p w14:paraId="39C6438C" w14:textId="77777777" w:rsidR="00F47A1F" w:rsidRPr="009B378A" w:rsidRDefault="00F47A1F" w:rsidP="00F47A1F">
      <w:r>
        <w:t>To show how these rules in practice, we analysed four well-known mutual funds, picking one representing each category.</w:t>
      </w:r>
      <w:r>
        <w:rPr>
          <w:rStyle w:val="FootnoteReference"/>
        </w:rPr>
        <w:footnoteReference w:id="6"/>
      </w:r>
      <w:r>
        <w:t xml:space="preserve"> Here is the overview of the 4 funds and their fund categories:</w:t>
      </w:r>
    </w:p>
    <w:p w14:paraId="061A1B85" w14:textId="77777777" w:rsidR="00F47A1F" w:rsidRPr="009B378A" w:rsidRDefault="00F47A1F" w:rsidP="00F47A1F"/>
    <w:tbl>
      <w:tblPr>
        <w:tblW w:w="0" w:type="auto"/>
        <w:tblCellMar>
          <w:top w:w="15" w:type="dxa"/>
          <w:left w:w="15" w:type="dxa"/>
          <w:bottom w:w="15" w:type="dxa"/>
          <w:right w:w="15" w:type="dxa"/>
        </w:tblCellMar>
        <w:tblLook w:val="04A0" w:firstRow="1" w:lastRow="0" w:firstColumn="1" w:lastColumn="0" w:noHBand="0" w:noVBand="1"/>
      </w:tblPr>
      <w:tblGrid>
        <w:gridCol w:w="1452"/>
        <w:gridCol w:w="1335"/>
        <w:gridCol w:w="2157"/>
        <w:gridCol w:w="1773"/>
        <w:gridCol w:w="2289"/>
      </w:tblGrid>
      <w:tr w:rsidR="00F47A1F" w:rsidRPr="009B378A" w14:paraId="0818D784"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29E5FA2" w14:textId="77777777" w:rsidR="00F47A1F" w:rsidRPr="009B378A" w:rsidRDefault="00F47A1F" w:rsidP="00F47A1F">
            <w:pPr>
              <w:rPr>
                <w:b/>
                <w:bCs/>
              </w:rPr>
            </w:pPr>
            <w:r>
              <w:rPr>
                <w:b/>
                <w:bCs/>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0C7AB0A" w14:textId="77777777" w:rsidR="00F47A1F" w:rsidRPr="009B378A" w:rsidRDefault="00F47A1F" w:rsidP="00F47A1F">
            <w:pPr>
              <w:rPr>
                <w:b/>
                <w:bCs/>
              </w:rPr>
            </w:pPr>
            <w:r>
              <w:rPr>
                <w:b/>
                <w:bCs/>
              </w:rPr>
              <w:t>Parag Parikh Flexi Cap</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6F9424D" w14:textId="77777777" w:rsidR="00F47A1F" w:rsidRPr="009B378A" w:rsidRDefault="00F47A1F" w:rsidP="00F47A1F">
            <w:pPr>
              <w:rPr>
                <w:b/>
                <w:bCs/>
              </w:rPr>
            </w:pPr>
            <w:r>
              <w:rPr>
                <w:b/>
                <w:bCs/>
              </w:rPr>
              <w:t>Nippon India Multi Cap</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3714922" w14:textId="77777777" w:rsidR="00F47A1F" w:rsidRPr="009B378A" w:rsidRDefault="00F47A1F" w:rsidP="00F47A1F">
            <w:pPr>
              <w:rPr>
                <w:b/>
                <w:bCs/>
              </w:rPr>
            </w:pPr>
            <w:r>
              <w:rPr>
                <w:b/>
                <w:bCs/>
              </w:rPr>
              <w:t>HDFC Balanced Advantage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C0F756E" w14:textId="77777777" w:rsidR="00F47A1F" w:rsidRPr="009B378A" w:rsidRDefault="00F47A1F" w:rsidP="00F47A1F">
            <w:pPr>
              <w:rPr>
                <w:b/>
                <w:bCs/>
              </w:rPr>
            </w:pPr>
            <w:r>
              <w:rPr>
                <w:b/>
                <w:bCs/>
              </w:rPr>
              <w:t>ICICI Prudential Multi-Asset</w:t>
            </w:r>
          </w:p>
        </w:tc>
      </w:tr>
      <w:tr w:rsidR="00F47A1F" w:rsidRPr="009B378A" w14:paraId="30625A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096F4" w14:textId="77777777" w:rsidR="00F47A1F" w:rsidRPr="009B378A" w:rsidRDefault="00F47A1F" w:rsidP="00F47A1F">
            <w:r>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BEABA" w14:textId="77777777" w:rsidR="00F47A1F" w:rsidRPr="009B378A" w:rsidRDefault="00F47A1F" w:rsidP="00F47A1F">
            <w:r>
              <w:t>Flexi Cap (Equity)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8C47A" w14:textId="77777777" w:rsidR="00F47A1F" w:rsidRPr="009B378A" w:rsidRDefault="00F47A1F" w:rsidP="00F47A1F">
            <w:r>
              <w:t>Multi Cap (Equity)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4D2B" w14:textId="77777777" w:rsidR="00F47A1F" w:rsidRPr="009B378A" w:rsidRDefault="00F47A1F" w:rsidP="00F47A1F">
            <w:r>
              <w:t>Dynamic Asset Allocation (Hybrid)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B4416" w14:textId="77777777" w:rsidR="00F47A1F" w:rsidRPr="009B378A" w:rsidRDefault="00F47A1F" w:rsidP="00F47A1F">
            <w:r>
              <w:t>Multi Asset Allocation</w:t>
            </w:r>
          </w:p>
          <w:p w14:paraId="4EBFD52F" w14:textId="77777777" w:rsidR="00F47A1F" w:rsidRPr="009B378A" w:rsidRDefault="00F47A1F" w:rsidP="00F47A1F">
            <w:r>
              <w:t>(Hybrid)</w:t>
            </w:r>
          </w:p>
        </w:tc>
      </w:tr>
      <w:tr w:rsidR="00F47A1F" w:rsidRPr="009B378A" w14:paraId="4BE04F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630E4" w14:textId="77777777" w:rsidR="00F47A1F" w:rsidRPr="009B378A" w:rsidRDefault="00F47A1F" w:rsidP="00F47A1F">
            <w:r>
              <w:rPr>
                <w:b/>
                <w:bCs/>
              </w:rPr>
              <w:t>Binding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E782F" w14:textId="77777777" w:rsidR="00F47A1F" w:rsidRPr="009B378A" w:rsidRDefault="00F47A1F" w:rsidP="00F47A1F">
            <w:r>
              <w:t>Min 65% equity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5AFB8" w14:textId="77777777" w:rsidR="00F47A1F" w:rsidRPr="009B378A" w:rsidRDefault="00F47A1F" w:rsidP="00F47A1F">
            <w:r>
              <w:t>Min 75% equity, min 25% each in large/mid/small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2D712" w14:textId="77777777" w:rsidR="00F47A1F" w:rsidRPr="009B378A" w:rsidRDefault="00F47A1F" w:rsidP="00F47A1F">
            <w:r>
              <w:t>Equity + debt, managed dynamically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1B457" w14:textId="77777777" w:rsidR="00F47A1F" w:rsidRPr="009B378A" w:rsidRDefault="00F47A1F" w:rsidP="00F47A1F">
            <w:r>
              <w:t>≥3 asset classes, min 10% each</w:t>
            </w:r>
          </w:p>
        </w:tc>
      </w:tr>
      <w:tr w:rsidR="00F47A1F" w:rsidRPr="009B378A" w14:paraId="350E03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8241E" w14:textId="77777777" w:rsidR="00F47A1F" w:rsidRPr="009B378A" w:rsidRDefault="00F47A1F" w:rsidP="00F47A1F">
            <w:r>
              <w:rPr>
                <w:b/>
                <w:bCs/>
              </w:rPr>
              <w:t>AUM (30 Jun 2026)</w:t>
            </w:r>
            <w:r>
              <w:rPr>
                <w:rStyle w:val="FootnoteReference"/>
              </w:rPr>
              <w:footnoteReference w:id="7"/>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E7B94" w14:textId="77777777" w:rsidR="00F47A1F" w:rsidRPr="009B378A" w:rsidRDefault="00F47A1F" w:rsidP="00F47A1F">
            <w:r>
              <w:t>₹1,43,388 cr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786CD" w14:textId="77777777" w:rsidR="00F47A1F" w:rsidRPr="009B378A" w:rsidRDefault="00F47A1F" w:rsidP="00F47A1F">
            <w:r>
              <w:t>₹54,585 cr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B3C7D" w14:textId="77777777" w:rsidR="00F47A1F" w:rsidRPr="009B378A" w:rsidRDefault="00F47A1F" w:rsidP="00F47A1F">
            <w:r>
              <w:t>₹1,06,456 cr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C7554" w14:textId="77777777" w:rsidR="00F47A1F" w:rsidRPr="009B378A" w:rsidRDefault="00F47A1F" w:rsidP="00F47A1F">
            <w:r>
              <w:t>₹84,991 cr</w:t>
            </w:r>
          </w:p>
        </w:tc>
      </w:tr>
      <w:tr w:rsidR="00F47A1F" w:rsidRPr="009B378A" w14:paraId="7D50FF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2E2B0" w14:textId="77777777" w:rsidR="00F47A1F" w:rsidRPr="009B378A" w:rsidRDefault="00F47A1F" w:rsidP="00F47A1F">
            <w:r>
              <w:rPr>
                <w:b/>
                <w:bCs/>
              </w:rPr>
              <w:t>Benchmark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F8216" w14:textId="77777777" w:rsidR="00F47A1F" w:rsidRPr="009B378A" w:rsidRDefault="00F47A1F" w:rsidP="00F47A1F">
            <w:r>
              <w:t>NIFTY 500 TRI</w:t>
            </w:r>
            <w:r>
              <w:rPr>
                <w:rStyle w:val="FootnoteReference"/>
              </w:rPr>
              <w:footnoteReference w:id="8"/>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E3B1F" w14:textId="77777777" w:rsidR="00F47A1F" w:rsidRPr="009B378A" w:rsidRDefault="00F47A1F" w:rsidP="00F47A1F">
            <w:r>
              <w:t>NIFTY 500 Multicap 50:25:25 TRI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EBF6C" w14:textId="77777777" w:rsidR="00F47A1F" w:rsidRPr="009B378A" w:rsidRDefault="00F47A1F" w:rsidP="00F47A1F">
            <w:r>
              <w:t>NIFTY 50 Hybrid Composite Debt 50:50 TRI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25DB0" w14:textId="77777777" w:rsidR="00F47A1F" w:rsidRPr="009B378A" w:rsidRDefault="00F47A1F" w:rsidP="00F47A1F">
            <w:r>
              <w:t>NIFTY 200 TRI 65% + Nifty Composite Debt 25% + Gold 6% + Silver 1% + iCOMDEX 3%</w:t>
            </w:r>
          </w:p>
        </w:tc>
      </w:tr>
    </w:tbl>
    <w:p w14:paraId="276303C9" w14:textId="77777777" w:rsidR="00F47A1F" w:rsidRPr="009B378A" w:rsidRDefault="00F47A1F" w:rsidP="00F47A1F"/>
    <w:p w14:paraId="1C95091E" w14:textId="77777777" w:rsidR="00F47A1F" w:rsidRPr="009B378A" w:rsidRDefault="00F47A1F" w:rsidP="00F47A1F">
      <w:pPr>
        <w:pStyle w:val="Heading3"/>
      </w:pPr>
      <w:r>
        <w:lastRenderedPageBreak/>
        <w:t>Primary assets differ in allocation among the categories</w:t>
      </w:r>
    </w:p>
    <w:p w14:paraId="1C8B883C" w14:textId="77777777" w:rsidR="00F47A1F" w:rsidRPr="009B378A" w:rsidRDefault="00F47A1F" w:rsidP="00F47A1F">
      <w:r>
        <w:t>The Equity-vs-Hybrid regulatory distinction is clear. Equity schemes like PPFAS (88%) and Nippon India (99.4%) hold negligible debt. Conversely, the Hybrid schemes utilize their multi-asset mandates effectively: HDFC Balanced Advantage Fund maintains a 25.1% debt allocation, while ICICI Multi-Asset Fund allocates 10.0% to alternatives like gold and InvITs.</w:t>
      </w:r>
    </w:p>
    <w:p w14:paraId="2FF63273" w14:textId="77777777" w:rsidR="00F47A1F" w:rsidRPr="009B378A" w:rsidRDefault="00F47A1F" w:rsidP="00F47A1F"/>
    <w:tbl>
      <w:tblPr>
        <w:tblW w:w="0" w:type="auto"/>
        <w:tblCellMar>
          <w:top w:w="15" w:type="dxa"/>
          <w:left w:w="15" w:type="dxa"/>
          <w:bottom w:w="15" w:type="dxa"/>
          <w:right w:w="15" w:type="dxa"/>
        </w:tblCellMar>
        <w:tblLook w:val="04A0" w:firstRow="1" w:lastRow="0" w:firstColumn="1" w:lastColumn="0" w:noHBand="0" w:noVBand="1"/>
      </w:tblPr>
      <w:tblGrid>
        <w:gridCol w:w="1955"/>
        <w:gridCol w:w="1730"/>
        <w:gridCol w:w="964"/>
        <w:gridCol w:w="927"/>
        <w:gridCol w:w="1634"/>
        <w:gridCol w:w="1796"/>
      </w:tblGrid>
      <w:tr w:rsidR="00F47A1F" w:rsidRPr="009B378A" w14:paraId="06C63A5B" w14:textId="77777777">
        <w:trPr>
          <w:trHeight w:val="770"/>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12FA38A7" w14:textId="77777777" w:rsidR="00F47A1F" w:rsidRPr="009B378A" w:rsidRDefault="00F47A1F" w:rsidP="00F47A1F">
            <w:pPr>
              <w:rPr>
                <w:b/>
                <w:bCs/>
              </w:rPr>
            </w:pPr>
            <w:r>
              <w:rPr>
                <w:b/>
                <w:bCs/>
              </w:rPr>
              <w:t>Fund</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45C0E19" w14:textId="77777777" w:rsidR="00F47A1F" w:rsidRPr="009B378A" w:rsidRDefault="00F47A1F" w:rsidP="00F47A1F">
            <w:pPr>
              <w:rPr>
                <w:b/>
                <w:bCs/>
              </w:rPr>
            </w:pPr>
            <w:r>
              <w:rPr>
                <w:b/>
                <w:bCs/>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A95AE18" w14:textId="77777777" w:rsidR="00F47A1F" w:rsidRPr="009B378A" w:rsidRDefault="00F47A1F" w:rsidP="00F47A1F">
            <w:pPr>
              <w:rPr>
                <w:b/>
                <w:bCs/>
              </w:rPr>
            </w:pPr>
            <w:r>
              <w:rPr>
                <w:b/>
                <w:bCs/>
              </w:rPr>
              <w:t>Equity</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B44C6D4" w14:textId="77777777" w:rsidR="00F47A1F" w:rsidRPr="009B378A" w:rsidRDefault="00F47A1F" w:rsidP="00F47A1F">
            <w:pPr>
              <w:rPr>
                <w:b/>
                <w:bCs/>
              </w:rPr>
            </w:pPr>
            <w:r>
              <w:rPr>
                <w:b/>
                <w:bCs/>
              </w:rPr>
              <w:t>Debt</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88C9372" w14:textId="77777777" w:rsidR="00F47A1F" w:rsidRPr="009B378A" w:rsidRDefault="00F47A1F" w:rsidP="00F47A1F">
            <w:pPr>
              <w:rPr>
                <w:b/>
                <w:bCs/>
              </w:rPr>
            </w:pPr>
            <w:r>
              <w:rPr>
                <w:b/>
                <w:bCs/>
              </w:rPr>
              <w:t>Alternatives</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40173DA" w14:textId="77777777" w:rsidR="00F47A1F" w:rsidRPr="009B378A" w:rsidRDefault="00F47A1F" w:rsidP="00F47A1F">
            <w:pPr>
              <w:rPr>
                <w:b/>
                <w:bCs/>
              </w:rPr>
            </w:pPr>
            <w:r>
              <w:rPr>
                <w:b/>
                <w:bCs/>
              </w:rPr>
              <w:t>Cash &amp; Equivalents</w:t>
            </w:r>
          </w:p>
        </w:tc>
      </w:tr>
      <w:tr w:rsidR="00F47A1F" w:rsidRPr="009B378A" w14:paraId="63589EA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96575" w14:textId="77777777" w:rsidR="00F47A1F" w:rsidRPr="009B378A" w:rsidRDefault="00F47A1F" w:rsidP="00F47A1F">
            <w:r>
              <w:t>PPFAS Flexi Cap Fund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646BE" w14:textId="77777777" w:rsidR="00F47A1F" w:rsidRPr="009B378A" w:rsidRDefault="00F47A1F" w:rsidP="00F47A1F">
            <w:r>
              <w:t>Flexi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4CFFF" w14:textId="77777777" w:rsidR="00F47A1F" w:rsidRPr="009B378A" w:rsidRDefault="00F47A1F" w:rsidP="00F47A1F">
            <w:r>
              <w:t>87.7%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C55D6" w14:textId="77777777" w:rsidR="00F47A1F" w:rsidRPr="009B378A" w:rsidRDefault="00F47A1F" w:rsidP="00F47A1F">
            <w:r>
              <w:t>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5B14E" w14:textId="77777777" w:rsidR="00F47A1F" w:rsidRPr="009B378A" w:rsidRDefault="00CC55D0" w:rsidP="00F47A1F">
            <w:r>
              <w:t>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FF0E0" w14:textId="77777777" w:rsidR="00F47A1F" w:rsidRPr="009B378A" w:rsidRDefault="00F47A1F" w:rsidP="00F47A1F">
            <w:r>
              <w:t>12.3%</w:t>
            </w:r>
          </w:p>
        </w:tc>
      </w:tr>
      <w:tr w:rsidR="00F47A1F" w:rsidRPr="009B378A" w14:paraId="460494C9"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B98B4" w14:textId="77777777" w:rsidR="00F47A1F" w:rsidRPr="009B378A" w:rsidRDefault="00F47A1F" w:rsidP="00F47A1F">
            <w:r>
              <w:t>Nippon India Multi Cap Fund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E0D06" w14:textId="77777777" w:rsidR="00F47A1F" w:rsidRPr="009B378A" w:rsidRDefault="00F47A1F" w:rsidP="00F47A1F">
            <w:r>
              <w:t>Multi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6A501" w14:textId="77777777" w:rsidR="00F47A1F" w:rsidRPr="009B378A" w:rsidRDefault="00F47A1F" w:rsidP="00F47A1F">
            <w:r>
              <w:t>99.4%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4DAB9" w14:textId="77777777" w:rsidR="00F47A1F" w:rsidRPr="009B378A" w:rsidRDefault="00F47A1F" w:rsidP="00F47A1F">
            <w:r>
              <w:t>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7D05C" w14:textId="77777777" w:rsidR="00F47A1F" w:rsidRPr="009B378A" w:rsidRDefault="00F47A1F" w:rsidP="00F47A1F">
            <w:r>
              <w:t>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13B81" w14:textId="77777777" w:rsidR="00F47A1F" w:rsidRPr="009B378A" w:rsidRDefault="00F47A1F" w:rsidP="00F47A1F">
            <w:r>
              <w:t>0.6%</w:t>
            </w:r>
          </w:p>
        </w:tc>
      </w:tr>
      <w:tr w:rsidR="00F47A1F" w:rsidRPr="009B378A" w14:paraId="4EB252C9"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CC374" w14:textId="77777777" w:rsidR="00F47A1F" w:rsidRPr="009B378A" w:rsidRDefault="00F47A1F" w:rsidP="00F47A1F">
            <w:r>
              <w:t>ICICI Prudential Multi-Asset Fund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30A37" w14:textId="77777777" w:rsidR="00F47A1F" w:rsidRPr="009B378A" w:rsidRDefault="00F47A1F" w:rsidP="00F47A1F">
            <w:r>
              <w:t>Multi Asset Allocation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BA7FD" w14:textId="77777777" w:rsidR="00F47A1F" w:rsidRPr="009B378A" w:rsidRDefault="00F47A1F" w:rsidP="00F47A1F">
            <w:r>
              <w:t>68.4%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85DBF" w14:textId="77777777" w:rsidR="00F47A1F" w:rsidRPr="009B378A" w:rsidRDefault="00F47A1F" w:rsidP="00F47A1F">
            <w:r>
              <w:t>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10AC7" w14:textId="77777777" w:rsidR="00F47A1F" w:rsidRPr="009B378A" w:rsidRDefault="00F47A1F" w:rsidP="00F47A1F">
            <w: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75C71" w14:textId="77777777" w:rsidR="00F47A1F" w:rsidRPr="009B378A" w:rsidRDefault="00F47A1F" w:rsidP="00F47A1F">
            <w:r>
              <w:t>13.3%</w:t>
            </w:r>
          </w:p>
        </w:tc>
      </w:tr>
      <w:tr w:rsidR="00F47A1F" w:rsidRPr="009B378A" w14:paraId="439BB4A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ECCE7" w14:textId="77777777" w:rsidR="00F47A1F" w:rsidRPr="009B378A" w:rsidRDefault="00F47A1F" w:rsidP="00F47A1F">
            <w:r>
              <w:t>HDFC Balanced Advantage Fund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7243" w14:textId="77777777" w:rsidR="00F47A1F" w:rsidRPr="009B378A" w:rsidRDefault="00F47A1F" w:rsidP="00F47A1F">
            <w:r>
              <w:t>Dynamic Asset Allocation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764F6" w14:textId="77777777" w:rsidR="00F47A1F" w:rsidRPr="009B378A" w:rsidRDefault="00F47A1F" w:rsidP="00F47A1F">
            <w:r>
              <w:t>72.0%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8E524" w14:textId="77777777" w:rsidR="00F47A1F" w:rsidRPr="009B378A" w:rsidRDefault="00F47A1F" w:rsidP="00F47A1F">
            <w:r>
              <w:t>25.1%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B83A0" w14:textId="77777777" w:rsidR="00F47A1F" w:rsidRPr="009B378A" w:rsidRDefault="00652F2E" w:rsidP="00F47A1F">
            <w:r>
              <w: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55A09" w14:textId="77777777" w:rsidR="00F47A1F" w:rsidRPr="009B378A" w:rsidRDefault="00F47A1F" w:rsidP="00F47A1F">
            <w:r>
              <w:t>2.6%</w:t>
            </w:r>
          </w:p>
        </w:tc>
      </w:tr>
      <w:tr w:rsidR="00F47A1F" w:rsidRPr="009B378A" w14:paraId="4B4F7C99" w14:textId="77777777">
        <w:tc>
          <w:tcPr>
            <w:tcW w:w="0" w:type="auto"/>
            <w:gridSpan w:val="6"/>
            <w:tcBorders>
              <w:top w:val="single" w:sz="8" w:space="0" w:color="000000"/>
              <w:left w:val="single" w:sz="8" w:space="0" w:color="000000"/>
              <w:bottom w:val="single" w:sz="8" w:space="0" w:color="000000"/>
              <w:right w:val="single" w:sz="8" w:space="0" w:color="000000"/>
            </w:tcBorders>
            <w:shd w:val="clear" w:color="auto" w:fill="F9F9F9"/>
            <w:tcMar>
              <w:top w:w="100" w:type="dxa"/>
              <w:left w:w="100" w:type="dxa"/>
              <w:bottom w:w="100" w:type="dxa"/>
              <w:right w:w="100" w:type="dxa"/>
            </w:tcMar>
            <w:hideMark/>
          </w:tcPr>
          <w:p w14:paraId="476D6884" w14:textId="77777777" w:rsidR="00F47A1F" w:rsidRPr="009B378A" w:rsidRDefault="009A1B85" w:rsidP="00F47A1F">
            <w:r>
              <w:rPr>
                <w:i/>
                <w:iCs/>
              </w:rPr>
              <w:t>Note: Alternatives = InvITs and Gold ETF units (REITs</w:t>
            </w:r>
            <w:r>
              <w:rPr>
                <w:rStyle w:val="FootnoteReference"/>
              </w:rPr>
              <w:footnoteReference w:id="9"/>
            </w:r>
            <w:r>
              <w:rPr>
                <w:i/>
                <w:iCs/>
              </w:rPr>
              <w:t xml:space="preserve"> are now classified as equity-related instruments per SEBI’s Master Circular, and are included in Equity above). Cash &amp; Equivalents = money market instruments, TREPS</w:t>
            </w:r>
            <w:r>
              <w:rPr>
                <w:rStyle w:val="FootnoteReference"/>
              </w:rPr>
              <w:footnoteReference w:id="10"/>
            </w:r>
            <w:r>
              <w:rPr>
                <w:i/>
                <w:iCs/>
              </w:rPr>
              <w:t xml:space="preserve"> and net current assets. Debt and Cash &amp; Equivalents are split for comparison clarity.</w:t>
            </w:r>
          </w:p>
        </w:tc>
      </w:tr>
    </w:tbl>
    <w:p w14:paraId="436BE1F5" w14:textId="77777777" w:rsidR="00F47A1F" w:rsidRPr="009B378A" w:rsidRDefault="00F47A1F" w:rsidP="00F47A1F">
      <w:r>
        <w:br/>
      </w:r>
    </w:p>
    <w:p w14:paraId="1CC84ED2" w14:textId="77777777" w:rsidR="00F47A1F" w:rsidRPr="009B378A" w:rsidRDefault="00F47A1F" w:rsidP="00F47A1F">
      <w:pPr>
        <w:pStyle w:val="Heading3"/>
      </w:pPr>
      <w:r>
        <w:t>Asset allocation across the market cap differs</w:t>
      </w:r>
    </w:p>
    <w:p w14:paraId="4B848775" w14:textId="77777777" w:rsidR="00F47A1F" w:rsidRPr="009B378A" w:rsidRDefault="00F47A1F" w:rsidP="00F47A1F">
      <w:r>
        <w:t>Flexi Cap's flexibility allows PPFAS to hold just 7.5% in mid and small caps. Meanwhile, Nippon India Multicap clears its 25% minimum floor across large, mid, and small caps. Across asset classes, ICICI Multi-Asset Fund satisfies SEBI's 10% floor once debt is properly counted to include all debt-like holdings (totalling 21.5%), rather than just long-term bonds (8.2%). Lastly, HDFC Balanced Advantage Fund illustrates dynamic management with its 72.0% equity and 25.1% debt split, which can be freely adjusted as the category enforces no minimum thresholds.</w:t>
      </w:r>
    </w:p>
    <w:p w14:paraId="364D840C" w14:textId="77777777" w:rsidR="00F47A1F" w:rsidRPr="009B378A" w:rsidRDefault="00F47A1F" w:rsidP="00F47A1F"/>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975"/>
        <w:gridCol w:w="1417"/>
        <w:gridCol w:w="1276"/>
        <w:gridCol w:w="1276"/>
        <w:gridCol w:w="904"/>
        <w:gridCol w:w="1647"/>
      </w:tblGrid>
      <w:tr w:rsidR="00FF7E14" w:rsidRPr="009B378A" w14:paraId="51E24987" w14:textId="77777777" w:rsidTr="00DC2DE5">
        <w:trPr>
          <w:tblHeade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14:paraId="56CF9374" w14:textId="77777777" w:rsidR="00FF7E14" w:rsidRPr="009B378A" w:rsidRDefault="00FF7E14" w:rsidP="00DC2DE5">
            <w:pPr>
              <w:rPr>
                <w:b/>
                <w:bCs/>
              </w:rPr>
            </w:pPr>
            <w:r>
              <w:rPr>
                <w:b/>
                <w:bCs/>
              </w:rPr>
              <w:t>Fund</w:t>
            </w:r>
          </w:p>
        </w:tc>
        <w:tc>
          <w:tcPr>
            <w:tcW w:w="1417"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14:paraId="7458B3D6" w14:textId="77777777" w:rsidR="00FF7E14" w:rsidRPr="009B378A" w:rsidRDefault="00FF7E14" w:rsidP="00DC2DE5">
            <w:pPr>
              <w:rPr>
                <w:b/>
                <w:bCs/>
              </w:rPr>
            </w:pPr>
            <w:r>
              <w:rPr>
                <w:b/>
                <w:bCs/>
              </w:rPr>
              <w:t>Large Cap</w:t>
            </w:r>
          </w:p>
        </w:tc>
        <w:tc>
          <w:tcPr>
            <w:tcW w:w="1276"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14:paraId="09F80BC3" w14:textId="77777777" w:rsidR="00FF7E14" w:rsidRPr="009B378A" w:rsidRDefault="00FF7E14" w:rsidP="00DC2DE5">
            <w:pPr>
              <w:rPr>
                <w:b/>
                <w:bCs/>
              </w:rPr>
            </w:pPr>
            <w:r>
              <w:rPr>
                <w:b/>
                <w:bCs/>
              </w:rPr>
              <w:t>Mid Cap</w:t>
            </w:r>
          </w:p>
        </w:tc>
        <w:tc>
          <w:tcPr>
            <w:tcW w:w="1276"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14:paraId="0BE7E46D" w14:textId="77777777" w:rsidR="00FF7E14" w:rsidRPr="009B378A" w:rsidRDefault="00FF7E14" w:rsidP="00DC2DE5">
            <w:pPr>
              <w:rPr>
                <w:b/>
                <w:bCs/>
              </w:rPr>
            </w:pPr>
            <w:r>
              <w:rPr>
                <w:b/>
                <w:bCs/>
              </w:rPr>
              <w:t>Small Cap</w:t>
            </w:r>
          </w:p>
        </w:tc>
        <w:tc>
          <w:tcPr>
            <w:tcW w:w="904" w:type="dxa"/>
            <w:tcBorders>
              <w:top w:val="single" w:sz="8" w:space="0" w:color="000000"/>
              <w:left w:val="single" w:sz="8" w:space="0" w:color="000000"/>
              <w:bottom w:val="single" w:sz="8" w:space="0" w:color="000000"/>
              <w:right w:val="single" w:sz="8" w:space="0" w:color="000000"/>
            </w:tcBorders>
            <w:shd w:val="clear" w:color="auto" w:fill="F3F3F3"/>
            <w:vAlign w:val="center"/>
          </w:tcPr>
          <w:p w14:paraId="5A32DFFF" w14:textId="77777777" w:rsidR="00FF7E14" w:rsidRPr="009B378A" w:rsidRDefault="00FF7E14" w:rsidP="00DC2DE5">
            <w:pPr>
              <w:rPr>
                <w:b/>
                <w:bCs/>
              </w:rPr>
            </w:pPr>
            <w:r>
              <w:rPr>
                <w:b/>
                <w:bCs/>
              </w:rPr>
              <w:t>REITs</w:t>
            </w:r>
          </w:p>
        </w:tc>
        <w:tc>
          <w:tcPr>
            <w:tcW w:w="1647"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14:paraId="6CC80E87" w14:textId="77777777" w:rsidR="00FF7E14" w:rsidRPr="009B378A" w:rsidRDefault="00FF7E14" w:rsidP="00DC2DE5">
            <w:pPr>
              <w:rPr>
                <w:b/>
                <w:bCs/>
              </w:rPr>
            </w:pPr>
            <w:r>
              <w:rPr>
                <w:b/>
                <w:bCs/>
              </w:rPr>
              <w:t>Foreign Equity</w:t>
            </w:r>
          </w:p>
        </w:tc>
      </w:tr>
      <w:tr w:rsidR="00FF7E14" w:rsidRPr="009B378A" w14:paraId="7906643B" w14:textId="77777777" w:rsidTr="00DC2DE5">
        <w:trPr>
          <w:jc w:val="center"/>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B9CE0" w14:textId="77777777" w:rsidR="00FF7E14" w:rsidRPr="009B378A" w:rsidRDefault="00FF7E14" w:rsidP="00DC2DE5">
            <w:r>
              <w:t>PPFAS Flexi Cap Fund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E3F9A" w14:textId="77777777" w:rsidR="00FF7E14" w:rsidRPr="009B378A" w:rsidRDefault="00FF7E14" w:rsidP="00DC2DE5">
            <w:r>
              <w:t>65.3%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4AC518" w14:textId="77777777" w:rsidR="00FF7E14" w:rsidRPr="009B378A" w:rsidRDefault="00FF7E14" w:rsidP="00DC2DE5">
            <w:r>
              <w:t>3.3%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7814DF" w14:textId="77777777" w:rsidR="00FF7E14" w:rsidRPr="009B378A" w:rsidRDefault="00FF7E14" w:rsidP="00DC2DE5">
            <w:r>
              <w:t>4.2%</w:t>
            </w:r>
          </w:p>
        </w:tc>
        <w:tc>
          <w:tcPr>
            <w:tcW w:w="904" w:type="dxa"/>
            <w:tcBorders>
              <w:top w:val="single" w:sz="8" w:space="0" w:color="000000"/>
              <w:left w:val="single" w:sz="8" w:space="0" w:color="000000"/>
              <w:bottom w:val="single" w:sz="8" w:space="0" w:color="000000"/>
              <w:right w:val="single" w:sz="8" w:space="0" w:color="000000"/>
            </w:tcBorders>
            <w:vAlign w:val="center"/>
          </w:tcPr>
          <w:p w14:paraId="52C558BF" w14:textId="77777777" w:rsidR="00FF7E14" w:rsidRPr="009B378A" w:rsidRDefault="00DC2DE5" w:rsidP="00DC2DE5">
            <w:r>
              <w:t>4.2%</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EA77E4" w14:textId="77777777" w:rsidR="00FF7E14" w:rsidRPr="009B378A" w:rsidRDefault="00FF7E14" w:rsidP="00DC2DE5">
            <w:r>
              <w:t>10.7%</w:t>
            </w:r>
          </w:p>
        </w:tc>
      </w:tr>
      <w:tr w:rsidR="00FF7E14" w:rsidRPr="009B378A" w14:paraId="46F5D0F8" w14:textId="77777777" w:rsidTr="00DC2DE5">
        <w:trPr>
          <w:jc w:val="center"/>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4015C3" w14:textId="77777777" w:rsidR="00FF7E14" w:rsidRPr="009B378A" w:rsidRDefault="00FF7E14" w:rsidP="00DC2DE5">
            <w:r>
              <w:t>Nippon India Multi Cap Fund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8F83BB" w14:textId="77777777" w:rsidR="00FF7E14" w:rsidRPr="009B378A" w:rsidRDefault="00FF7E14" w:rsidP="00DC2DE5">
            <w:r>
              <w:t>43.9%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BD3EA7" w14:textId="77777777" w:rsidR="00FF7E14" w:rsidRPr="009B378A" w:rsidRDefault="00FF7E14" w:rsidP="00DC2DE5">
            <w:r>
              <w:t>27.8%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95C77" w14:textId="77777777" w:rsidR="00FF7E14" w:rsidRPr="009B378A" w:rsidRDefault="00FF7E14" w:rsidP="00DC2DE5">
            <w:r>
              <w:t>27.7%</w:t>
            </w:r>
          </w:p>
        </w:tc>
        <w:tc>
          <w:tcPr>
            <w:tcW w:w="904" w:type="dxa"/>
            <w:tcBorders>
              <w:top w:val="single" w:sz="8" w:space="0" w:color="000000"/>
              <w:left w:val="single" w:sz="8" w:space="0" w:color="000000"/>
              <w:bottom w:val="single" w:sz="8" w:space="0" w:color="000000"/>
              <w:right w:val="single" w:sz="8" w:space="0" w:color="000000"/>
            </w:tcBorders>
            <w:vAlign w:val="center"/>
          </w:tcPr>
          <w:p w14:paraId="3CFD2C3B" w14:textId="77777777" w:rsidR="00FF7E14" w:rsidRPr="009B378A" w:rsidRDefault="00FF7E14" w:rsidP="00DC2DE5"/>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969598" w14:textId="77777777" w:rsidR="00FF7E14" w:rsidRPr="009B378A" w:rsidRDefault="00FF7E14" w:rsidP="00DC2DE5">
            <w:r>
              <w:t>–</w:t>
            </w:r>
          </w:p>
        </w:tc>
      </w:tr>
      <w:tr w:rsidR="00FF7E14" w:rsidRPr="009B378A" w14:paraId="2737F91E" w14:textId="77777777" w:rsidTr="00DC2DE5">
        <w:trPr>
          <w:jc w:val="center"/>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5E9162" w14:textId="77777777" w:rsidR="00FF7E14" w:rsidRPr="009B378A" w:rsidRDefault="00FF7E14" w:rsidP="00DC2DE5">
            <w:r>
              <w:t>ICICI Prudential Multi-Asset Fund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FC4DE5" w14:textId="77777777" w:rsidR="00FF7E14" w:rsidRPr="009B378A" w:rsidRDefault="00FF7E14" w:rsidP="00DC2DE5">
            <w:r>
              <w:t>45.6%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45163E" w14:textId="77777777" w:rsidR="00FF7E14" w:rsidRPr="009B378A" w:rsidRDefault="00FF7E14" w:rsidP="00DC2DE5">
            <w:r>
              <w:t>14.6%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733060" w14:textId="77777777" w:rsidR="00FF7E14" w:rsidRPr="009B378A" w:rsidRDefault="00FF7E14" w:rsidP="00DC2DE5">
            <w:r>
              <w:t>6.9%</w:t>
            </w:r>
          </w:p>
        </w:tc>
        <w:tc>
          <w:tcPr>
            <w:tcW w:w="904" w:type="dxa"/>
            <w:tcBorders>
              <w:top w:val="single" w:sz="8" w:space="0" w:color="000000"/>
              <w:left w:val="single" w:sz="8" w:space="0" w:color="000000"/>
              <w:bottom w:val="single" w:sz="8" w:space="0" w:color="000000"/>
              <w:right w:val="single" w:sz="8" w:space="0" w:color="000000"/>
            </w:tcBorders>
            <w:vAlign w:val="center"/>
          </w:tcPr>
          <w:p w14:paraId="0613A36D" w14:textId="77777777" w:rsidR="00FF7E14" w:rsidRPr="009B378A" w:rsidRDefault="00DC2DE5" w:rsidP="00DC2DE5">
            <w:r>
              <w:t>1.0%</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714A30" w14:textId="77777777" w:rsidR="00FF7E14" w:rsidRPr="009B378A" w:rsidRDefault="00FF7E14" w:rsidP="00DC2DE5">
            <w:r>
              <w:t>0.4%</w:t>
            </w:r>
          </w:p>
        </w:tc>
      </w:tr>
      <w:tr w:rsidR="00FF7E14" w:rsidRPr="009B378A" w14:paraId="29EC4715" w14:textId="77777777" w:rsidTr="00DC2DE5">
        <w:trPr>
          <w:jc w:val="center"/>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5CBA08" w14:textId="77777777" w:rsidR="00FF7E14" w:rsidRPr="009B378A" w:rsidRDefault="00FF7E14" w:rsidP="00DC2DE5">
            <w:r>
              <w:t>HDFC Balanced Advantage Fund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599F58" w14:textId="77777777" w:rsidR="00FF7E14" w:rsidRPr="009B378A" w:rsidRDefault="00FF7E14" w:rsidP="00DC2DE5">
            <w:r>
              <w:t>52.8%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42D606" w14:textId="77777777" w:rsidR="00FF7E14" w:rsidRPr="009B378A" w:rsidRDefault="00FF7E14" w:rsidP="00DC2DE5">
            <w:r>
              <w:t>9.7%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1982F7" w14:textId="77777777" w:rsidR="00FF7E14" w:rsidRPr="009B378A" w:rsidRDefault="00FF7E14" w:rsidP="00DC2DE5">
            <w:r>
              <w:t>8.3%</w:t>
            </w:r>
          </w:p>
        </w:tc>
        <w:tc>
          <w:tcPr>
            <w:tcW w:w="904" w:type="dxa"/>
            <w:tcBorders>
              <w:top w:val="single" w:sz="8" w:space="0" w:color="000000"/>
              <w:left w:val="single" w:sz="8" w:space="0" w:color="000000"/>
              <w:bottom w:val="single" w:sz="8" w:space="0" w:color="000000"/>
              <w:right w:val="single" w:sz="8" w:space="0" w:color="000000"/>
            </w:tcBorders>
            <w:vAlign w:val="center"/>
          </w:tcPr>
          <w:p w14:paraId="3AC20EF4" w14:textId="77777777" w:rsidR="00FF7E14" w:rsidRPr="009B378A" w:rsidRDefault="00DC2DE5" w:rsidP="00DC2DE5">
            <w:r>
              <w:t>1.3%</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47C95" w14:textId="77777777" w:rsidR="00FF7E14" w:rsidRPr="009B378A" w:rsidRDefault="00FF7E14" w:rsidP="00DC2DE5">
            <w:r>
              <w:t>–</w:t>
            </w:r>
          </w:p>
        </w:tc>
      </w:tr>
    </w:tbl>
    <w:p w14:paraId="686FBA22" w14:textId="77777777" w:rsidR="00F47A1F" w:rsidRPr="009B378A" w:rsidRDefault="00F47A1F" w:rsidP="00F47A1F"/>
    <w:p w14:paraId="21448B76" w14:textId="77777777" w:rsidR="00F47A1F" w:rsidRPr="009B378A" w:rsidRDefault="00F47A1F" w:rsidP="00F47A1F">
      <w:pPr>
        <w:pStyle w:val="Heading3"/>
      </w:pPr>
      <w:r>
        <w:t>Residual assets, type of residual assets in different categories</w:t>
      </w:r>
    </w:p>
    <w:p w14:paraId="6875A3BD" w14:textId="1D92B48A" w:rsidR="00F47A1F" w:rsidRPr="009B378A" w:rsidRDefault="0084206F" w:rsidP="00F47A1F">
      <w:r w:rsidRPr="009B378A">
        <w:t>This highlights the Equity-vs-Hybrid distinction. PPFAS (Equity)</w:t>
      </w:r>
      <w:r>
        <w:t xml:space="preserve"> &amp; </w:t>
      </w:r>
      <w:r w:rsidRPr="009B378A">
        <w:t>Nippon India Multicap</w:t>
      </w:r>
      <w:r>
        <w:t xml:space="preserve"> (Equity) park their residual assets in Cash &amp; Cash equivalent assets (REITS are now classified as Equity related assets)</w:t>
      </w:r>
      <w:r w:rsidRPr="009B378A">
        <w:t xml:space="preserve">. </w:t>
      </w:r>
      <w:r w:rsidRPr="006E455B">
        <w:t>Hybrid schemes make fuller use of the wider toolkit available to them: HDFC Balanced Advantage and ICICI Multi-Asset both hold InvIT</w:t>
      </w:r>
      <w:r w:rsidRPr="006E455B">
        <w:rPr>
          <w:vertAlign w:val="superscript"/>
        </w:rPr>
        <w:footnoteReference w:id="11"/>
      </w:r>
      <w:r w:rsidRPr="006E455B">
        <w:t xml:space="preserve"> units, and ICICI also runs a Gold ETF along with gold and crude-oil futures (ETCDs)</w:t>
      </w:r>
      <w:r w:rsidRPr="006E455B">
        <w:rPr>
          <w:vertAlign w:val="superscript"/>
        </w:rPr>
        <w:footnoteReference w:id="12"/>
      </w:r>
      <w:r w:rsidRPr="006E455B">
        <w:t xml:space="preserve">. </w:t>
      </w:r>
    </w:p>
    <w:p w14:paraId="14058C7F" w14:textId="2024C2B1" w:rsidR="00F47A1F" w:rsidRPr="0084206F" w:rsidRDefault="00F47A1F" w:rsidP="0084206F">
      <w:pPr>
        <w:pStyle w:val="Heading2"/>
        <w:rPr>
          <w:b/>
          <w:bCs/>
        </w:rPr>
      </w:pPr>
      <w:r>
        <w:t>Which category suits which kind of investor, and what to compare each against?</w:t>
      </w:r>
    </w:p>
    <w:p w14:paraId="33EBAC4B" w14:textId="77777777" w:rsidR="00F47A1F" w:rsidRPr="009B378A" w:rsidRDefault="009C1354" w:rsidP="00F47A1F">
      <w:r>
        <w:t xml:space="preserve">As it is clear that the fund returns and risk can vary due to different asset allocation rules. Here is the broad summary of what we can expect from each fund. </w:t>
      </w:r>
    </w:p>
    <w:tbl>
      <w:tblPr>
        <w:tblW w:w="0" w:type="auto"/>
        <w:jc w:val="center"/>
        <w:tblCellMar>
          <w:top w:w="15" w:type="dxa"/>
          <w:left w:w="15" w:type="dxa"/>
          <w:bottom w:w="15" w:type="dxa"/>
          <w:right w:w="15" w:type="dxa"/>
        </w:tblCellMar>
        <w:tblLook w:val="04A0" w:firstRow="1" w:lastRow="0" w:firstColumn="1" w:lastColumn="0" w:noHBand="0" w:noVBand="1"/>
      </w:tblPr>
      <w:tblGrid>
        <w:gridCol w:w="3916"/>
        <w:gridCol w:w="2799"/>
        <w:gridCol w:w="2291"/>
      </w:tblGrid>
      <w:tr w:rsidR="00F47A1F" w:rsidRPr="009B378A" w14:paraId="6D365296"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33D9003" w14:textId="77777777" w:rsidR="00F47A1F" w:rsidRPr="009B378A" w:rsidRDefault="00F47A1F" w:rsidP="00F47A1F">
            <w:pPr>
              <w:rPr>
                <w:b/>
                <w:bCs/>
              </w:rPr>
            </w:pPr>
            <w:r>
              <w:rPr>
                <w:b/>
                <w:bCs/>
              </w:rPr>
              <w:t>If you want…</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1BCAA9F8" w14:textId="77777777" w:rsidR="00F47A1F" w:rsidRPr="009B378A" w:rsidRDefault="00F47A1F" w:rsidP="00F47A1F">
            <w:pPr>
              <w:rPr>
                <w:b/>
                <w:bCs/>
              </w:rPr>
            </w:pPr>
            <w:r>
              <w:rPr>
                <w:b/>
                <w:bCs/>
              </w:rPr>
              <w:t>Look at</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8E751B4" w14:textId="77777777" w:rsidR="00F47A1F" w:rsidRPr="009B378A" w:rsidRDefault="00F47A1F" w:rsidP="00F47A1F">
            <w:pPr>
              <w:rPr>
                <w:b/>
                <w:bCs/>
              </w:rPr>
            </w:pPr>
            <w:r>
              <w:rPr>
                <w:b/>
                <w:bCs/>
              </w:rPr>
              <w:t>Compare it against</w:t>
            </w:r>
          </w:p>
        </w:tc>
      </w:tr>
      <w:tr w:rsidR="00F47A1F" w:rsidRPr="009B378A" w14:paraId="108B032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B296B" w14:textId="77777777" w:rsidR="00F47A1F" w:rsidRPr="009B378A" w:rsidRDefault="00F47A1F" w:rsidP="00F47A1F">
            <w:r>
              <w:t>One equity fund, manager decides everything (primarily equity exposure)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0E17C" w14:textId="77777777" w:rsidR="00F47A1F" w:rsidRPr="009B378A" w:rsidRDefault="00F47A1F" w:rsidP="00F47A1F">
            <w:r>
              <w:t>Flexi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7364D" w14:textId="77777777" w:rsidR="00F47A1F" w:rsidRPr="009B378A" w:rsidRDefault="00F47A1F" w:rsidP="00F47A1F">
            <w:r>
              <w:t>NIFTY 500 TRI, other Flexi Caps</w:t>
            </w:r>
          </w:p>
        </w:tc>
      </w:tr>
      <w:tr w:rsidR="00F47A1F" w:rsidRPr="009B378A" w14:paraId="28DA9E2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517E8" w14:textId="77777777" w:rsidR="00F47A1F" w:rsidRPr="009B378A" w:rsidRDefault="00F47A1F" w:rsidP="00F47A1F">
            <w:r>
              <w:t>Guaranteed mid/small exposure without picking three funds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FB38" w14:textId="77777777" w:rsidR="00F47A1F" w:rsidRPr="009B378A" w:rsidRDefault="00F47A1F" w:rsidP="00F47A1F">
            <w:r>
              <w:t>Multi 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C6850" w14:textId="77777777" w:rsidR="00F47A1F" w:rsidRPr="009B378A" w:rsidRDefault="00F47A1F" w:rsidP="00F47A1F">
            <w:r>
              <w:t>NIFTY 500 Multicap 50:25:25 TRI</w:t>
            </w:r>
          </w:p>
        </w:tc>
      </w:tr>
      <w:tr w:rsidR="00F47A1F" w:rsidRPr="009B378A" w14:paraId="26D6909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216E2" w14:textId="77777777" w:rsidR="00F47A1F" w:rsidRPr="009B378A" w:rsidRDefault="00F47A1F" w:rsidP="00F47A1F">
            <w:r>
              <w:lastRenderedPageBreak/>
              <w:t>Equity participation with a smaller drawdown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4B857" w14:textId="77777777" w:rsidR="00F47A1F" w:rsidRPr="009B378A" w:rsidRDefault="00F47A1F" w:rsidP="00F47A1F">
            <w:r>
              <w:t>Dynamic Asset Allocation (Balanced Advantage)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0AC16" w14:textId="77777777" w:rsidR="00F47A1F" w:rsidRPr="009B378A" w:rsidRDefault="00F47A1F" w:rsidP="00F47A1F">
            <w:r>
              <w:t>Hybrid 50:50 style indices</w:t>
            </w:r>
          </w:p>
        </w:tc>
      </w:tr>
      <w:tr w:rsidR="00F47A1F" w:rsidRPr="009B378A" w14:paraId="5949A1B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617CD" w14:textId="77777777" w:rsidR="00F47A1F" w:rsidRPr="009B378A" w:rsidRDefault="00F47A1F" w:rsidP="00F47A1F">
            <w:r>
              <w:t>Equity + debt + commodities like gold in one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BBB43" w14:textId="77777777" w:rsidR="00F47A1F" w:rsidRPr="009B378A" w:rsidRDefault="00F47A1F" w:rsidP="00F47A1F">
            <w:r>
              <w:t>Multi Asset Allocation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BBE20" w14:textId="77777777" w:rsidR="00F47A1F" w:rsidRPr="009B378A" w:rsidRDefault="00F47A1F" w:rsidP="00F47A1F">
            <w:r>
              <w:t>The fund's own blended benchmark</w:t>
            </w:r>
          </w:p>
        </w:tc>
      </w:tr>
    </w:tbl>
    <w:p w14:paraId="78CE16B6" w14:textId="77777777" w:rsidR="0001757A" w:rsidRDefault="00F47A1F">
      <w:r>
        <w:br/>
        <w:t>Please note this is just a broad generalisation, specific allocation mandates and constraints are further specified in the scheme information document. You should consult your advisor for more information.</w:t>
      </w:r>
    </w:p>
    <w:sectPr w:rsidR="000175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B3ED" w14:textId="77777777" w:rsidR="007B78E1" w:rsidRDefault="007B78E1">
      <w:pPr>
        <w:spacing w:after="0" w:line="240" w:lineRule="auto"/>
      </w:pPr>
      <w:r>
        <w:separator/>
      </w:r>
    </w:p>
  </w:endnote>
  <w:endnote w:type="continuationSeparator" w:id="0">
    <w:p w14:paraId="7C923E27" w14:textId="77777777" w:rsidR="007B78E1" w:rsidRDefault="007B7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F7AE" w14:textId="77777777" w:rsidR="007B78E1" w:rsidRDefault="007B78E1">
      <w:pPr>
        <w:spacing w:after="0" w:line="240" w:lineRule="auto"/>
      </w:pPr>
      <w:r>
        <w:separator/>
      </w:r>
    </w:p>
  </w:footnote>
  <w:footnote w:type="continuationSeparator" w:id="0">
    <w:p w14:paraId="65069BA7" w14:textId="77777777" w:rsidR="007B78E1" w:rsidRDefault="007B78E1">
      <w:pPr>
        <w:spacing w:after="0" w:line="240" w:lineRule="auto"/>
      </w:pPr>
      <w:r>
        <w:continuationSeparator/>
      </w:r>
    </w:p>
  </w:footnote>
  <w:footnote w:id="1">
    <w:p w14:paraId="3CAE9ACC" w14:textId="77777777" w:rsidR="00283145" w:rsidRDefault="00000000">
      <w:pPr>
        <w:pStyle w:val="FootnoteText"/>
      </w:pPr>
      <w:r>
        <w:rPr>
          <w:rStyle w:val="FootnoteReference"/>
        </w:rPr>
        <w:footnoteRef/>
      </w:r>
      <w:r>
        <w:t xml:space="preserve"> Securities and Exchange Board of India, India’s capital markets regulator.</w:t>
      </w:r>
    </w:p>
  </w:footnote>
  <w:footnote w:id="2">
    <w:p w14:paraId="11756299" w14:textId="77777777" w:rsidR="00283145" w:rsidRDefault="00000000">
      <w:pPr>
        <w:pStyle w:val="FootnoteText"/>
      </w:pPr>
      <w:r>
        <w:rPr>
          <w:rStyle w:val="FootnoteReference"/>
        </w:rPr>
        <w:footnoteRef/>
      </w:r>
      <w:r>
        <w:t xml:space="preserve"> “Large cap,” “mid cap” and “small cap” are defined by rank in full market capitalisation — 1st–100th, 101st–250th, and 251st onward respectively — per the SEBI Master Circular for Mutual Funds (as on 20 March 2026), ¶3.9, based on a list AMFI (Association of Mutual Funds in India) publishes twice yearly; methodology per SEBI Circular No. SEBI/HO/IMD/DF3/CIR/P/2017/126 dated 4 December 2017.</w:t>
      </w:r>
    </w:p>
  </w:footnote>
  <w:footnote w:id="3">
    <w:p w14:paraId="5F543CEE" w14:textId="77777777" w:rsidR="00283145" w:rsidRDefault="00000000">
      <w:pPr>
        <w:pStyle w:val="FootnoteText"/>
      </w:pPr>
      <w:r>
        <w:rPr>
          <w:rStyle w:val="FootnoteReference"/>
        </w:rPr>
        <w:footnoteRef/>
      </w:r>
      <w:r>
        <w:t xml:space="preserve"> SEBI does not define “equity and equity related instruments” in one place, but its Master Circular for Mutual Funds treats the category as covering: (i) ordinary equity shares; (ii) instruments convertible into equity, such as convertible debentures and equity warrants (Chapter 10, ¶10.1.2); and (iii), since November 2025, units of Real Estate Investment Trusts (REITs), reclassified from a separate asset class into equity-related instruments (¶13.13.1; SEBI Circular No. HO/24/13/12(1)2025-IMD-POD-2/I/157/2025 dated 28 November 2025). Units of InvITs remain classified separately, as hybrid instruments (¶13.13.2), and non-convertible preference shares are treated as debt, not equity (Chapter 13, Note 2).</w:t>
      </w:r>
    </w:p>
  </w:footnote>
  <w:footnote w:id="4">
    <w:p w14:paraId="3DB25CE3" w14:textId="77777777" w:rsidR="00283145" w:rsidRDefault="00000000">
      <w:pPr>
        <w:pStyle w:val="FootnoteText"/>
      </w:pPr>
      <w:r>
        <w:rPr>
          <w:rStyle w:val="FootnoteReference"/>
        </w:rPr>
        <w:footnoteRef/>
      </w:r>
      <w:r>
        <w:t xml:space="preserve"> SEBI Circular No. HO/24/13/15(2)2026-IMD-RAC4/I/5764/2026, “Categorization and Rationalization of Mutual Fund Schemes,” dated 26 February 2026 (sebi.gov.in, under Legal → Circulars). Its provisions are now consolidated into the SEBI Master Circular for Mutual Funds (as on 20 March 2026), Chapter 3, ¶¶3.7–3.11.</w:t>
      </w:r>
    </w:p>
  </w:footnote>
  <w:footnote w:id="5">
    <w:p w14:paraId="7EA255EA" w14:textId="77777777" w:rsidR="00283145" w:rsidRDefault="00000000">
      <w:pPr>
        <w:pStyle w:val="FootnoteText"/>
      </w:pPr>
      <w:r>
        <w:rPr>
          <w:rStyle w:val="FootnoteReference"/>
        </w:rPr>
        <w:footnoteRef/>
      </w:r>
      <w:r>
        <w:t xml:space="preserve"> Original circular ¶2.6.7, renumbered ¶3.8.9 in the consolidated Master Circular: “Existing schemes shall comply with the provisions of this section latest by August 26, 2026.”</w:t>
      </w:r>
    </w:p>
  </w:footnote>
  <w:footnote w:id="6">
    <w:p w14:paraId="34C6EFF7" w14:textId="77777777" w:rsidR="00283145" w:rsidRDefault="00000000">
      <w:pPr>
        <w:pStyle w:val="FootnoteText"/>
      </w:pPr>
      <w:r>
        <w:rPr>
          <w:rStyle w:val="FootnoteReference"/>
        </w:rPr>
        <w:footnoteRef/>
      </w:r>
      <w:r>
        <w:t xml:space="preserve"> Based on each AMC’s monthly portfolio disclosure for the period ended 30 June 2026 (mandated under Master Circular Chapter 15, Disclosures) and each fund’s factsheet for the same period.</w:t>
      </w:r>
    </w:p>
  </w:footnote>
  <w:footnote w:id="7">
    <w:p w14:paraId="4EF0973E" w14:textId="77777777" w:rsidR="00283145" w:rsidRDefault="00000000">
      <w:pPr>
        <w:pStyle w:val="FootnoteText"/>
      </w:pPr>
      <w:r>
        <w:rPr>
          <w:rStyle w:val="FootnoteReference"/>
        </w:rPr>
        <w:footnoteRef/>
      </w:r>
      <w:r>
        <w:t xml:space="preserve"> Assets Under Management — the total market value of a fund’s holdings, as disclosed in its monthly portfolio statement.</w:t>
      </w:r>
    </w:p>
  </w:footnote>
  <w:footnote w:id="8">
    <w:p w14:paraId="7EE70E6B" w14:textId="77777777" w:rsidR="00283145" w:rsidRDefault="00000000">
      <w:pPr>
        <w:pStyle w:val="FootnoteText"/>
      </w:pPr>
      <w:r>
        <w:rPr>
          <w:rStyle w:val="FootnoteReference"/>
        </w:rPr>
        <w:footnoteRef/>
      </w:r>
      <w:r>
        <w:t xml:space="preserve"> TRI = Total Return Index: tracks price movement plus reinvested dividends, unlike a plain price index.</w:t>
      </w:r>
    </w:p>
  </w:footnote>
  <w:footnote w:id="9">
    <w:p w14:paraId="01212A77" w14:textId="77777777" w:rsidR="00283145" w:rsidRDefault="00000000">
      <w:pPr>
        <w:pStyle w:val="FootnoteText"/>
      </w:pPr>
      <w:r>
        <w:rPr>
          <w:rStyle w:val="FootnoteReference"/>
        </w:rPr>
        <w:footnoteRef/>
      </w:r>
      <w:r>
        <w:t xml:space="preserve"> Real Estate Investment Trust. Reclassified from a separate “alternative” asset class to an equity-related instrument via SEBI Circular No. HO/24/13/12(1)2025-IMD-POD-2/I/157/2025 dated 28 November 2025 (Master Circular ¶13.13.1). See also note 3 above.</w:t>
      </w:r>
    </w:p>
  </w:footnote>
  <w:footnote w:id="10">
    <w:p w14:paraId="7066D9FD" w14:textId="77777777" w:rsidR="00283145" w:rsidRDefault="00000000">
      <w:pPr>
        <w:pStyle w:val="FootnoteText"/>
      </w:pPr>
      <w:r>
        <w:rPr>
          <w:rStyle w:val="FootnoteReference"/>
        </w:rPr>
        <w:footnoteRef/>
      </w:r>
      <w:r>
        <w:t xml:space="preserve"> Treasury Bills Repurchase / Tri-Party Repo — a short-term, typically overnight, collateralised lending instrument mutual funds use to park surplus cash.</w:t>
      </w:r>
    </w:p>
  </w:footnote>
  <w:footnote w:id="11">
    <w:p w14:paraId="45630D86" w14:textId="77777777" w:rsidR="0084206F" w:rsidRDefault="0084206F" w:rsidP="0084206F">
      <w:pPr>
        <w:pStyle w:val="FootnoteText"/>
      </w:pPr>
      <w:r>
        <w:rPr>
          <w:rStyle w:val="FootnoteReference"/>
        </w:rPr>
        <w:footnoteRef/>
      </w:r>
      <w:r>
        <w:t xml:space="preserve"> Infrastructure Investment Trust. Unlike REITs, InvITs continue to be classified as hybrid instruments, not equity (Master Circular ¶13.13.2).</w:t>
      </w:r>
    </w:p>
  </w:footnote>
  <w:footnote w:id="12">
    <w:p w14:paraId="040AAE6B" w14:textId="77777777" w:rsidR="0084206F" w:rsidRDefault="0084206F" w:rsidP="0084206F">
      <w:pPr>
        <w:pStyle w:val="FootnoteText"/>
      </w:pPr>
      <w:r>
        <w:rPr>
          <w:rStyle w:val="FootnoteReference"/>
        </w:rPr>
        <w:footnoteRef/>
      </w:r>
      <w:r>
        <w:t xml:space="preserve"> Exchange Traded Commodity Derivatives — exchange-listed futures contracts on commodities such as gold, silver and crude oil, permitted as a residual investment for Hybrid scheme categories (Master Circular ¶3.8.3(a)).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354"/>
    <w:multiLevelType w:val="multilevel"/>
    <w:tmpl w:val="084A759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D2923"/>
    <w:multiLevelType w:val="multilevel"/>
    <w:tmpl w:val="DA8C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030062"/>
    <w:multiLevelType w:val="multilevel"/>
    <w:tmpl w:val="B872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150200">
    <w:abstractNumId w:val="0"/>
    <w:lvlOverride w:ilvl="0">
      <w:lvl w:ilvl="0">
        <w:numFmt w:val="decimal"/>
        <w:lvlText w:val="%1."/>
        <w:lvlJc w:val="left"/>
      </w:lvl>
    </w:lvlOverride>
  </w:num>
  <w:num w:numId="2" w16cid:durableId="1092700710">
    <w:abstractNumId w:val="2"/>
    <w:lvlOverride w:ilvl="0">
      <w:lvl w:ilvl="0">
        <w:numFmt w:val="lowerLetter"/>
        <w:lvlText w:val="%1."/>
        <w:lvlJc w:val="left"/>
      </w:lvl>
    </w:lvlOverride>
  </w:num>
  <w:num w:numId="3" w16cid:durableId="1206020979">
    <w:abstractNumId w:val="0"/>
    <w:lvlOverride w:ilvl="1">
      <w:lvl w:ilvl="1">
        <w:numFmt w:val="lowerLetter"/>
        <w:lvlText w:val="%2."/>
        <w:lvlJc w:val="left"/>
      </w:lvl>
    </w:lvlOverride>
  </w:num>
  <w:num w:numId="4" w16cid:durableId="1574580484">
    <w:abstractNumId w:val="0"/>
    <w:lvlOverride w:ilvl="1">
      <w:lvl w:ilvl="1">
        <w:numFmt w:val="lowerLetter"/>
        <w:lvlText w:val="%2."/>
        <w:lvlJc w:val="left"/>
      </w:lvl>
    </w:lvlOverride>
  </w:num>
  <w:num w:numId="5" w16cid:durableId="1890648762">
    <w:abstractNumId w:val="2"/>
    <w:lvlOverride w:ilvl="0">
      <w:lvl w:ilvl="0">
        <w:numFmt w:val="lowerLetter"/>
        <w:lvlText w:val="%1."/>
        <w:lvlJc w:val="left"/>
      </w:lvl>
    </w:lvlOverride>
  </w:num>
  <w:num w:numId="6" w16cid:durableId="2000235019">
    <w:abstractNumId w:val="0"/>
    <w:lvlOverride w:ilvl="1">
      <w:lvl w:ilvl="1">
        <w:numFmt w:val="lowerLetter"/>
        <w:lvlText w:val="%2."/>
        <w:lvlJc w:val="left"/>
      </w:lvl>
    </w:lvlOverride>
  </w:num>
  <w:num w:numId="7" w16cid:durableId="2067218602">
    <w:abstractNumId w:val="0"/>
    <w:lvlOverride w:ilvl="1">
      <w:lvl w:ilvl="1">
        <w:numFmt w:val="lowerLetter"/>
        <w:lvlText w:val="%2."/>
        <w:lvlJc w:val="left"/>
      </w:lvl>
    </w:lvlOverride>
  </w:num>
  <w:num w:numId="8" w16cid:durableId="2116754221">
    <w:abstractNumId w:val="0"/>
    <w:lvlOverride w:ilvl="1">
      <w:lvl w:ilvl="1">
        <w:numFmt w:val="lowerLetter"/>
        <w:lvlText w:val="%2."/>
        <w:lvlJc w:val="left"/>
      </w:lvl>
    </w:lvlOverride>
  </w:num>
  <w:num w:numId="9" w16cid:durableId="2126073910">
    <w:abstractNumId w:val="0"/>
    <w:lvlOverride w:ilvl="0">
      <w:lvl w:ilvl="0">
        <w:numFmt w:val="decimal"/>
        <w:lvlText w:val="%1."/>
        <w:lvlJc w:val="left"/>
      </w:lvl>
    </w:lvlOverride>
  </w:num>
  <w:num w:numId="10" w16cid:durableId="426121927">
    <w:abstractNumId w:val="1"/>
  </w:num>
  <w:num w:numId="11" w16cid:durableId="481502928">
    <w:abstractNumId w:val="2"/>
    <w:lvlOverride w:ilvl="0">
      <w:lvl w:ilvl="0">
        <w:numFmt w:val="lowerLetter"/>
        <w:lvlText w:val="%1."/>
        <w:lvlJc w:val="left"/>
      </w:lvl>
    </w:lvlOverride>
  </w:num>
  <w:num w:numId="12" w16cid:durableId="508835630">
    <w:abstractNumId w:val="2"/>
    <w:lvlOverride w:ilvl="0">
      <w:lvl w:ilvl="0">
        <w:numFmt w:val="lowerLetter"/>
        <w:lvlText w:val="%1."/>
        <w:lvlJc w:val="left"/>
      </w:lvl>
    </w:lvlOverride>
  </w:num>
  <w:num w:numId="13" w16cid:durableId="624114877">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1F"/>
    <w:rsid w:val="00000844"/>
    <w:rsid w:val="0001757A"/>
    <w:rsid w:val="000E7D4A"/>
    <w:rsid w:val="001417C8"/>
    <w:rsid w:val="00235FBB"/>
    <w:rsid w:val="0027062B"/>
    <w:rsid w:val="00283145"/>
    <w:rsid w:val="002D4BC0"/>
    <w:rsid w:val="00302E07"/>
    <w:rsid w:val="00336871"/>
    <w:rsid w:val="00380573"/>
    <w:rsid w:val="00392776"/>
    <w:rsid w:val="00396866"/>
    <w:rsid w:val="00432D61"/>
    <w:rsid w:val="0046332B"/>
    <w:rsid w:val="00464387"/>
    <w:rsid w:val="00530E5F"/>
    <w:rsid w:val="005610BB"/>
    <w:rsid w:val="00600A00"/>
    <w:rsid w:val="00606F44"/>
    <w:rsid w:val="00652F2E"/>
    <w:rsid w:val="00664A78"/>
    <w:rsid w:val="00670969"/>
    <w:rsid w:val="006A09E2"/>
    <w:rsid w:val="006A263B"/>
    <w:rsid w:val="00731B4D"/>
    <w:rsid w:val="00756D05"/>
    <w:rsid w:val="0077161B"/>
    <w:rsid w:val="007B78E1"/>
    <w:rsid w:val="0084206F"/>
    <w:rsid w:val="00857A6E"/>
    <w:rsid w:val="008D4FDA"/>
    <w:rsid w:val="00920545"/>
    <w:rsid w:val="0092748E"/>
    <w:rsid w:val="009A1B85"/>
    <w:rsid w:val="009B378A"/>
    <w:rsid w:val="009C1354"/>
    <w:rsid w:val="009E5FB4"/>
    <w:rsid w:val="00A802CF"/>
    <w:rsid w:val="00AB0E42"/>
    <w:rsid w:val="00AC4974"/>
    <w:rsid w:val="00B355AD"/>
    <w:rsid w:val="00C13280"/>
    <w:rsid w:val="00C362F5"/>
    <w:rsid w:val="00CC55D0"/>
    <w:rsid w:val="00D32241"/>
    <w:rsid w:val="00D730E4"/>
    <w:rsid w:val="00DB1DFD"/>
    <w:rsid w:val="00DC2DE5"/>
    <w:rsid w:val="00DD42B7"/>
    <w:rsid w:val="00DD6AD9"/>
    <w:rsid w:val="00EA7803"/>
    <w:rsid w:val="00EE550A"/>
    <w:rsid w:val="00F24633"/>
    <w:rsid w:val="00F47A1F"/>
    <w:rsid w:val="00F80451"/>
    <w:rsid w:val="00FF7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1AB6"/>
  <w15:chartTrackingRefBased/>
  <w15:docId w15:val="{0F5584A8-FCFE-467B-B8BA-D389F938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47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7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7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1F"/>
    <w:rPr>
      <w:rFonts w:eastAsiaTheme="majorEastAsia" w:cstheme="majorBidi"/>
      <w:color w:val="272727" w:themeColor="text1" w:themeTint="D8"/>
    </w:rPr>
  </w:style>
  <w:style w:type="paragraph" w:styleId="Title">
    <w:name w:val="Title"/>
    <w:basedOn w:val="Normal"/>
    <w:next w:val="Normal"/>
    <w:link w:val="TitleChar"/>
    <w:uiPriority w:val="10"/>
    <w:qFormat/>
    <w:rsid w:val="00F47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1F"/>
    <w:pPr>
      <w:spacing w:before="160"/>
      <w:jc w:val="center"/>
    </w:pPr>
    <w:rPr>
      <w:i/>
      <w:iCs/>
      <w:color w:val="404040" w:themeColor="text1" w:themeTint="BF"/>
    </w:rPr>
  </w:style>
  <w:style w:type="character" w:customStyle="1" w:styleId="QuoteChar">
    <w:name w:val="Quote Char"/>
    <w:basedOn w:val="DefaultParagraphFont"/>
    <w:link w:val="Quote"/>
    <w:uiPriority w:val="29"/>
    <w:rsid w:val="00F47A1F"/>
    <w:rPr>
      <w:i/>
      <w:iCs/>
      <w:color w:val="404040" w:themeColor="text1" w:themeTint="BF"/>
    </w:rPr>
  </w:style>
  <w:style w:type="paragraph" w:styleId="ListParagraph">
    <w:name w:val="List Paragraph"/>
    <w:basedOn w:val="Normal"/>
    <w:uiPriority w:val="34"/>
    <w:qFormat/>
    <w:rsid w:val="00F47A1F"/>
    <w:pPr>
      <w:ind w:left="720"/>
      <w:contextualSpacing/>
    </w:pPr>
  </w:style>
  <w:style w:type="character" w:styleId="IntenseEmphasis">
    <w:name w:val="Intense Emphasis"/>
    <w:basedOn w:val="DefaultParagraphFont"/>
    <w:uiPriority w:val="21"/>
    <w:qFormat/>
    <w:rsid w:val="00F47A1F"/>
    <w:rPr>
      <w:i/>
      <w:iCs/>
      <w:color w:val="0F4761" w:themeColor="accent1" w:themeShade="BF"/>
    </w:rPr>
  </w:style>
  <w:style w:type="paragraph" w:styleId="IntenseQuote">
    <w:name w:val="Intense Quote"/>
    <w:basedOn w:val="Normal"/>
    <w:next w:val="Normal"/>
    <w:link w:val="IntenseQuoteChar"/>
    <w:uiPriority w:val="30"/>
    <w:qFormat/>
    <w:rsid w:val="00F47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A1F"/>
    <w:rPr>
      <w:i/>
      <w:iCs/>
      <w:color w:val="0F4761" w:themeColor="accent1" w:themeShade="BF"/>
    </w:rPr>
  </w:style>
  <w:style w:type="character" w:styleId="IntenseReference">
    <w:name w:val="Intense Reference"/>
    <w:basedOn w:val="DefaultParagraphFont"/>
    <w:uiPriority w:val="32"/>
    <w:qFormat/>
    <w:rsid w:val="00F47A1F"/>
    <w:rPr>
      <w:b/>
      <w:bCs/>
      <w:smallCaps/>
      <w:color w:val="0F4761" w:themeColor="accent1" w:themeShade="BF"/>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8471B-41B1-41F8-AFEE-F65FC452D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1123</Words>
  <Characters>6225</Characters>
  <Application>Microsoft Office Word</Application>
  <DocSecurity>0</DocSecurity>
  <Lines>282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Ishpreet Singh Modi</dc:creator>
  <cp:keywords/>
  <dc:description/>
  <cp:lastModifiedBy>Ishpreet Singh Modi</cp:lastModifiedBy>
  <cp:revision>2</cp:revision>
  <dcterms:created xsi:type="dcterms:W3CDTF">2026-08-06T12:37:00Z</dcterms:created>
  <dcterms:modified xsi:type="dcterms:W3CDTF">2026-08-06T12:37:00Z</dcterms:modified>
</cp:coreProperties>
</file>