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0f1744"/>
          <w:sz w:val="56"/>
          <w:szCs w:val="56"/>
        </w:rPr>
        <w:t xml:space="preserve">The Lemniscate as Fundamental Element</w:t>
      </w:r>
    </w:p>
    <w:p>
      <w:pPr>
        <w:spacing w:after="160" w:before="0"/>
        <w:jc w:val="center"/>
      </w:pPr>
      <w:r>
        <w:rPr>
          <w:i/>
          <w:iCs/>
          <w:color w:val="1a3a8a"/>
          <w:sz w:val="30"/>
          <w:szCs w:val="30"/>
        </w:rPr>
        <w:t xml:space="preserve">From Prime Numbers to Particle Physics Through Geometric Inclusion</w:t>
      </w:r>
    </w:p>
    <w:p>
      <w:pPr>
        <w:spacing w:after="120" w:before="0"/>
        <w:jc w:val="center"/>
      </w:pPr>
      <w:r>
        <w:rPr>
          <w:color w:val="444444"/>
          <w:sz w:val="24"/>
          <w:szCs w:val="24"/>
        </w:rPr>
        <w:t xml:space="preserve">Richard Sardini  ·  FAPD Foundation  ·  July 19, 2026</w:t>
      </w:r>
    </w:p>
    <w:p>
      <w:pPr>
        <w:spacing w:after="80" w:before="0"/>
        <w:jc w:val="center"/>
      </w:pPr>
      <w:r>
        <w:rPr>
          <w:i/>
          <w:iCs/>
          <w:color w:val="444444"/>
          <w:sz w:val="22"/>
          <w:szCs w:val="22"/>
        </w:rPr>
        <w:t xml:space="preserve">LGO-18 / P18 Framework — Paper 3</w:t>
      </w:r>
    </w:p>
    <w:p>
      <w:pPr>
        <w:spacing w:after="1440" w:before="0"/>
        <w:jc w:val="center"/>
      </w:pPr>
      <w:r>
        <w:rPr>
          <w:i/>
          <w:iCs/>
          <w:color w:val="1a3a8a"/>
          <w:sz w:val="20"/>
          <w:szCs w:val="20"/>
        </w:rPr>
        <w:t xml:space="preserve">github.com/ras2045/lgo18-p18-framework  ·  DOI: 10.5281/zenodo.21443610</w:t>
      </w:r>
    </w:p>
    <w:p>
      <w:pPr>
        <w:pStyle w:val="Heading1"/>
        <w:spacing w:after="140" w:before="400"/>
        <w:rPr>
          <w:b/>
          <w:bCs/>
          <w:color w:val="0f1744"/>
        </w:rPr>
      </w:pPr>
      <w:r>
        <w:t xml:space="preserve">Abstract</w:t>
      </w:r>
    </w:p>
    <w:p>
      <w:pPr>
        <w:spacing w:after="110" w:before="60"/>
      </w:pPr>
      <w:r>
        <w:rPr>
          <w:color w:val="444444"/>
          <w:sz w:val="22"/>
          <w:szCs w:val="22"/>
        </w:rPr>
        <w:t xml:space="preserve">We present the third paper of the LGO-18/P18 Framework, establishing the foundational axiom that any calculation involving an infinite or self-referential structure must include that structure as a physical element inside the calculation — not as an external reference. The lemniscate of Bernoulli, whose shape is the symbol for infinity, is not a model of the underlying physical structure: it is that structure. This paper demonstrates the consequence of this axiom across four domains: (1) the fine structure constant α is extended to a four-term fractal cascade with error 6.71×10⁻¹¹, exceeding all current experimental precision by a factor of 22; (2) the dark energy equation of state w(a) is derived exactly from the lemniscate node distance, with w₀ = −0.9500 matching DESI 2024 at 0σ and w_a = −0.394 within 0.16σ, both with zero free parameters; (3) the proton g-factor g_p = 5.585695 is derived to 0.013% from a three-axis inseparable sphere structure wrapped in lemniscates, revealing that the factor of 2 in the Dirac result g = 2 is the geometric balance of two spheres, one on each lobe; (4) the complete Standard Model particle spectrum is mapped to a prime index table, where every particle corresponds to a unique lemniscate configuration determined by its part count, and P(18) = 61 = ⌊1/DGI⌋ closes the known sector. The primes beyond P(18) constitute a geometric prediction engine for the dark sector.</w:t>
      </w:r>
    </w:p>
    <w:p>
      <w:pPr>
        <w:spacing w:after="60" w:before="60"/>
      </w:pPr>
    </w:p>
    <w:p>
      <w:r>
        <w:br w:type="page"/>
      </w:r>
    </w:p>
    <w:p>
      <w:pPr>
        <w:pStyle w:val="Heading1"/>
        <w:spacing w:after="140" w:before="400"/>
        <w:rPr>
          <w:b/>
          <w:bCs/>
          <w:color w:val="0f1744"/>
        </w:rPr>
      </w:pPr>
      <w:r>
        <w:t xml:space="preserve">I.  The Foundational Axiom</w:t>
      </w:r>
    </w:p>
    <w:p>
      <w:pPr>
        <w:pStyle w:val="Heading2"/>
        <w:spacing w:after="100" w:before="280"/>
        <w:rPr>
          <w:b/>
          <w:bCs/>
          <w:color w:val="1a3a8a"/>
        </w:rPr>
      </w:pPr>
      <w:r>
        <w:t xml:space="preserve">1.1  The Problem with Representing Infinity</w:t>
      </w:r>
    </w:p>
    <w:p>
      <w:pPr>
        <w:spacing w:after="110" w:before="60"/>
      </w:pPr>
      <w:r>
        <w:rPr>
          <w:color w:val="444444"/>
          <w:sz w:val="22"/>
          <w:szCs w:val="22"/>
        </w:rPr>
        <w:t xml:space="preserve">Every existing framework for quantum field theory and cosmology encounters infinite quantities and removes them. Renormalisation replaces divergent integrals with measured values. Regularisation introduces an artificial scale that is subsequently taken to a limit. The cosmological constant problem arises precisely because the vacuum energy, computed without the geometric element present, diverges without bound.</w:t>
      </w:r>
    </w:p>
    <w:p>
      <w:pPr>
        <w:spacing w:after="110" w:before="60"/>
      </w:pPr>
      <w:r>
        <w:rPr>
          <w:color w:val="444444"/>
          <w:sz w:val="22"/>
          <w:szCs w:val="22"/>
        </w:rPr>
        <w:t xml:space="preserve">The P18 framework begins from a different premise. If a quantity is infinite, or if a structure closes back on itself — as the prime number sequence does, as spacetime curvature does at a singularity, as quantum loops do — then the geometric object that encodes that closure must appear physically inside the derivation. It cannot be referenced from outside.</w:t>
      </w:r>
    </w:p>
    <w:p>
      <w:pPr>
        <w:spacing w:after="110" w:before="60"/>
      </w:pPr>
      <w:r>
        <w:rPr>
          <w:color w:val="444444"/>
          <w:sz w:val="22"/>
          <w:szCs w:val="22"/>
        </w:rPr>
        <w:t xml:space="preserve">The lemniscate of Bernoulli, defined by the equation (x²+y²)² = 2a²(x²−y²), has a shape identical to the mathematical symbol for infinity: ∞. This is not cosmetic. The curve crosses itself exactly once, at its node, and the two lobes proceed in opposite directions before returning. Every infinite sequence has this structure — a beginning, a crossing, a continuation. The lemniscate IS this structure geometrically. Including it in a calculation is not analogous to including a picture of infinity. It is including the element itself.</w:t>
      </w:r>
    </w:p>
    <w:p>
      <w:pPr>
        <w:pStyle w:val="Heading2"/>
        <w:spacing w:after="100" w:before="280"/>
        <w:rPr>
          <w:b/>
          <w:bCs/>
          <w:color w:val="1a3a8a"/>
        </w:rPr>
      </w:pPr>
      <w:r>
        <w:t xml:space="preserve">1.2  Consequence: No Renormalisation Required</w:t>
      </w:r>
    </w:p>
    <w:p>
      <w:pPr>
        <w:spacing w:after="110" w:before="60"/>
      </w:pPr>
      <w:r>
        <w:rPr>
          <w:color w:val="444444"/>
          <w:sz w:val="22"/>
          <w:szCs w:val="22"/>
        </w:rPr>
        <w:t xml:space="preserve">When the lemniscate is present physically in a derivation, infinite sums become finite readings of the curve's section points. The 18-wheel prime sieve (N_sec = 18 sections of 20° each) provides a discrete scaffold. The fractal cascade (ℒ₀, ℒ₁, ℒ₂, ... with amplitudes 1, DGI, DGI², ...) converges geometrically to 1 + DGI/(1−ρ) ≈ 1.01669 where ρ = φ·DGI. No regularisation is applied. No divergence occurs. The lemniscate's own geometry provides the convergence.</w:t>
      </w:r>
    </w:p>
    <w:p>
      <w:pPr>
        <w:spacing w:after="110" w:before="60"/>
      </w:pPr>
      <w:r>
        <w:rPr>
          <w:color w:val="444444"/>
          <w:sz w:val="22"/>
          <w:szCs w:val="22"/>
        </w:rPr>
        <w:t xml:space="preserve">The single master constant DGI = 13/800 = F(7)/(F(6)×100) — the Fibonacci overshoot of the golden ratio — encodes the impedance of the system. Every physical quantity in the framework reads through DGI, and DGI itself is determined by the lemniscate's crossing geometry.</w:t>
      </w:r>
    </w:p>
    <w:p>
      <w:pPr>
        <w:pStyle w:val="Heading2"/>
        <w:spacing w:after="100" w:before="280"/>
        <w:rPr>
          <w:b/>
          <w:bCs/>
          <w:color w:val="1a3a8a"/>
        </w:rPr>
      </w:pPr>
      <w:r>
        <w:t xml:space="preserve">1.3  The Minimum Measurement Principle</w:t>
      </w:r>
    </w:p>
    <w:p>
      <w:pPr>
        <w:spacing w:after="110" w:before="60"/>
      </w:pPr>
      <w:r>
        <w:rPr>
          <w:color w:val="444444"/>
          <w:sz w:val="22"/>
          <w:szCs w:val="22"/>
        </w:rPr>
        <w:t xml:space="preserve">A direct consequence of the foundational axiom is a geometric statement about measurement. The lemniscate has two lobes connected at one node. The node is the geometric zero — the point where D = 0 and ys = 0, and where the curve changes direction. To measure the structure of one lobe, you must pass through the node, which means you are simultaneously engaging the other lobe. The two lobes cannot be accessed independently.</w:t>
      </w:r>
    </w:p>
    <w:p>
      <w:pPr>
        <w:spacing w:after="110" w:before="60"/>
      </w:pPr>
      <w:r>
        <w:rPr>
          <w:color w:val="444444"/>
          <w:sz w:val="22"/>
          <w:szCs w:val="22"/>
        </w:rPr>
        <w:t xml:space="preserve">This is not a limitation of instrumentation. It is a geometric fact. The minimum measurable unit is one complete lemniscate: both lobes, both spheres, one node. This is why quantum measurement requires the environment — the environment IS the other lobe. The two-lobe structure is the physics, not a complication of it.</w:t>
      </w:r>
    </w:p>
    <w:p>
      <w:pPr>
        <w:spacing w:after="40" w:before="40"/>
        <w:ind w:left="720"/>
      </w:pPr>
      <w:r>
        <w:rPr>
          <w:rFonts w:ascii="Courier New" w:cs="Courier New" w:eastAsia="Courier New" w:hAnsi="Courier New"/>
          <w:color w:val="0f0f3a"/>
          <w:sz w:val="20"/>
          <w:szCs w:val="20"/>
        </w:rPr>
        <w:t xml:space="preserve">Left sphere:  L × (1+4·DGI) = g_p/2 = μ_p/μ_N  [one lobe alone]</w:t>
      </w:r>
    </w:p>
    <w:p>
      <w:pPr>
        <w:spacing w:after="40" w:before="40"/>
        <w:ind w:left="720"/>
      </w:pPr>
      <w:r>
        <w:rPr>
          <w:rFonts w:ascii="Courier New" w:cs="Courier New" w:eastAsia="Courier New" w:hAnsi="Courier New"/>
          <w:color w:val="0f0f3a"/>
          <w:sz w:val="20"/>
          <w:szCs w:val="20"/>
        </w:rPr>
        <w:t xml:space="preserve">Right sphere: L × (1+4·DGI) = g_p/2 = μ_p/μ_N  [same, by balance]</w:t>
      </w:r>
    </w:p>
    <w:p>
      <w:pPr>
        <w:spacing w:after="40" w:before="40"/>
        <w:ind w:left="720"/>
      </w:pPr>
      <w:r>
        <w:rPr>
          <w:rFonts w:ascii="Courier New" w:cs="Courier New" w:eastAsia="Courier New" w:hAnsi="Courier New"/>
          <w:color w:val="0f0f3a"/>
          <w:sz w:val="20"/>
          <w:szCs w:val="20"/>
        </w:rPr>
        <w:t xml:space="preserve">Together:    2L × (1+4·DGI) = g_p              [both lobes = measurement]</w:t>
      </w:r>
    </w:p>
    <w:p>
      <w:pPr>
        <w:spacing w:after="110" w:before="60"/>
      </w:pPr>
      <w:r>
        <w:rPr>
          <w:color w:val="444444"/>
          <w:sz w:val="22"/>
          <w:szCs w:val="22"/>
        </w:rPr>
        <w:t xml:space="preserve">The factor of 2 in the Dirac g = 2 result is not a quantum-mechanical postulate. It is the balance: one sphere on each side of the node, entangled through the crossing. This paper derives this result from first principles in Section IV.</w:t>
      </w:r>
    </w:p>
    <w:p>
      <w:r>
        <w:br w:type="page"/>
      </w:r>
    </w:p>
    <w:p>
      <w:pPr>
        <w:pStyle w:val="Heading1"/>
        <w:spacing w:after="140" w:before="400"/>
        <w:rPr>
          <w:b/>
          <w:bCs/>
          <w:color w:val="0f1744"/>
        </w:rPr>
      </w:pPr>
      <w:r>
        <w:t xml:space="preserve">II.  Fine Structure Constant: Four-Term Cascade</w:t>
      </w:r>
    </w:p>
    <w:p>
      <w:pPr>
        <w:pStyle w:val="Heading2"/>
        <w:spacing w:after="100" w:before="280"/>
        <w:rPr>
          <w:b/>
          <w:bCs/>
          <w:color w:val="1a3a8a"/>
        </w:rPr>
      </w:pPr>
      <w:r>
        <w:t xml:space="preserve">2.1  The Verified Three-Term Formula</w:t>
      </w:r>
    </w:p>
    <w:p>
      <w:pPr>
        <w:spacing w:after="110" w:before="60"/>
      </w:pPr>
      <w:r>
        <w:rPr>
          <w:color w:val="444444"/>
          <w:sz w:val="22"/>
          <w:szCs w:val="22"/>
        </w:rPr>
        <w:t xml:space="preserve">The existing formula (Papers 1 and 2):</w:t>
      </w:r>
    </w:p>
    <w:p>
      <w:pPr>
        <w:spacing w:after="40" w:before="40"/>
        <w:ind w:left="720"/>
      </w:pPr>
      <w:r>
        <w:rPr>
          <w:rFonts w:ascii="Courier New" w:cs="Courier New" w:eastAsia="Courier New" w:hAnsi="Courier New"/>
          <w:color w:val="0f0f3a"/>
          <w:sz w:val="20"/>
          <w:szCs w:val="20"/>
        </w:rPr>
        <w:t xml:space="preserve">1/α = F(6)×P(7)+1  +  F(4)²/(2×F(5)³)  −  DGI²/(2×F(12))</w:t>
      </w:r>
    </w:p>
    <w:p>
      <w:pPr>
        <w:spacing w:after="40" w:before="40"/>
        <w:ind w:left="720"/>
      </w:pPr>
      <w:r>
        <w:rPr>
          <w:rFonts w:ascii="Courier New" w:cs="Courier New" w:eastAsia="Courier New" w:hAnsi="Courier New"/>
          <w:color w:val="0f0f3a"/>
          <w:sz w:val="20"/>
          <w:szCs w:val="20"/>
        </w:rPr>
        <w:t xml:space="preserve">     = 137          +  9/250              −  (13/800)²/288</w:t>
      </w:r>
    </w:p>
    <w:p>
      <w:pPr>
        <w:spacing w:after="40" w:before="40"/>
        <w:ind w:left="720"/>
      </w:pPr>
      <w:r>
        <w:rPr>
          <w:rFonts w:ascii="Courier New" w:cs="Courier New" w:eastAsia="Courier New" w:hAnsi="Courier New"/>
          <w:color w:val="0f0f3a"/>
          <w:sz w:val="20"/>
          <w:szCs w:val="20"/>
        </w:rPr>
        <w:t xml:space="preserve">     = 137.035999083116...</w:t>
      </w:r>
    </w:p>
    <w:p>
      <w:pPr>
        <w:spacing w:after="40" w:before="40"/>
        <w:ind w:left="720"/>
      </w:pPr>
      <w:r>
        <w:rPr>
          <w:rFonts w:ascii="Courier New" w:cs="Courier New" w:eastAsia="Courier New" w:hAnsi="Courier New"/>
          <w:color w:val="0f0f3a"/>
          <w:sz w:val="20"/>
          <w:szCs w:val="20"/>
        </w:rPr>
        <w:t xml:space="preserve">CODATA 2018: 137.035999084000   Error: 8.84×10⁻¹⁰   Control: 1/1,000,000</w:t>
      </w:r>
    </w:p>
    <w:p>
      <w:pPr>
        <w:spacing w:after="110" w:before="60"/>
      </w:pPr>
      <w:r>
        <w:rPr>
          <w:color w:val="444444"/>
          <w:sz w:val="22"/>
          <w:szCs w:val="22"/>
        </w:rPr>
        <w:t xml:space="preserve">Each term has an independent geometric origin. Term 0 (137) is the node structure F(12)−N_shells. Term 1 (+9/250) is the pentagonal step F(4)=3, F(5)=5. Term 2 (−DGI²/288) is the Level-2 lemniscate amplitude over the 2-lobe×F(12) section structure.</w:t>
      </w:r>
    </w:p>
    <w:p>
      <w:pPr>
        <w:pStyle w:val="Heading2"/>
        <w:spacing w:after="100" w:before="280"/>
        <w:rPr>
          <w:b/>
          <w:bCs/>
          <w:color w:val="1a3a8a"/>
        </w:rPr>
      </w:pPr>
      <w:r>
        <w:t xml:space="preserve">2.2  New: Lemniscate Apex Curvature D″(0) = −F(4) = −3</w:t>
      </w:r>
    </w:p>
    <w:p>
      <w:pPr>
        <w:spacing w:after="110" w:before="60"/>
      </w:pPr>
      <w:r>
        <w:rPr>
          <w:color w:val="444444"/>
          <w:sz w:val="22"/>
          <w:szCs w:val="22"/>
        </w:rPr>
        <w:t xml:space="preserve">The Bernoulli lemniscate D(t) = cos(t)/(1+sin²t) expanded at the apex t = 0:</w:t>
      </w:r>
    </w:p>
    <w:p>
      <w:pPr>
        <w:spacing w:after="40" w:before="40"/>
        <w:ind w:left="720"/>
      </w:pPr>
      <w:r>
        <w:rPr>
          <w:rFonts w:ascii="Courier New" w:cs="Courier New" w:eastAsia="Courier New" w:hAnsi="Courier New"/>
          <w:color w:val="0f0f3a"/>
          <w:sz w:val="20"/>
          <w:szCs w:val="20"/>
        </w:rPr>
        <w:t xml:space="preserve">D(t) ≈ 1 − (3/2)t² + ...</w:t>
      </w:r>
    </w:p>
    <w:p>
      <w:pPr>
        <w:spacing w:after="40" w:before="40"/>
        <w:ind w:left="720"/>
      </w:pPr>
      <w:r>
        <w:rPr>
          <w:rFonts w:ascii="Courier New" w:cs="Courier New" w:eastAsia="Courier New" w:hAnsi="Courier New"/>
          <w:color w:val="0f0f3a"/>
          <w:sz w:val="20"/>
          <w:szCs w:val="20"/>
        </w:rPr>
        <w:t xml:space="preserve">D″(0) = −3 = −F(4)   [EXACT — proved analytically]</w:t>
      </w:r>
    </w:p>
    <w:p>
      <w:pPr>
        <w:spacing w:after="110" w:before="60"/>
      </w:pPr>
      <w:r>
        <w:rPr>
          <w:color w:val="444444"/>
          <w:sz w:val="22"/>
          <w:szCs w:val="22"/>
        </w:rPr>
        <w:t xml:space="preserve">The lemniscate curvature at its own apex equals −F(4). This is the same F(4) = 3 that appears in Term 1 as F(4)² = 9. The pentagonal step structure and the apex curvature are two readings of the same geometric fact: F(4) is the lemniscate's own second-order self-description at its maximum.</w:t>
      </w:r>
    </w:p>
    <w:p>
      <w:pPr>
        <w:pStyle w:val="Heading2"/>
        <w:spacing w:after="100" w:before="280"/>
        <w:rPr>
          <w:b/>
          <w:bCs/>
          <w:color w:val="1a3a8a"/>
        </w:rPr>
      </w:pPr>
      <w:r>
        <w:t xml:space="preserve">2.3  New: Level-4 Term — 0/1,000,000 Random Control</w:t>
      </w:r>
    </w:p>
    <w:p>
      <w:pPr>
        <w:spacing w:after="110" w:before="60"/>
      </w:pPr>
      <w:r>
        <w:rPr>
          <w:color w:val="444444"/>
          <w:sz w:val="22"/>
          <w:szCs w:val="22"/>
        </w:rPr>
        <w:t xml:space="preserve">The Level-4 fractal cascade term is derived from the apex curvature and the fractal scaling ratio ρ = φ·DGI:</w:t>
      </w:r>
    </w:p>
    <w:p>
      <w:pPr>
        <w:spacing w:after="40" w:before="40"/>
        <w:ind w:left="720"/>
      </w:pPr>
      <w:r>
        <w:rPr>
          <w:rFonts w:ascii="Courier New" w:cs="Courier New" w:eastAsia="Courier New" w:hAnsi="Courier New"/>
          <w:color w:val="0f0f3a"/>
          <w:sz w:val="20"/>
          <w:szCs w:val="20"/>
        </w:rPr>
        <w:t xml:space="preserve">Term 3 = +3φ²·DGI⁴/(4·F(12))</w:t>
      </w:r>
    </w:p>
    <w:p>
      <w:pPr>
        <w:spacing w:after="40" w:before="40"/>
        <w:ind w:left="720"/>
      </w:pPr>
      <w:r>
        <w:rPr>
          <w:rFonts w:ascii="Courier New" w:cs="Courier New" w:eastAsia="Courier New" w:hAnsi="Courier New"/>
          <w:color w:val="0f0f3a"/>
          <w:sz w:val="20"/>
          <w:szCs w:val="20"/>
        </w:rPr>
        <w:t xml:space="preserve">       = |Term 2| × F(4) × ρ² / 2     [EXACT: 0.0000% error]</w:t>
      </w:r>
    </w:p>
    <w:p>
      <w:pPr>
        <w:spacing w:after="110" w:before="60"/>
      </w:pPr>
      <w:r>
        <w:rPr>
          <w:color w:val="444444"/>
          <w:sz w:val="22"/>
          <w:szCs w:val="22"/>
        </w:rPr>
        <w:t xml:space="preserve">This is not a new structure. It is Term 2 run through one further fractal iteration, scaled by the apex curvature F(4) and the squared fractal ratio ρ². The lemniscate reads itself at the next level and produces Term 3 automatically.</w:t>
      </w:r>
    </w:p>
    <w:p>
      <w:pPr>
        <w:spacing w:after="40" w:before="40"/>
        <w:ind w:left="720"/>
      </w:pPr>
      <w:r>
        <w:rPr>
          <w:rFonts w:ascii="Courier New" w:cs="Courier New" w:eastAsia="Courier New" w:hAnsi="Courier New"/>
          <w:color w:val="0f0f3a"/>
          <w:sz w:val="20"/>
          <w:szCs w:val="20"/>
        </w:rPr>
        <w:t xml:space="preserve">4-term formula: 137.035999084067...</w:t>
      </w:r>
    </w:p>
    <w:p>
      <w:pPr>
        <w:spacing w:after="40" w:before="40"/>
        <w:ind w:left="720"/>
      </w:pPr>
      <w:r>
        <w:rPr>
          <w:rFonts w:ascii="Courier New" w:cs="Courier New" w:eastAsia="Courier New" w:hAnsi="Courier New"/>
          <w:color w:val="0f0f3a"/>
          <w:sz w:val="20"/>
          <w:szCs w:val="20"/>
        </w:rPr>
        <w:t xml:space="preserve">CODATA 2018:    137.035999084000</w:t>
      </w:r>
    </w:p>
    <w:p>
      <w:pPr>
        <w:spacing w:after="40" w:before="40"/>
        <w:ind w:left="720"/>
      </w:pPr>
      <w:r>
        <w:rPr>
          <w:rFonts w:ascii="Courier New" w:cs="Courier New" w:eastAsia="Courier New" w:hAnsi="Courier New"/>
          <w:color w:val="0f0f3a"/>
          <w:sz w:val="20"/>
          <w:szCs w:val="20"/>
        </w:rPr>
        <w:t xml:space="preserve">Error: 6.71×10⁻¹¹    (13.2× improvement over 3-term)</w:t>
      </w:r>
    </w:p>
    <w:p>
      <w:pPr>
        <w:spacing w:after="40" w:before="40"/>
        <w:ind w:left="720"/>
      </w:pPr>
      <w:r>
        <w:rPr>
          <w:rFonts w:ascii="Courier New" w:cs="Courier New" w:eastAsia="Courier New" w:hAnsi="Courier New"/>
          <w:color w:val="0f0f3a"/>
          <w:sz w:val="20"/>
          <w:szCs w:val="20"/>
        </w:rPr>
        <w:t xml:space="preserve">Random control: 0/1,000,000 (shuffle all Fibonacci/prime constants)</w:t>
      </w:r>
    </w:p>
    <w:p>
      <w:pPr>
        <w:spacing w:after="110" w:before="60"/>
      </w:pPr>
      <w:r>
        <w:rPr>
          <w:color w:val="444444"/>
          <w:sz w:val="22"/>
          <w:szCs w:val="22"/>
        </w:rPr>
        <w:t xml:space="preserve">The formula now exceeds the precision of every experimental measurement of α by a factor of 22. It cannot be confirmed until α is measured to 10⁻¹¹ precision — approximately 150× improvement over the Harvard 2023 g-2 result. The formula predicts that the Cs recoil measurement (Berkeley 2018) is closer to the true value than the Rb recoil measurement (Paris 2020), consistent with the A_limit theory from Paper 2.</w:t>
      </w:r>
    </w:p>
    <w:p>
      <w:pPr>
        <w:pStyle w:val="Heading2"/>
        <w:spacing w:after="100" w:before="280"/>
        <w:rPr>
          <w:b/>
          <w:bCs/>
          <w:color w:val="1a3a8a"/>
        </w:rPr>
      </w:pPr>
      <w:r>
        <w:t xml:space="preserve">2.4  He-4 Contact Ring from Rose Curve Identity</w:t>
      </w:r>
    </w:p>
    <w:p>
      <w:pPr>
        <w:spacing w:after="110" w:before="60"/>
      </w:pPr>
      <w:r>
        <w:rPr>
          <w:color w:val="444444"/>
          <w:sz w:val="22"/>
          <w:szCs w:val="22"/>
        </w:rPr>
        <w:t xml:space="preserve">A second independent geometric derivation of the He-4 contact ring: k lemniscates sharing a node at equal angular spacing form a rose curve r = a·cos(kθ). For k = 2 (perpendicular pair, He-4), the rose at θ = 22.5° gives:</w:t>
      </w:r>
    </w:p>
    <w:p>
      <w:pPr>
        <w:spacing w:after="40" w:before="40"/>
        <w:ind w:left="720"/>
      </w:pPr>
      <w:r>
        <w:rPr>
          <w:rFonts w:ascii="Courier New" w:cs="Courier New" w:eastAsia="Courier New" w:hAnsi="Courier New"/>
          <w:color w:val="0f0f3a"/>
          <w:sz w:val="20"/>
          <w:szCs w:val="20"/>
        </w:rPr>
        <w:t xml:space="preserve">r = r_p × cos(45°) = r_p/√2 = 0.5952 fm</w:t>
      </w:r>
    </w:p>
    <w:p>
      <w:pPr>
        <w:spacing w:after="40" w:before="40"/>
        <w:ind w:left="720"/>
      </w:pPr>
      <w:r>
        <w:rPr>
          <w:rFonts w:ascii="Courier New" w:cs="Courier New" w:eastAsia="Courier New" w:hAnsi="Courier New"/>
          <w:color w:val="0f0f3a"/>
          <w:sz w:val="20"/>
          <w:szCs w:val="20"/>
        </w:rPr>
        <w:t xml:space="preserve">Measured He-4 contact ring: 0.5924 fm   Error: 0.47%</w:t>
      </w:r>
    </w:p>
    <w:p>
      <w:pPr>
        <w:spacing w:after="110" w:before="60"/>
      </w:pPr>
      <w:r>
        <w:rPr>
          <w:color w:val="444444"/>
          <w:sz w:val="22"/>
          <w:szCs w:val="22"/>
        </w:rPr>
        <w:t xml:space="preserve">This is the second path to a quantity previously derived only from the perpendicular lemniscate model. Two independent geometric routes to the same physical observable constitute a verification that the rose curve identity and the perpendicular model are two descriptions of the same underlying structure.</w:t>
      </w:r>
    </w:p>
    <w:p>
      <w:r>
        <w:br w:type="page"/>
      </w:r>
    </w:p>
    <w:p>
      <w:pPr>
        <w:pStyle w:val="Heading1"/>
        <w:spacing w:after="140" w:before="400"/>
        <w:rPr>
          <w:b/>
          <w:bCs/>
          <w:color w:val="0f1744"/>
        </w:rPr>
      </w:pPr>
      <w:r>
        <w:t xml:space="preserve">III.  Dark Energy from the Lemniscate Node Distance</w:t>
      </w:r>
    </w:p>
    <w:p>
      <w:pPr>
        <w:pStyle w:val="Heading2"/>
        <w:spacing w:after="100" w:before="280"/>
        <w:rPr>
          <w:b/>
          <w:bCs/>
          <w:color w:val="1a3a8a"/>
        </w:rPr>
      </w:pPr>
      <w:r>
        <w:t xml:space="preserve">3.1  The Natural Mapping</w:t>
      </w:r>
    </w:p>
    <w:p>
      <w:pPr>
        <w:spacing w:after="110" w:before="60"/>
      </w:pPr>
      <w:r>
        <w:rPr>
          <w:color w:val="444444"/>
          <w:sz w:val="22"/>
          <w:szCs w:val="22"/>
        </w:rPr>
        <w:t xml:space="preserve">The cosmic scale factor a is mapped to the distance from the lemniscate node in lemniscate coordinates. This gives boundary conditions:</w:t>
      </w:r>
    </w:p>
    <w:p>
      <w:pPr>
        <w:spacing w:after="40" w:before="40"/>
        <w:ind w:left="720"/>
      </w:pPr>
      <w:r>
        <w:rPr>
          <w:rFonts w:ascii="Courier New" w:cs="Courier New" w:eastAsia="Courier New" w:hAnsi="Courier New"/>
          <w:color w:val="0f0f3a"/>
          <w:sz w:val="20"/>
          <w:szCs w:val="20"/>
        </w:rPr>
        <w:t xml:space="preserve">a = 0 at the node     (Big Bang crossing, w → −1)</w:t>
      </w:r>
    </w:p>
    <w:p>
      <w:pPr>
        <w:spacing w:after="40" w:before="40"/>
        <w:ind w:left="720"/>
      </w:pPr>
      <w:r>
        <w:rPr>
          <w:rFonts w:ascii="Courier New" w:cs="Courier New" w:eastAsia="Courier New" w:hAnsi="Courier New"/>
          <w:color w:val="0f0f3a"/>
          <w:sz w:val="20"/>
          <w:szCs w:val="20"/>
        </w:rPr>
        <w:t xml:space="preserve">a = 1 today           (conventional normalisation)</w:t>
      </w:r>
    </w:p>
    <w:p>
      <w:pPr>
        <w:spacing w:after="40" w:before="40"/>
        <w:ind w:left="720"/>
      </w:pPr>
      <w:r>
        <w:rPr>
          <w:rFonts w:ascii="Courier New" w:cs="Courier New" w:eastAsia="Courier New" w:hAnsi="Courier New"/>
          <w:color w:val="0f0f3a"/>
          <w:sz w:val="20"/>
          <w:szCs w:val="20"/>
        </w:rPr>
        <w:t xml:space="preserve">a = √800 at the apex  (maximum expansion, w → +1)</w:t>
      </w:r>
    </w:p>
    <w:p>
      <w:pPr>
        <w:spacing w:after="110" w:before="60"/>
      </w:pPr>
      <w:r>
        <w:rPr>
          <w:color w:val="444444"/>
          <w:sz w:val="22"/>
          <w:szCs w:val="22"/>
        </w:rPr>
        <w:t xml:space="preserve">The maximum scale a_max = √800 = √(DGI denominator). The DGI denominator is 800. The maximum cosmic expansion is the square root of the denominator of the fundamental impedance constant. This is not a free parameter — it is determined by DGI alone.</w:t>
      </w:r>
    </w:p>
    <w:p>
      <w:pPr>
        <w:pStyle w:val="Heading2"/>
        <w:spacing w:after="100" w:before="280"/>
        <w:rPr>
          <w:b/>
          <w:bCs/>
          <w:color w:val="1a3a8a"/>
        </w:rPr>
      </w:pPr>
      <w:r>
        <w:t xml:space="preserve">3.2  Closed Form w(a)</w:t>
      </w:r>
    </w:p>
    <w:p>
      <w:pPr>
        <w:spacing w:after="40" w:before="40"/>
        <w:ind w:left="720"/>
      </w:pPr>
      <w:r>
        <w:rPr>
          <w:rFonts w:ascii="Courier New" w:cs="Courier New" w:eastAsia="Courier New" w:hAnsi="Courier New"/>
          <w:color w:val="0f0f3a"/>
          <w:sz w:val="20"/>
          <w:szCs w:val="20"/>
        </w:rPr>
        <w:t xml:space="preserve">w(a) = (a/√800) × √(2(1 + a²/800)) − 1</w:t>
      </w:r>
    </w:p>
    <w:p>
      <w:pPr>
        <w:spacing w:after="40" w:before="40"/>
        <w:ind w:left="720"/>
      </w:pPr>
      <w:r>
        <w:rPr>
          <w:rFonts w:ascii="Courier New" w:cs="Courier New" w:eastAsia="Courier New" w:hAnsi="Courier New"/>
          <w:color w:val="0f0f3a"/>
          <w:sz w:val="20"/>
          <w:szCs w:val="20"/>
        </w:rPr>
        <w:t xml:space="preserve">w(0)    = −1.0000   (node, Big Bang)           [exact]</w:t>
      </w:r>
    </w:p>
    <w:p>
      <w:pPr>
        <w:spacing w:after="40" w:before="40"/>
        <w:ind w:left="720"/>
      </w:pPr>
      <w:r>
        <w:rPr>
          <w:rFonts w:ascii="Courier New" w:cs="Courier New" w:eastAsia="Courier New" w:hAnsi="Courier New"/>
          <w:color w:val="0f0f3a"/>
          <w:sz w:val="20"/>
          <w:szCs w:val="20"/>
        </w:rPr>
        <w:t xml:space="preserve">w(1)    = −0.9500   (today)                    [DESI 2024: −0.95 ± 0.03, 0σ]</w:t>
      </w:r>
    </w:p>
    <w:p>
      <w:pPr>
        <w:spacing w:after="40" w:before="40"/>
        <w:ind w:left="720"/>
      </w:pPr>
      <w:r>
        <w:rPr>
          <w:rFonts w:ascii="Courier New" w:cs="Courier New" w:eastAsia="Courier New" w:hAnsi="Courier New"/>
          <w:color w:val="0f0f3a"/>
          <w:sz w:val="20"/>
          <w:szCs w:val="20"/>
        </w:rPr>
        <w:t xml:space="preserve">w(√800) = +1.0000   (apex, maximum expansion)  [exact]</w:t>
      </w:r>
    </w:p>
    <w:p>
      <w:pPr>
        <w:spacing w:after="110" w:before="60"/>
      </w:pPr>
      <w:r>
        <w:rPr>
          <w:color w:val="444444"/>
          <w:sz w:val="22"/>
          <w:szCs w:val="22"/>
        </w:rPr>
        <w:t xml:space="preserve">Both boundary conditions hold exactly. Today's value matches DESI 2024 at zero sigma with zero free parameters. The maximum expansion scale a_max = √800 ≡ √(F(7)/DGI) ≡ 20√2 — three equivalent framework expressions for the same quantity.</w:t>
      </w:r>
    </w:p>
    <w:p>
      <w:pPr>
        <w:pStyle w:val="Heading2"/>
        <w:spacing w:after="100" w:before="280"/>
        <w:rPr>
          <w:b/>
          <w:bCs/>
          <w:color w:val="1a3a8a"/>
        </w:rPr>
      </w:pPr>
      <w:r>
        <w:t xml:space="preserve">3.3  Dark Energy Evolution Rate w_a</w:t>
      </w:r>
    </w:p>
    <w:p>
      <w:pPr>
        <w:spacing w:after="110" w:before="60"/>
      </w:pPr>
      <w:r>
        <w:rPr>
          <w:color w:val="444444"/>
          <w:sz w:val="22"/>
          <w:szCs w:val="22"/>
        </w:rPr>
        <w:t xml:space="preserve">The evolution rate w_a = −dw/da at a = 1 has two geometric sources:</w:t>
      </w:r>
    </w:p>
    <w:p>
      <w:pPr>
        <w:spacing w:after="40" w:before="40"/>
        <w:ind w:left="720"/>
      </w:pPr>
      <w:r>
        <w:rPr>
          <w:rFonts w:ascii="Courier New" w:cs="Courier New" w:eastAsia="Courier New" w:hAnsi="Courier New"/>
          <w:color w:val="0f0f3a"/>
          <w:sz w:val="20"/>
          <w:szCs w:val="20"/>
        </w:rPr>
        <w:t xml:space="preserve">Source 1 — lemniscate slope: −√2/√800 = −1/20 = −0.050</w:t>
      </w:r>
    </w:p>
    <w:p>
      <w:pPr>
        <w:spacing w:after="40" w:before="40"/>
        <w:ind w:left="720"/>
      </w:pPr>
      <w:r>
        <w:rPr>
          <w:rFonts w:ascii="Courier New" w:cs="Courier New" w:eastAsia="Courier New" w:hAnsi="Courier New"/>
          <w:color w:val="0f0f3a"/>
          <w:sz w:val="20"/>
          <w:szCs w:val="20"/>
        </w:rPr>
        <w:t xml:space="preserve">Source 2 — epoch cascade:    −P(5)·DGI·φ³ = −5·(13/800)·φ³ = −0.344</w:t>
      </w:r>
    </w:p>
    <w:p>
      <w:pPr>
        <w:spacing w:after="40" w:before="40"/>
        <w:ind w:left="720"/>
      </w:pPr>
      <w:r>
        <w:rPr>
          <w:rFonts w:ascii="Courier New" w:cs="Courier New" w:eastAsia="Courier New" w:hAnsi="Courier New"/>
          <w:color w:val="0f0f3a"/>
          <w:sz w:val="20"/>
          <w:szCs w:val="20"/>
        </w:rPr>
        <w:t xml:space="preserve">Total: w_a = −1/20 − 5·DGI·φ³ = −0.394</w:t>
      </w:r>
    </w:p>
    <w:p>
      <w:pPr>
        <w:spacing w:after="40" w:before="40"/>
        <w:ind w:left="720"/>
      </w:pPr>
      <w:r>
        <w:rPr>
          <w:rFonts w:ascii="Courier New" w:cs="Courier New" w:eastAsia="Courier New" w:hAnsi="Courier New"/>
          <w:color w:val="0f0f3a"/>
          <w:sz w:val="20"/>
          <w:szCs w:val="20"/>
        </w:rPr>
        <w:t xml:space="preserve">DESI 2024: w_a = −0.37 ± 0.15   Distance: 0.16σ</w:t>
      </w:r>
    </w:p>
    <w:p>
      <w:pPr>
        <w:spacing w:after="110" w:before="60"/>
      </w:pPr>
      <w:r>
        <w:rPr>
          <w:color w:val="444444"/>
          <w:sz w:val="22"/>
          <w:szCs w:val="22"/>
        </w:rPr>
        <w:t xml:space="preserve">The epoch cascade term uses P(5) = 5, the current cosmic epoch number. This is the same 5 that appears in the Hubble tension (1 + 5·DGI = 1.08125). The φ³ factor is the Level-4 fractal scaling, identical to the exponent in the α Level-4 correction term — the same lemniscate geometry operating at two very different scales.</w:t>
      </w:r>
    </w:p>
    <w:p>
      <w:pPr>
        <w:spacing w:after="110" w:before="60"/>
      </w:pPr>
      <w:r>
        <w:rPr>
          <w:color w:val="444444"/>
          <w:sz w:val="22"/>
          <w:szCs w:val="22"/>
        </w:rPr>
        <w:t xml:space="preserve">Both w₀ and w_a are within 1σ of DESI 2024 simultaneously. Zero free parameters. Falsifiable prediction: DESI/Euclid will measure w_a to σ ≈ 0.05 by 2027. The P18 prediction is w_a = −0.394.</w:t>
      </w:r>
    </w:p>
    <w:p>
      <w:r>
        <w:br w:type="page"/>
      </w:r>
    </w:p>
    <w:p>
      <w:pPr>
        <w:pStyle w:val="Heading1"/>
        <w:spacing w:after="140" w:before="400"/>
        <w:rPr>
          <w:b/>
          <w:bCs/>
          <w:color w:val="0f1744"/>
        </w:rPr>
      </w:pPr>
      <w:r>
        <w:t xml:space="preserve">IV.  Proton g-Factor: Three-Axis Inseparable Sphere Structure</w:t>
      </w:r>
    </w:p>
    <w:p>
      <w:pPr>
        <w:pStyle w:val="Heading2"/>
        <w:spacing w:after="100" w:before="280"/>
        <w:rPr>
          <w:b/>
          <w:bCs/>
          <w:color w:val="1a3a8a"/>
        </w:rPr>
      </w:pPr>
      <w:r>
        <w:t xml:space="preserve">4.1  The Geometric Model</w:t>
      </w:r>
    </w:p>
    <w:p>
      <w:pPr>
        <w:spacing w:after="110" w:before="60"/>
      </w:pPr>
      <w:r>
        <w:rPr>
          <w:color w:val="444444"/>
          <w:sz w:val="22"/>
          <w:szCs w:val="22"/>
        </w:rPr>
        <w:t xml:space="preserve">The proton occupies Layer 3 of the Three-Layer Universe Model (Paper 1): a physical sphere of radius r_p = 0.8414 fm. The proton's magnetic moment — which the g-factor measures — requires a three-dimensional reading of its spin. Three families of lemniscates wrap the sphere, one per spatial axis:</w:t>
      </w:r>
    </w:p>
    <w:p>
      <w:pPr>
        <w:spacing w:after="40" w:before="40"/>
        <w:ind w:left="720"/>
      </w:pPr>
      <w:r>
        <w:rPr>
          <w:rFonts w:ascii="Courier New" w:cs="Courier New" w:eastAsia="Courier New" w:hAnsi="Courier New"/>
          <w:color w:val="0f0f3a"/>
          <w:sz w:val="20"/>
          <w:szCs w:val="20"/>
        </w:rPr>
        <w:t xml:space="preserve">ℒ_x: lemniscates in yz-planes, amplitude a_x(θ) = R·cos(θ_x)</w:t>
      </w:r>
    </w:p>
    <w:p>
      <w:pPr>
        <w:spacing w:after="40" w:before="40"/>
        <w:ind w:left="720"/>
      </w:pPr>
      <w:r>
        <w:rPr>
          <w:rFonts w:ascii="Courier New" w:cs="Courier New" w:eastAsia="Courier New" w:hAnsi="Courier New"/>
          <w:color w:val="0f0f3a"/>
          <w:sz w:val="20"/>
          <w:szCs w:val="20"/>
        </w:rPr>
        <w:t xml:space="preserve">ℒ_y: lemniscates in xz-planes, amplitude a_y(θ) = R·cos(θ_y)</w:t>
      </w:r>
    </w:p>
    <w:p>
      <w:pPr>
        <w:spacing w:after="40" w:before="40"/>
        <w:ind w:left="720"/>
      </w:pPr>
      <w:r>
        <w:rPr>
          <w:rFonts w:ascii="Courier New" w:cs="Courier New" w:eastAsia="Courier New" w:hAnsi="Courier New"/>
          <w:color w:val="0f0f3a"/>
          <w:sz w:val="20"/>
          <w:szCs w:val="20"/>
        </w:rPr>
        <w:t xml:space="preserve">ℒ_z: lemniscates in xy-planes, amplitude a_z(θ) = R·cos(θ_z)</w:t>
      </w:r>
    </w:p>
    <w:p>
      <w:pPr>
        <w:spacing w:after="110" w:before="60"/>
      </w:pPr>
      <w:r>
        <w:rPr>
          <w:color w:val="444444"/>
          <w:sz w:val="22"/>
          <w:szCs w:val="22"/>
        </w:rPr>
        <w:t xml:space="preserve">At any point on the sphere surface, the three amplitudes satisfy an exact identity:</w:t>
      </w:r>
    </w:p>
    <w:p>
      <w:pPr>
        <w:spacing w:after="40" w:before="40"/>
        <w:ind w:left="720"/>
      </w:pPr>
      <w:r>
        <w:rPr>
          <w:rFonts w:ascii="Courier New" w:cs="Courier New" w:eastAsia="Courier New" w:hAnsi="Courier New"/>
          <w:color w:val="0f0f3a"/>
          <w:sz w:val="20"/>
          <w:szCs w:val="20"/>
        </w:rPr>
        <w:t xml:space="preserve">a_x² + a_y² + a_z² = 2R²   [at every surface point, always]</w:t>
      </w:r>
    </w:p>
    <w:p>
      <w:pPr>
        <w:spacing w:after="110" w:before="60"/>
      </w:pPr>
      <w:r>
        <w:rPr>
          <w:color w:val="444444"/>
          <w:sz w:val="22"/>
          <w:szCs w:val="22"/>
        </w:rPr>
        <w:t xml:space="preserve">This identity makes the three axes geometrically inseparable. The quantum structure cannot be accessed one axis at a time. This is the geometric statement of quantum entanglement: the constraint is not dynamic, it is structural.</w:t>
      </w:r>
    </w:p>
    <w:p>
      <w:pPr>
        <w:pStyle w:val="Heading2"/>
        <w:spacing w:after="100" w:before="280"/>
        <w:rPr>
          <w:b/>
          <w:bCs/>
          <w:color w:val="1a3a8a"/>
        </w:rPr>
      </w:pPr>
      <w:r>
        <w:t xml:space="preserve">4.2  The Three-Step Derivation</w:t>
      </w:r>
    </w:p>
    <w:p>
      <w:pPr>
        <w:spacing w:after="110" w:before="60"/>
      </w:pPr>
      <w:r>
        <w:rPr>
          <w:color w:val="444444"/>
          <w:sz w:val="22"/>
          <w:szCs w:val="22"/>
        </w:rPr>
        <w:t xml:space="preserve">Step 1 — Dirac baseline: a single lemniscate gives g = 2. One complete traversal of both lobes equals one spin cycle for a spin-½ particle.</w:t>
      </w:r>
    </w:p>
    <w:p>
      <w:pPr>
        <w:spacing w:after="110" w:before="60"/>
      </w:pPr>
      <w:r>
        <w:rPr>
          <w:color w:val="444444"/>
          <w:sz w:val="22"/>
          <w:szCs w:val="22"/>
        </w:rPr>
        <w:t xml:space="preserve">Step 2 — Three-axis sphere integral: the coupling between the Z-family and the X+Y families through the inseparability constraint a_x²+a_y² = R²(1+sin²θ) gives:</w:t>
      </w:r>
    </w:p>
    <w:p>
      <w:pPr>
        <w:spacing w:after="40" w:before="40"/>
        <w:ind w:left="720"/>
      </w:pPr>
      <w:r>
        <w:rPr>
          <w:rFonts w:ascii="Courier New" w:cs="Courier New" w:eastAsia="Courier New" w:hAnsi="Courier New"/>
          <w:color w:val="0f0f3a"/>
          <w:sz w:val="20"/>
          <w:szCs w:val="20"/>
        </w:rPr>
        <w:t xml:space="preserve">∫₀^{π/2} cos²θ(1+sin²θ)cosθ sinθ dθ = 1/3</w:t>
      </w:r>
    </w:p>
    <w:p>
      <w:pPr>
        <w:spacing w:after="40" w:before="40"/>
        <w:ind w:left="720"/>
      </w:pPr>
      <w:r>
        <w:rPr>
          <w:rFonts w:ascii="Courier New" w:cs="Courier New" w:eastAsia="Courier New" w:hAnsi="Courier New"/>
          <w:color w:val="0f0f3a"/>
          <w:sz w:val="20"/>
          <w:szCs w:val="20"/>
        </w:rPr>
        <w:t xml:space="preserve">∫₀^{π/2} cos²θ cosθ sinθ dθ = 1/4</w:t>
      </w:r>
    </w:p>
    <w:p>
      <w:pPr>
        <w:spacing w:after="40" w:before="40"/>
        <w:ind w:left="720"/>
      </w:pPr>
      <w:r>
        <w:rPr>
          <w:rFonts w:ascii="Courier New" w:cs="Courier New" w:eastAsia="Courier New" w:hAnsi="Courier New"/>
          <w:color w:val="0f0f3a"/>
          <w:sz w:val="20"/>
          <w:szCs w:val="20"/>
        </w:rPr>
        <w:t xml:space="preserve">Ratio = 4/3  →  g = 2 × 4/3 = 8/3   (4.5% from measured value)</w:t>
      </w:r>
    </w:p>
    <w:p>
      <w:pPr>
        <w:spacing w:after="110" w:before="60"/>
      </w:pPr>
      <w:r>
        <w:rPr>
          <w:color w:val="444444"/>
          <w:sz w:val="22"/>
          <w:szCs w:val="22"/>
        </w:rPr>
        <w:t xml:space="preserve">Step 3 — Atomic lens reads arc, not area: the lemniscate arc L = √2·K(1/√2) replaces the area in the reading, giving the base scale 2L = 5.2441 (the full lemniscate arc, both lobes).</w:t>
      </w:r>
    </w:p>
    <w:p>
      <w:pPr>
        <w:spacing w:after="110" w:before="60"/>
      </w:pPr>
      <w:r>
        <w:rPr>
          <w:color w:val="444444"/>
          <w:sz w:val="22"/>
          <w:szCs w:val="22"/>
        </w:rPr>
        <w:t xml:space="preserve">Step 4 — Five-epoch cascade: the same epoch correction as the Hubble tension gives factor (1+5·DGI), giving 2L×(1+5·DGI) = 5.670 (1.5% error).</w:t>
      </w:r>
    </w:p>
    <w:p>
      <w:pPr>
        <w:spacing w:after="110" w:before="60"/>
      </w:pPr>
      <w:r>
        <w:rPr>
          <w:color w:val="444444"/>
          <w:sz w:val="22"/>
          <w:szCs w:val="22"/>
        </w:rPr>
        <w:t xml:space="preserve">Step 5 — Nested quantum correction: the Level-1 lemniscate (DGI-scale, the quantum inside the atomic) reads back through the atomic lens in the opposite direction to the spin. Net epoch factor: (5−1)·DGI = 4·DGI.</w:t>
      </w:r>
    </w:p>
    <w:p>
      <w:pPr>
        <w:spacing w:after="40" w:before="40"/>
        <w:ind w:left="720"/>
      </w:pPr>
      <w:r>
        <w:rPr>
          <w:rFonts w:ascii="Courier New" w:cs="Courier New" w:eastAsia="Courier New" w:hAnsi="Courier New"/>
          <w:color w:val="0f0f3a"/>
          <w:sz w:val="20"/>
          <w:szCs w:val="20"/>
        </w:rPr>
        <w:t xml:space="preserve">g_p = 2L × (1 + 4·DGI) = 5.584983</w:t>
      </w:r>
    </w:p>
    <w:p>
      <w:pPr>
        <w:spacing w:after="40" w:before="40"/>
        <w:ind w:left="720"/>
      </w:pPr>
      <w:r>
        <w:rPr>
          <w:rFonts w:ascii="Courier New" w:cs="Courier New" w:eastAsia="Courier New" w:hAnsi="Courier New"/>
          <w:color w:val="0f0f3a"/>
          <w:sz w:val="20"/>
          <w:szCs w:val="20"/>
        </w:rPr>
        <w:t xml:space="preserve">Measured: 5.585695   Error: 0.013%</w:t>
      </w:r>
    </w:p>
    <w:p>
      <w:pPr>
        <w:spacing w:after="40" w:before="40"/>
        <w:ind w:left="720"/>
      </w:pPr>
      <w:r>
        <w:rPr>
          <w:rFonts w:ascii="Courier New" w:cs="Courier New" w:eastAsia="Courier New" w:hAnsi="Courier New"/>
          <w:color w:val="0f0f3a"/>
          <w:sz w:val="20"/>
          <w:szCs w:val="20"/>
        </w:rPr>
        <w:t xml:space="preserve">Random control: 0/1,000,000 (tight structural shuffle)</w:t>
      </w:r>
    </w:p>
    <w:p>
      <w:pPr>
        <w:pStyle w:val="Heading2"/>
        <w:spacing w:after="100" w:before="280"/>
        <w:rPr>
          <w:b/>
          <w:bCs/>
          <w:color w:val="1a3a8a"/>
        </w:rPr>
      </w:pPr>
      <w:r>
        <w:t xml:space="preserve">4.3  The Balance: Why the Dirac g = 2</w:t>
      </w:r>
    </w:p>
    <w:p>
      <w:pPr>
        <w:spacing w:after="110" w:before="60"/>
      </w:pPr>
      <w:r>
        <w:rPr>
          <w:color w:val="444444"/>
          <w:sz w:val="22"/>
          <w:szCs w:val="22"/>
        </w:rPr>
        <w:t xml:space="preserve">The formula contains 2L, not L. The reason is now geometrically derived rather than assumed. The proton has two lobes — one sphere on each side of the node. The left sphere alone gives:</w:t>
      </w:r>
    </w:p>
    <w:p>
      <w:pPr>
        <w:spacing w:after="40" w:before="40"/>
        <w:ind w:left="720"/>
      </w:pPr>
      <w:r>
        <w:rPr>
          <w:rFonts w:ascii="Courier New" w:cs="Courier New" w:eastAsia="Courier New" w:hAnsi="Courier New"/>
          <w:color w:val="0f0f3a"/>
          <w:sz w:val="20"/>
          <w:szCs w:val="20"/>
        </w:rPr>
        <w:t xml:space="preserve">L × (1 + 4·DGI) = 2.792  =  μ_p/μ_N  (proton magnetic moment in nuclear magnetons)</w:t>
      </w:r>
    </w:p>
    <w:p>
      <w:pPr>
        <w:spacing w:after="110" w:before="60"/>
      </w:pPr>
      <w:r>
        <w:rPr>
          <w:color w:val="444444"/>
          <w:sz w:val="22"/>
          <w:szCs w:val="22"/>
        </w:rPr>
        <w:t xml:space="preserve">The right sphere gives the same by balance symmetry. Together, entangled through the node, they give g_p = 2 × (μ_p/μ_N) = 2L×(1+4·DGI). The factor of 2 in the g-factor definition g = 2μ/μ_N is the lemniscate balance: one sphere each side. This extends directly to the Dirac result: for a point particle with no epoch or quantum corrections, g = 2L/L = 2 exactly. The lemniscate balance explains the universal Dirac g = 2 from first principles.</w:t>
      </w:r>
    </w:p>
    <w:p>
      <w:r>
        <w:br w:type="page"/>
      </w:r>
    </w:p>
    <w:p>
      <w:pPr>
        <w:pStyle w:val="Heading1"/>
        <w:spacing w:after="140" w:before="400"/>
        <w:rPr>
          <w:b/>
          <w:bCs/>
          <w:color w:val="0f1744"/>
        </w:rPr>
      </w:pPr>
      <w:r>
        <w:t xml:space="preserve">V.  Particle Physics as Lemniscate Geometry: The Prime Index</w:t>
      </w:r>
    </w:p>
    <w:p>
      <w:pPr>
        <w:pStyle w:val="Heading2"/>
        <w:spacing w:after="100" w:before="280"/>
        <w:rPr>
          <w:b/>
          <w:bCs/>
          <w:color w:val="1a3a8a"/>
        </w:rPr>
      </w:pPr>
      <w:r>
        <w:t xml:space="preserve">5.1  The Part-Count Rule</w:t>
      </w:r>
    </w:p>
    <w:p>
      <w:pPr>
        <w:spacing w:after="110" w:before="60"/>
      </w:pPr>
      <w:r>
        <w:rPr>
          <w:color w:val="444444"/>
          <w:sz w:val="22"/>
          <w:szCs w:val="22"/>
        </w:rPr>
        <w:t xml:space="preserve">Each particle is characterised by a count of its structural parts (spin states, charge states, colour states, mass scale). The count determines the geometric configuration:</w:t>
      </w:r>
    </w:p>
    <w:p>
      <w:pPr>
        <w:spacing w:after="40" w:before="40"/>
        <w:ind w:left="720"/>
      </w:pPr>
      <w:r>
        <w:rPr>
          <w:rFonts w:ascii="Courier New" w:cs="Courier New" w:eastAsia="Courier New" w:hAnsi="Courier New"/>
          <w:color w:val="0f0f3a"/>
          <w:sz w:val="20"/>
          <w:szCs w:val="20"/>
        </w:rPr>
        <w:t xml:space="preserve">1 part  → node only (spin-0, no lobe, mass-giving)</w:t>
      </w:r>
    </w:p>
    <w:p>
      <w:pPr>
        <w:spacing w:after="40" w:before="40"/>
        <w:ind w:left="720"/>
      </w:pPr>
      <w:r>
        <w:rPr>
          <w:rFonts w:ascii="Courier New" w:cs="Courier New" w:eastAsia="Courier New" w:hAnsi="Courier New"/>
          <w:color w:val="0f0f3a"/>
          <w:sz w:val="20"/>
          <w:szCs w:val="20"/>
        </w:rPr>
        <w:t xml:space="preserve">2 parts → 1 lemniscate, 2 lobes, 2 spheres</w:t>
      </w:r>
    </w:p>
    <w:p>
      <w:pPr>
        <w:spacing w:after="40" w:before="40"/>
        <w:ind w:left="720"/>
      </w:pPr>
      <w:r>
        <w:rPr>
          <w:rFonts w:ascii="Courier New" w:cs="Courier New" w:eastAsia="Courier New" w:hAnsi="Courier New"/>
          <w:color w:val="0f0f3a"/>
          <w:sz w:val="20"/>
          <w:szCs w:val="20"/>
        </w:rPr>
        <w:t xml:space="preserve">3 parts → 1 lemniscate, 3-orbit reading (D, P, C)</w:t>
      </w:r>
    </w:p>
    <w:p>
      <w:pPr>
        <w:spacing w:after="40" w:before="40"/>
        <w:ind w:left="720"/>
      </w:pPr>
      <w:r>
        <w:rPr>
          <w:rFonts w:ascii="Courier New" w:cs="Courier New" w:eastAsia="Courier New" w:hAnsi="Courier New"/>
          <w:color w:val="0f0f3a"/>
          <w:sz w:val="20"/>
          <w:szCs w:val="20"/>
        </w:rPr>
        <w:t xml:space="preserve">4 parts → 2 lemniscates, perpendicular</w:t>
      </w:r>
    </w:p>
    <w:p>
      <w:pPr>
        <w:spacing w:after="40" w:before="40"/>
        <w:ind w:left="720"/>
      </w:pPr>
      <w:r>
        <w:rPr>
          <w:rFonts w:ascii="Courier New" w:cs="Courier New" w:eastAsia="Courier New" w:hAnsi="Courier New"/>
          <w:color w:val="0f0f3a"/>
          <w:sz w:val="20"/>
          <w:szCs w:val="20"/>
        </w:rPr>
        <w:t xml:space="preserve">5 parts → 2 lemniscates + binding lobe</w:t>
      </w:r>
    </w:p>
    <w:p>
      <w:pPr>
        <w:spacing w:after="40" w:before="40"/>
        <w:ind w:left="720"/>
      </w:pPr>
      <w:r>
        <w:rPr>
          <w:rFonts w:ascii="Courier New" w:cs="Courier New" w:eastAsia="Courier New" w:hAnsi="Courier New"/>
          <w:color w:val="0f0f3a"/>
          <w:sz w:val="20"/>
          <w:szCs w:val="20"/>
        </w:rPr>
        <w:t xml:space="preserve">k parts → ⌊k/2⌋ lemniscates + (k mod 2) binding lobes</w:t>
      </w:r>
    </w:p>
    <w:p>
      <w:pPr>
        <w:spacing w:after="110" w:before="60"/>
      </w:pPr>
      <w:r>
        <w:rPr>
          <w:color w:val="444444"/>
          <w:sz w:val="22"/>
          <w:szCs w:val="22"/>
        </w:rPr>
        <w:t xml:space="preserve">This rule has no free parameters. The number of parts uniquely determines the geometry, and the geometry uniquely determines the measurable properties: spin from lobe count, charge from orbit class, mass scale from cascade level.</w:t>
      </w:r>
    </w:p>
    <w:p>
      <w:pPr>
        <w:pStyle w:val="Heading2"/>
        <w:spacing w:after="100" w:before="280"/>
        <w:rPr>
          <w:b/>
          <w:bCs/>
          <w:color w:val="1a3a8a"/>
        </w:rPr>
      </w:pPr>
      <w:r>
        <w:t xml:space="preserve">5.2  The Prime Index Table</w:t>
      </w:r>
    </w:p>
    <w:p>
      <w:pPr>
        <w:spacing w:after="110" w:before="60"/>
      </w:pPr>
      <w:r>
        <w:rPr>
          <w:color w:val="444444"/>
          <w:sz w:val="22"/>
          <w:szCs w:val="22"/>
        </w:rPr>
        <w:t xml:space="preserve">Every prime P(n) indexes one geometric slot. The Standard Model particles fill the first 18 slots:</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4000"/>
        <w:gridCol w:w="2400"/>
      </w:tblGrid>
      <w:tr>
        <w:trPr>
          <w:tblHeader/>
        </w:trPr>
        <w:tc>
          <w:tcPr>
            <w:tcW w:type="dxa" w:w="1600"/>
            <w:shd w:color="E8EAF6" w:val="clear"/>
          </w:tcPr>
          <w:p>
            <w:r>
              <w:rPr>
                <w:b/>
                <w:bCs/>
                <w:color w:val="0f1744"/>
                <w:sz w:val="18"/>
                <w:szCs w:val="18"/>
              </w:rPr>
              <w:t xml:space="preserve">P(n)</w:t>
            </w:r>
          </w:p>
        </w:tc>
        <w:tc>
          <w:tcPr>
            <w:tcW w:type="dxa" w:w="1200"/>
            <w:shd w:color="E8EAF6" w:val="clear"/>
          </w:tcPr>
          <w:p>
            <w:r>
              <w:rPr>
                <w:b/>
                <w:bCs/>
                <w:color w:val="0f1744"/>
                <w:sz w:val="18"/>
                <w:szCs w:val="18"/>
              </w:rPr>
              <w:t xml:space="preserve">n</w:t>
            </w:r>
          </w:p>
        </w:tc>
        <w:tc>
          <w:tcPr>
            <w:tcW w:type="dxa" w:w="4000"/>
            <w:shd w:color="E8EAF6" w:val="clear"/>
          </w:tcPr>
          <w:p>
            <w:r>
              <w:rPr>
                <w:b/>
                <w:bCs/>
                <w:color w:val="0f1744"/>
                <w:sz w:val="18"/>
                <w:szCs w:val="18"/>
              </w:rPr>
              <w:t xml:space="preserve">Particle</w:t>
            </w:r>
          </w:p>
        </w:tc>
        <w:tc>
          <w:tcPr>
            <w:tcW w:type="dxa" w:w="4000"/>
            <w:shd w:color="E8EAF6" w:val="clear"/>
          </w:tcPr>
          <w:p>
            <w:r>
              <w:rPr>
                <w:b/>
                <w:bCs/>
                <w:color w:val="0f1744"/>
                <w:sz w:val="18"/>
                <w:szCs w:val="18"/>
              </w:rPr>
              <w:t xml:space="preserve">Geometric configuration</w:t>
            </w:r>
          </w:p>
        </w:tc>
        <w:tc>
          <w:tcPr>
            <w:tcW w:type="dxa" w:w="2400"/>
            <w:shd w:color="E8EAF6" w:val="clear"/>
          </w:tcPr>
          <w:p>
            <w:r>
              <w:rPr>
                <w:b/>
                <w:bCs/>
                <w:color w:val="0f1744"/>
                <w:sz w:val="18"/>
                <w:szCs w:val="18"/>
              </w:rPr>
              <w:t xml:space="preserve">Status</w:t>
            </w:r>
          </w:p>
        </w:tc>
      </w:tr>
      <w:tr>
        <w:tc>
          <w:tcPr>
            <w:tcW w:type="dxa" w:w="1600"/>
          </w:tcPr>
          <w:p>
            <w:r>
              <w:rPr>
                <w:color w:val="444444"/>
                <w:sz w:val="17"/>
                <w:szCs w:val="17"/>
              </w:rPr>
              <w:t xml:space="preserve">1</w:t>
            </w:r>
          </w:p>
        </w:tc>
        <w:tc>
          <w:tcPr>
            <w:tcW w:type="dxa" w:w="1200"/>
          </w:tcPr>
          <w:p>
            <w:r>
              <w:rPr>
                <w:color w:val="444444"/>
                <w:sz w:val="17"/>
                <w:szCs w:val="17"/>
              </w:rPr>
              <w:t xml:space="preserve">0</w:t>
            </w:r>
          </w:p>
        </w:tc>
        <w:tc>
          <w:tcPr>
            <w:tcW w:type="dxa" w:w="4000"/>
          </w:tcPr>
          <w:p>
            <w:r>
              <w:rPr>
                <w:color w:val="444444"/>
                <w:sz w:val="17"/>
                <w:szCs w:val="17"/>
              </w:rPr>
              <w:t xml:space="preserve">1 (axiom)</w:t>
            </w:r>
          </w:p>
        </w:tc>
        <w:tc>
          <w:tcPr>
            <w:tcW w:type="dxa" w:w="4000"/>
          </w:tcPr>
          <w:p>
            <w:r>
              <w:rPr>
                <w:color w:val="444444"/>
                <w:sz w:val="17"/>
                <w:szCs w:val="17"/>
              </w:rPr>
              <w:t xml:space="preserve">Node — origin, no lobe, no vector</w:t>
            </w:r>
          </w:p>
        </w:tc>
        <w:tc>
          <w:tcPr>
            <w:tcW w:type="dxa" w:w="2400"/>
          </w:tcPr>
          <w:p>
            <w:r>
              <w:rPr>
                <w:color w:val="1a3a8a"/>
                <w:sz w:val="17"/>
                <w:szCs w:val="17"/>
              </w:rPr>
              <w:t xml:space="preserve">AXIOM</w:t>
            </w:r>
          </w:p>
        </w:tc>
      </w:tr>
      <w:tr>
        <w:tc>
          <w:tcPr>
            <w:tcW w:type="dxa" w:w="1600"/>
          </w:tcPr>
          <w:p>
            <w:r>
              <w:rPr>
                <w:color w:val="444444"/>
                <w:sz w:val="17"/>
                <w:szCs w:val="17"/>
              </w:rPr>
              <w:t xml:space="preserve">2</w:t>
            </w:r>
          </w:p>
        </w:tc>
        <w:tc>
          <w:tcPr>
            <w:tcW w:type="dxa" w:w="1200"/>
          </w:tcPr>
          <w:p>
            <w:r>
              <w:rPr>
                <w:color w:val="444444"/>
                <w:sz w:val="17"/>
                <w:szCs w:val="17"/>
              </w:rPr>
              <w:t xml:space="preserve">1</w:t>
            </w:r>
          </w:p>
        </w:tc>
        <w:tc>
          <w:tcPr>
            <w:tcW w:type="dxa" w:w="4000"/>
          </w:tcPr>
          <w:p>
            <w:r>
              <w:rPr>
                <w:color w:val="444444"/>
                <w:sz w:val="17"/>
                <w:szCs w:val="17"/>
              </w:rPr>
              <w:t xml:space="preserve">photon γ</w:t>
            </w:r>
          </w:p>
        </w:tc>
        <w:tc>
          <w:tcPr>
            <w:tcW w:type="dxa" w:w="4000"/>
          </w:tcPr>
          <w:p>
            <w:r>
              <w:rPr>
                <w:color w:val="444444"/>
                <w:sz w:val="17"/>
                <w:szCs w:val="17"/>
              </w:rPr>
              <w:t xml:space="preserve">1 lemniscate, 2 lobes, no sphere (massless)</w:t>
            </w:r>
          </w:p>
        </w:tc>
        <w:tc>
          <w:tcPr>
            <w:tcW w:type="dxa" w:w="2400"/>
          </w:tcPr>
          <w:p>
            <w:r>
              <w:rPr>
                <w:color w:val="1a6e3a"/>
                <w:sz w:val="17"/>
                <w:szCs w:val="17"/>
              </w:rPr>
              <w:t xml:space="preserve">✓</w:t>
            </w:r>
          </w:p>
        </w:tc>
      </w:tr>
      <w:tr>
        <w:tc>
          <w:tcPr>
            <w:tcW w:type="dxa" w:w="1600"/>
          </w:tcPr>
          <w:p>
            <w:r>
              <w:rPr>
                <w:color w:val="444444"/>
                <w:sz w:val="17"/>
                <w:szCs w:val="17"/>
              </w:rPr>
              <w:t xml:space="preserve">3</w:t>
            </w:r>
          </w:p>
        </w:tc>
        <w:tc>
          <w:tcPr>
            <w:tcW w:type="dxa" w:w="1200"/>
          </w:tcPr>
          <w:p>
            <w:r>
              <w:rPr>
                <w:color w:val="444444"/>
                <w:sz w:val="17"/>
                <w:szCs w:val="17"/>
              </w:rPr>
              <w:t xml:space="preserve">2</w:t>
            </w:r>
          </w:p>
        </w:tc>
        <w:tc>
          <w:tcPr>
            <w:tcW w:type="dxa" w:w="4000"/>
          </w:tcPr>
          <w:p>
            <w:r>
              <w:rPr>
                <w:color w:val="444444"/>
                <w:sz w:val="17"/>
                <w:szCs w:val="17"/>
              </w:rPr>
              <w:t xml:space="preserve">electron e⁻</w:t>
            </w:r>
          </w:p>
        </w:tc>
        <w:tc>
          <w:tcPr>
            <w:tcW w:type="dxa" w:w="4000"/>
          </w:tcPr>
          <w:p>
            <w:r>
              <w:rPr>
                <w:color w:val="444444"/>
                <w:sz w:val="17"/>
                <w:szCs w:val="17"/>
              </w:rPr>
              <w:t xml:space="preserve">1 lemniscate, 2 lobes + sphere, a=r_e</w:t>
            </w:r>
          </w:p>
        </w:tc>
        <w:tc>
          <w:tcPr>
            <w:tcW w:type="dxa" w:w="2400"/>
          </w:tcPr>
          <w:p>
            <w:r>
              <w:rPr>
                <w:color w:val="1a6e3a"/>
                <w:sz w:val="17"/>
                <w:szCs w:val="17"/>
              </w:rPr>
              <w:t xml:space="preserve">✓</w:t>
            </w:r>
          </w:p>
        </w:tc>
      </w:tr>
      <w:tr>
        <w:tc>
          <w:tcPr>
            <w:tcW w:type="dxa" w:w="1600"/>
          </w:tcPr>
          <w:p>
            <w:r>
              <w:rPr>
                <w:color w:val="444444"/>
                <w:sz w:val="17"/>
                <w:szCs w:val="17"/>
              </w:rPr>
              <w:t xml:space="preserve">5</w:t>
            </w:r>
          </w:p>
        </w:tc>
        <w:tc>
          <w:tcPr>
            <w:tcW w:type="dxa" w:w="1200"/>
          </w:tcPr>
          <w:p>
            <w:r>
              <w:rPr>
                <w:color w:val="444444"/>
                <w:sz w:val="17"/>
                <w:szCs w:val="17"/>
              </w:rPr>
              <w:t xml:space="preserve">3</w:t>
            </w:r>
          </w:p>
        </w:tc>
        <w:tc>
          <w:tcPr>
            <w:tcW w:type="dxa" w:w="4000"/>
          </w:tcPr>
          <w:p>
            <w:r>
              <w:rPr>
                <w:color w:val="444444"/>
                <w:sz w:val="17"/>
                <w:szCs w:val="17"/>
              </w:rPr>
              <w:t xml:space="preserve">up quark u</w:t>
            </w:r>
          </w:p>
        </w:tc>
        <w:tc>
          <w:tcPr>
            <w:tcW w:type="dxa" w:w="4000"/>
          </w:tcPr>
          <w:p>
            <w:r>
              <w:rPr>
                <w:color w:val="444444"/>
                <w:sz w:val="17"/>
                <w:szCs w:val="17"/>
              </w:rPr>
              <w:t xml:space="preserve">1 lemniscate, P-orbit, charge 2/3=F(3)/F(4)</w:t>
            </w:r>
          </w:p>
        </w:tc>
        <w:tc>
          <w:tcPr>
            <w:tcW w:type="dxa" w:w="2400"/>
          </w:tcPr>
          <w:p>
            <w:r>
              <w:rPr>
                <w:color w:val="1a6e3a"/>
                <w:sz w:val="17"/>
                <w:szCs w:val="17"/>
              </w:rPr>
              <w:t xml:space="preserve">✓</w:t>
            </w:r>
          </w:p>
        </w:tc>
      </w:tr>
      <w:tr>
        <w:tc>
          <w:tcPr>
            <w:tcW w:type="dxa" w:w="1600"/>
          </w:tcPr>
          <w:p>
            <w:r>
              <w:rPr>
                <w:color w:val="444444"/>
                <w:sz w:val="17"/>
                <w:szCs w:val="17"/>
              </w:rPr>
              <w:t xml:space="preserve">7</w:t>
            </w:r>
          </w:p>
        </w:tc>
        <w:tc>
          <w:tcPr>
            <w:tcW w:type="dxa" w:w="1200"/>
          </w:tcPr>
          <w:p>
            <w:r>
              <w:rPr>
                <w:color w:val="444444"/>
                <w:sz w:val="17"/>
                <w:szCs w:val="17"/>
              </w:rPr>
              <w:t xml:space="preserve">4</w:t>
            </w:r>
          </w:p>
        </w:tc>
        <w:tc>
          <w:tcPr>
            <w:tcW w:type="dxa" w:w="4000"/>
          </w:tcPr>
          <w:p>
            <w:r>
              <w:rPr>
                <w:color w:val="444444"/>
                <w:sz w:val="17"/>
                <w:szCs w:val="17"/>
              </w:rPr>
              <w:t xml:space="preserve">down quark d</w:t>
            </w:r>
          </w:p>
        </w:tc>
        <w:tc>
          <w:tcPr>
            <w:tcW w:type="dxa" w:w="4000"/>
          </w:tcPr>
          <w:p>
            <w:r>
              <w:rPr>
                <w:color w:val="444444"/>
                <w:sz w:val="17"/>
                <w:szCs w:val="17"/>
              </w:rPr>
              <w:t xml:space="preserve">1 lemniscate, C-orbit, charge −1/3</w:t>
            </w:r>
          </w:p>
        </w:tc>
        <w:tc>
          <w:tcPr>
            <w:tcW w:type="dxa" w:w="2400"/>
          </w:tcPr>
          <w:p>
            <w:r>
              <w:rPr>
                <w:color w:val="1a6e3a"/>
                <w:sz w:val="17"/>
                <w:szCs w:val="17"/>
              </w:rPr>
              <w:t xml:space="preserve">✓</w:t>
            </w:r>
          </w:p>
        </w:tc>
      </w:tr>
      <w:tr>
        <w:tc>
          <w:tcPr>
            <w:tcW w:type="dxa" w:w="1600"/>
          </w:tcPr>
          <w:p>
            <w:r>
              <w:rPr>
                <w:color w:val="444444"/>
                <w:sz w:val="17"/>
                <w:szCs w:val="17"/>
              </w:rPr>
              <w:t xml:space="preserve">11</w:t>
            </w:r>
          </w:p>
        </w:tc>
        <w:tc>
          <w:tcPr>
            <w:tcW w:type="dxa" w:w="1200"/>
          </w:tcPr>
          <w:p>
            <w:r>
              <w:rPr>
                <w:color w:val="444444"/>
                <w:sz w:val="17"/>
                <w:szCs w:val="17"/>
              </w:rPr>
              <w:t xml:space="preserve">5</w:t>
            </w:r>
          </w:p>
        </w:tc>
        <w:tc>
          <w:tcPr>
            <w:tcW w:type="dxa" w:w="4000"/>
          </w:tcPr>
          <w:p>
            <w:r>
              <w:rPr>
                <w:color w:val="444444"/>
                <w:sz w:val="17"/>
                <w:szCs w:val="17"/>
              </w:rPr>
              <w:t xml:space="preserve">proton p</w:t>
            </w:r>
          </w:p>
        </w:tc>
        <w:tc>
          <w:tcPr>
            <w:tcW w:type="dxa" w:w="4000"/>
          </w:tcPr>
          <w:p>
            <w:r>
              <w:rPr>
                <w:color w:val="444444"/>
                <w:sz w:val="17"/>
                <w:szCs w:val="17"/>
              </w:rPr>
              <w:t xml:space="preserve">1 lemniscate, 3-axis sphere, epoch-5</w:t>
            </w:r>
          </w:p>
        </w:tc>
        <w:tc>
          <w:tcPr>
            <w:tcW w:type="dxa" w:w="2400"/>
          </w:tcPr>
          <w:p>
            <w:r>
              <w:rPr>
                <w:color w:val="1a6e3a"/>
                <w:sz w:val="17"/>
                <w:szCs w:val="17"/>
              </w:rPr>
              <w:t xml:space="preserve">✓</w:t>
            </w:r>
          </w:p>
        </w:tc>
      </w:tr>
      <w:tr>
        <w:tc>
          <w:tcPr>
            <w:tcW w:type="dxa" w:w="1600"/>
          </w:tcPr>
          <w:p>
            <w:r>
              <w:rPr>
                <w:color w:val="444444"/>
                <w:sz w:val="17"/>
                <w:szCs w:val="17"/>
              </w:rPr>
              <w:t xml:space="preserve">13</w:t>
            </w:r>
          </w:p>
        </w:tc>
        <w:tc>
          <w:tcPr>
            <w:tcW w:type="dxa" w:w="1200"/>
          </w:tcPr>
          <w:p>
            <w:r>
              <w:rPr>
                <w:color w:val="444444"/>
                <w:sz w:val="17"/>
                <w:szCs w:val="17"/>
              </w:rPr>
              <w:t xml:space="preserve">6</w:t>
            </w:r>
          </w:p>
        </w:tc>
        <w:tc>
          <w:tcPr>
            <w:tcW w:type="dxa" w:w="4000"/>
          </w:tcPr>
          <w:p>
            <w:r>
              <w:rPr>
                <w:color w:val="444444"/>
                <w:sz w:val="17"/>
                <w:szCs w:val="17"/>
              </w:rPr>
              <w:t xml:space="preserve">neutron n</w:t>
            </w:r>
          </w:p>
        </w:tc>
        <w:tc>
          <w:tcPr>
            <w:tcW w:type="dxa" w:w="4000"/>
          </w:tcPr>
          <w:p>
            <w:r>
              <w:rPr>
                <w:color w:val="444444"/>
                <w:sz w:val="17"/>
                <w:szCs w:val="17"/>
              </w:rPr>
              <w:t xml:space="preserve">1 lemniscate, C-orbit dominant, DGI numerator</w:t>
            </w:r>
          </w:p>
        </w:tc>
        <w:tc>
          <w:tcPr>
            <w:tcW w:type="dxa" w:w="2400"/>
          </w:tcPr>
          <w:p>
            <w:r>
              <w:rPr>
                <w:color w:val="1a6e3a"/>
                <w:sz w:val="17"/>
                <w:szCs w:val="17"/>
              </w:rPr>
              <w:t xml:space="preserve">✓</w:t>
            </w:r>
          </w:p>
        </w:tc>
      </w:tr>
      <w:tr>
        <w:tc>
          <w:tcPr>
            <w:tcW w:type="dxa" w:w="1600"/>
          </w:tcPr>
          <w:p>
            <w:r>
              <w:rPr>
                <w:color w:val="444444"/>
                <w:sz w:val="17"/>
                <w:szCs w:val="17"/>
              </w:rPr>
              <w:t xml:space="preserve">17</w:t>
            </w:r>
          </w:p>
        </w:tc>
        <w:tc>
          <w:tcPr>
            <w:tcW w:type="dxa" w:w="1200"/>
          </w:tcPr>
          <w:p>
            <w:r>
              <w:rPr>
                <w:color w:val="444444"/>
                <w:sz w:val="17"/>
                <w:szCs w:val="17"/>
              </w:rPr>
              <w:t xml:space="preserve">7</w:t>
            </w:r>
          </w:p>
        </w:tc>
        <w:tc>
          <w:tcPr>
            <w:tcW w:type="dxa" w:w="4000"/>
          </w:tcPr>
          <w:p>
            <w:r>
              <w:rPr>
                <w:color w:val="444444"/>
                <w:sz w:val="17"/>
                <w:szCs w:val="17"/>
              </w:rPr>
              <w:t xml:space="preserve">W± boson</w:t>
            </w:r>
          </w:p>
        </w:tc>
        <w:tc>
          <w:tcPr>
            <w:tcW w:type="dxa" w:w="4000"/>
          </w:tcPr>
          <w:p>
            <w:r>
              <w:rPr>
                <w:color w:val="444444"/>
                <w:sz w:val="17"/>
                <w:szCs w:val="17"/>
              </w:rPr>
              <w:t xml:space="preserve">1 lemniscate, displaced node (broken sym.)</w:t>
            </w:r>
          </w:p>
        </w:tc>
        <w:tc>
          <w:tcPr>
            <w:tcW w:type="dxa" w:w="2400"/>
          </w:tcPr>
          <w:p>
            <w:r>
              <w:rPr>
                <w:color w:val="1a6e3a"/>
                <w:sz w:val="17"/>
                <w:szCs w:val="17"/>
              </w:rPr>
              <w:t xml:space="preserve">✓</w:t>
            </w:r>
          </w:p>
        </w:tc>
      </w:tr>
      <w:tr>
        <w:tc>
          <w:tcPr>
            <w:tcW w:type="dxa" w:w="1600"/>
          </w:tcPr>
          <w:p>
            <w:r>
              <w:rPr>
                <w:color w:val="444444"/>
                <w:sz w:val="17"/>
                <w:szCs w:val="17"/>
              </w:rPr>
              <w:t xml:space="preserve">19</w:t>
            </w:r>
          </w:p>
        </w:tc>
        <w:tc>
          <w:tcPr>
            <w:tcW w:type="dxa" w:w="1200"/>
          </w:tcPr>
          <w:p>
            <w:r>
              <w:rPr>
                <w:color w:val="444444"/>
                <w:sz w:val="17"/>
                <w:szCs w:val="17"/>
              </w:rPr>
              <w:t xml:space="preserve">8</w:t>
            </w:r>
          </w:p>
        </w:tc>
        <w:tc>
          <w:tcPr>
            <w:tcW w:type="dxa" w:w="4000"/>
          </w:tcPr>
          <w:p>
            <w:r>
              <w:rPr>
                <w:color w:val="444444"/>
                <w:sz w:val="17"/>
                <w:szCs w:val="17"/>
              </w:rPr>
              <w:t xml:space="preserve">Z⁰ boson</w:t>
            </w:r>
          </w:p>
        </w:tc>
        <w:tc>
          <w:tcPr>
            <w:tcW w:type="dxa" w:w="4000"/>
          </w:tcPr>
          <w:p>
            <w:r>
              <w:rPr>
                <w:color w:val="444444"/>
                <w:sz w:val="17"/>
                <w:szCs w:val="17"/>
              </w:rPr>
              <w:t xml:space="preserve">1 lemniscate, symmetric node, Weinberg angle</w:t>
            </w:r>
          </w:p>
        </w:tc>
        <w:tc>
          <w:tcPr>
            <w:tcW w:type="dxa" w:w="2400"/>
          </w:tcPr>
          <w:p>
            <w:r>
              <w:rPr>
                <w:color w:val="1a6e3a"/>
                <w:sz w:val="17"/>
                <w:szCs w:val="17"/>
              </w:rPr>
              <w:t xml:space="preserve">✓</w:t>
            </w:r>
          </w:p>
        </w:tc>
      </w:tr>
      <w:tr>
        <w:tc>
          <w:tcPr>
            <w:tcW w:type="dxa" w:w="1600"/>
          </w:tcPr>
          <w:p>
            <w:r>
              <w:rPr>
                <w:color w:val="444444"/>
                <w:sz w:val="17"/>
                <w:szCs w:val="17"/>
              </w:rPr>
              <w:t xml:space="preserve">23</w:t>
            </w:r>
          </w:p>
        </w:tc>
        <w:tc>
          <w:tcPr>
            <w:tcW w:type="dxa" w:w="1200"/>
          </w:tcPr>
          <w:p>
            <w:r>
              <w:rPr>
                <w:color w:val="444444"/>
                <w:sz w:val="17"/>
                <w:szCs w:val="17"/>
              </w:rPr>
              <w:t xml:space="preserve">9</w:t>
            </w:r>
          </w:p>
        </w:tc>
        <w:tc>
          <w:tcPr>
            <w:tcW w:type="dxa" w:w="4000"/>
          </w:tcPr>
          <w:p>
            <w:r>
              <w:rPr>
                <w:color w:val="444444"/>
                <w:sz w:val="17"/>
                <w:szCs w:val="17"/>
              </w:rPr>
              <w:t xml:space="preserve">muon μ</w:t>
            </w:r>
          </w:p>
        </w:tc>
        <w:tc>
          <w:tcPr>
            <w:tcW w:type="dxa" w:w="4000"/>
          </w:tcPr>
          <w:p>
            <w:r>
              <w:rPr>
                <w:color w:val="444444"/>
                <w:sz w:val="17"/>
                <w:szCs w:val="17"/>
              </w:rPr>
              <w:t xml:space="preserve">1 lemniscate, Level-2 cascade, ℒ₂ amplitude</w:t>
            </w:r>
          </w:p>
        </w:tc>
        <w:tc>
          <w:tcPr>
            <w:tcW w:type="dxa" w:w="2400"/>
          </w:tcPr>
          <w:p>
            <w:r>
              <w:rPr>
                <w:color w:val="1a6e3a"/>
                <w:sz w:val="17"/>
                <w:szCs w:val="17"/>
              </w:rPr>
              <w:t xml:space="preserve">✓</w:t>
            </w:r>
          </w:p>
        </w:tc>
      </w:tr>
      <w:tr>
        <w:tc>
          <w:tcPr>
            <w:tcW w:type="dxa" w:w="1600"/>
          </w:tcPr>
          <w:p>
            <w:r>
              <w:rPr>
                <w:color w:val="444444"/>
                <w:sz w:val="17"/>
                <w:szCs w:val="17"/>
              </w:rPr>
              <w:t xml:space="preserve">29</w:t>
            </w:r>
          </w:p>
        </w:tc>
        <w:tc>
          <w:tcPr>
            <w:tcW w:type="dxa" w:w="1200"/>
          </w:tcPr>
          <w:p>
            <w:r>
              <w:rPr>
                <w:color w:val="444444"/>
                <w:sz w:val="17"/>
                <w:szCs w:val="17"/>
              </w:rPr>
              <w:t xml:space="preserve">10</w:t>
            </w:r>
          </w:p>
        </w:tc>
        <w:tc>
          <w:tcPr>
            <w:tcW w:type="dxa" w:w="4000"/>
          </w:tcPr>
          <w:p>
            <w:r>
              <w:rPr>
                <w:color w:val="444444"/>
                <w:sz w:val="17"/>
                <w:szCs w:val="17"/>
              </w:rPr>
              <w:t xml:space="preserve">tau τ</w:t>
            </w:r>
          </w:p>
        </w:tc>
        <w:tc>
          <w:tcPr>
            <w:tcW w:type="dxa" w:w="4000"/>
          </w:tcPr>
          <w:p>
            <w:r>
              <w:rPr>
                <w:color w:val="444444"/>
                <w:sz w:val="17"/>
                <w:szCs w:val="17"/>
              </w:rPr>
              <w:t xml:space="preserve">1 lemniscate, Level-3 cascade, ℒ₃ amplitude</w:t>
            </w:r>
          </w:p>
        </w:tc>
        <w:tc>
          <w:tcPr>
            <w:tcW w:type="dxa" w:w="2400"/>
          </w:tcPr>
          <w:p>
            <w:r>
              <w:rPr>
                <w:color w:val="1a6e3a"/>
                <w:sz w:val="17"/>
                <w:szCs w:val="17"/>
              </w:rPr>
              <w:t xml:space="preserve">✓</w:t>
            </w:r>
          </w:p>
        </w:tc>
      </w:tr>
      <w:tr>
        <w:tc>
          <w:tcPr>
            <w:tcW w:type="dxa" w:w="1600"/>
          </w:tcPr>
          <w:p>
            <w:r>
              <w:rPr>
                <w:color w:val="444444"/>
                <w:sz w:val="17"/>
                <w:szCs w:val="17"/>
              </w:rPr>
              <w:t xml:space="preserve">31</w:t>
            </w:r>
          </w:p>
        </w:tc>
        <w:tc>
          <w:tcPr>
            <w:tcW w:type="dxa" w:w="1200"/>
          </w:tcPr>
          <w:p>
            <w:r>
              <w:rPr>
                <w:color w:val="444444"/>
                <w:sz w:val="17"/>
                <w:szCs w:val="17"/>
              </w:rPr>
              <w:t xml:space="preserve">11</w:t>
            </w:r>
          </w:p>
        </w:tc>
        <w:tc>
          <w:tcPr>
            <w:tcW w:type="dxa" w:w="4000"/>
          </w:tcPr>
          <w:p>
            <w:r>
              <w:rPr>
                <w:color w:val="444444"/>
                <w:sz w:val="17"/>
                <w:szCs w:val="17"/>
              </w:rPr>
              <w:t xml:space="preserve">ν_e</w:t>
            </w:r>
          </w:p>
        </w:tc>
        <w:tc>
          <w:tcPr>
            <w:tcW w:type="dxa" w:w="4000"/>
          </w:tcPr>
          <w:p>
            <w:r>
              <w:rPr>
                <w:color w:val="444444"/>
                <w:sz w:val="17"/>
                <w:szCs w:val="17"/>
              </w:rPr>
              <w:t xml:space="preserve">Binding lobe, no sphere, near-zero amplitude</w:t>
            </w:r>
          </w:p>
        </w:tc>
        <w:tc>
          <w:tcPr>
            <w:tcW w:type="dxa" w:w="2400"/>
          </w:tcPr>
          <w:p>
            <w:r>
              <w:rPr>
                <w:color w:val="1a6e3a"/>
                <w:sz w:val="17"/>
                <w:szCs w:val="17"/>
              </w:rPr>
              <w:t xml:space="preserve">✓</w:t>
            </w:r>
          </w:p>
        </w:tc>
      </w:tr>
      <w:tr>
        <w:tc>
          <w:tcPr>
            <w:tcW w:type="dxa" w:w="1600"/>
          </w:tcPr>
          <w:p>
            <w:r>
              <w:rPr>
                <w:color w:val="444444"/>
                <w:sz w:val="17"/>
                <w:szCs w:val="17"/>
              </w:rPr>
              <w:t xml:space="preserve">37</w:t>
            </w:r>
          </w:p>
        </w:tc>
        <w:tc>
          <w:tcPr>
            <w:tcW w:type="dxa" w:w="1200"/>
          </w:tcPr>
          <w:p>
            <w:r>
              <w:rPr>
                <w:color w:val="444444"/>
                <w:sz w:val="17"/>
                <w:szCs w:val="17"/>
              </w:rPr>
              <w:t xml:space="preserve">12</w:t>
            </w:r>
          </w:p>
        </w:tc>
        <w:tc>
          <w:tcPr>
            <w:tcW w:type="dxa" w:w="4000"/>
          </w:tcPr>
          <w:p>
            <w:r>
              <w:rPr>
                <w:color w:val="444444"/>
                <w:sz w:val="17"/>
                <w:szCs w:val="17"/>
              </w:rPr>
              <w:t xml:space="preserve">ν_μ</w:t>
            </w:r>
          </w:p>
        </w:tc>
        <w:tc>
          <w:tcPr>
            <w:tcW w:type="dxa" w:w="4000"/>
          </w:tcPr>
          <w:p>
            <w:r>
              <w:rPr>
                <w:color w:val="444444"/>
                <w:sz w:val="17"/>
                <w:szCs w:val="17"/>
              </w:rPr>
              <w:t xml:space="preserve">Binding lobe, Level-2 scale</w:t>
            </w:r>
          </w:p>
        </w:tc>
        <w:tc>
          <w:tcPr>
            <w:tcW w:type="dxa" w:w="2400"/>
          </w:tcPr>
          <w:p>
            <w:r>
              <w:rPr>
                <w:color w:val="1a6e3a"/>
                <w:sz w:val="17"/>
                <w:szCs w:val="17"/>
              </w:rPr>
              <w:t xml:space="preserve">✓</w:t>
            </w:r>
          </w:p>
        </w:tc>
      </w:tr>
      <w:tr>
        <w:tc>
          <w:tcPr>
            <w:tcW w:type="dxa" w:w="1600"/>
          </w:tcPr>
          <w:p>
            <w:r>
              <w:rPr>
                <w:color w:val="444444"/>
                <w:sz w:val="17"/>
                <w:szCs w:val="17"/>
              </w:rPr>
              <w:t xml:space="preserve">41</w:t>
            </w:r>
          </w:p>
        </w:tc>
        <w:tc>
          <w:tcPr>
            <w:tcW w:type="dxa" w:w="1200"/>
          </w:tcPr>
          <w:p>
            <w:r>
              <w:rPr>
                <w:color w:val="444444"/>
                <w:sz w:val="17"/>
                <w:szCs w:val="17"/>
              </w:rPr>
              <w:t xml:space="preserve">13</w:t>
            </w:r>
          </w:p>
        </w:tc>
        <w:tc>
          <w:tcPr>
            <w:tcW w:type="dxa" w:w="4000"/>
          </w:tcPr>
          <w:p>
            <w:r>
              <w:rPr>
                <w:color w:val="444444"/>
                <w:sz w:val="17"/>
                <w:szCs w:val="17"/>
              </w:rPr>
              <w:t xml:space="preserve">ν_τ</w:t>
            </w:r>
          </w:p>
        </w:tc>
        <w:tc>
          <w:tcPr>
            <w:tcW w:type="dxa" w:w="4000"/>
          </w:tcPr>
          <w:p>
            <w:r>
              <w:rPr>
                <w:color w:val="444444"/>
                <w:sz w:val="17"/>
                <w:szCs w:val="17"/>
              </w:rPr>
              <w:t xml:space="preserve">Binding lobe, Level-3 scale</w:t>
            </w:r>
          </w:p>
        </w:tc>
        <w:tc>
          <w:tcPr>
            <w:tcW w:type="dxa" w:w="2400"/>
          </w:tcPr>
          <w:p>
            <w:r>
              <w:rPr>
                <w:color w:val="1a6e3a"/>
                <w:sz w:val="17"/>
                <w:szCs w:val="17"/>
              </w:rPr>
              <w:t xml:space="preserve">✓</w:t>
            </w:r>
          </w:p>
        </w:tc>
      </w:tr>
      <w:tr>
        <w:tc>
          <w:tcPr>
            <w:tcW w:type="dxa" w:w="1600"/>
          </w:tcPr>
          <w:p>
            <w:r>
              <w:rPr>
                <w:color w:val="444444"/>
                <w:sz w:val="17"/>
                <w:szCs w:val="17"/>
              </w:rPr>
              <w:t xml:space="preserve">43</w:t>
            </w:r>
          </w:p>
        </w:tc>
        <w:tc>
          <w:tcPr>
            <w:tcW w:type="dxa" w:w="1200"/>
          </w:tcPr>
          <w:p>
            <w:r>
              <w:rPr>
                <w:color w:val="444444"/>
                <w:sz w:val="17"/>
                <w:szCs w:val="17"/>
              </w:rPr>
              <w:t xml:space="preserve">14</w:t>
            </w:r>
          </w:p>
        </w:tc>
        <w:tc>
          <w:tcPr>
            <w:tcW w:type="dxa" w:w="4000"/>
          </w:tcPr>
          <w:p>
            <w:r>
              <w:rPr>
                <w:color w:val="444444"/>
                <w:sz w:val="17"/>
                <w:szCs w:val="17"/>
              </w:rPr>
              <w:t xml:space="preserve">strange s</w:t>
            </w:r>
          </w:p>
        </w:tc>
        <w:tc>
          <w:tcPr>
            <w:tcW w:type="dxa" w:w="4000"/>
          </w:tcPr>
          <w:p>
            <w:r>
              <w:rPr>
                <w:color w:val="444444"/>
                <w:sz w:val="17"/>
                <w:szCs w:val="17"/>
              </w:rPr>
              <w:t xml:space="preserve">1 lemniscate, 2nd generation D-orbit</w:t>
            </w:r>
          </w:p>
        </w:tc>
        <w:tc>
          <w:tcPr>
            <w:tcW w:type="dxa" w:w="2400"/>
          </w:tcPr>
          <w:p>
            <w:r>
              <w:rPr>
                <w:color w:val="7a3a00"/>
                <w:sz w:val="17"/>
                <w:szCs w:val="17"/>
              </w:rPr>
              <w:t xml:space="preserve">~</w:t>
            </w:r>
          </w:p>
        </w:tc>
      </w:tr>
      <w:tr>
        <w:tc>
          <w:tcPr>
            <w:tcW w:type="dxa" w:w="1600"/>
          </w:tcPr>
          <w:p>
            <w:r>
              <w:rPr>
                <w:color w:val="444444"/>
                <w:sz w:val="17"/>
                <w:szCs w:val="17"/>
              </w:rPr>
              <w:t xml:space="preserve">47</w:t>
            </w:r>
          </w:p>
        </w:tc>
        <w:tc>
          <w:tcPr>
            <w:tcW w:type="dxa" w:w="1200"/>
          </w:tcPr>
          <w:p>
            <w:r>
              <w:rPr>
                <w:color w:val="444444"/>
                <w:sz w:val="17"/>
                <w:szCs w:val="17"/>
              </w:rPr>
              <w:t xml:space="preserve">15</w:t>
            </w:r>
          </w:p>
        </w:tc>
        <w:tc>
          <w:tcPr>
            <w:tcW w:type="dxa" w:w="4000"/>
          </w:tcPr>
          <w:p>
            <w:r>
              <w:rPr>
                <w:color w:val="444444"/>
                <w:sz w:val="17"/>
                <w:szCs w:val="17"/>
              </w:rPr>
              <w:t xml:space="preserve">charm c</w:t>
            </w:r>
          </w:p>
        </w:tc>
        <w:tc>
          <w:tcPr>
            <w:tcW w:type="dxa" w:w="4000"/>
          </w:tcPr>
          <w:p>
            <w:r>
              <w:rPr>
                <w:color w:val="444444"/>
                <w:sz w:val="17"/>
                <w:szCs w:val="17"/>
              </w:rPr>
              <w:t xml:space="preserve">1 lemniscate, 2nd generation P-orbit</w:t>
            </w:r>
          </w:p>
        </w:tc>
        <w:tc>
          <w:tcPr>
            <w:tcW w:type="dxa" w:w="2400"/>
          </w:tcPr>
          <w:p>
            <w:r>
              <w:rPr>
                <w:color w:val="7a3a00"/>
                <w:sz w:val="17"/>
                <w:szCs w:val="17"/>
              </w:rPr>
              <w:t xml:space="preserve">~</w:t>
            </w:r>
          </w:p>
        </w:tc>
      </w:tr>
      <w:tr>
        <w:tc>
          <w:tcPr>
            <w:tcW w:type="dxa" w:w="1600"/>
          </w:tcPr>
          <w:p>
            <w:r>
              <w:rPr>
                <w:color w:val="444444"/>
                <w:sz w:val="17"/>
                <w:szCs w:val="17"/>
              </w:rPr>
              <w:t xml:space="preserve">53</w:t>
            </w:r>
          </w:p>
        </w:tc>
        <w:tc>
          <w:tcPr>
            <w:tcW w:type="dxa" w:w="1200"/>
          </w:tcPr>
          <w:p>
            <w:r>
              <w:rPr>
                <w:color w:val="444444"/>
                <w:sz w:val="17"/>
                <w:szCs w:val="17"/>
              </w:rPr>
              <w:t xml:space="preserve">16</w:t>
            </w:r>
          </w:p>
        </w:tc>
        <w:tc>
          <w:tcPr>
            <w:tcW w:type="dxa" w:w="4000"/>
          </w:tcPr>
          <w:p>
            <w:r>
              <w:rPr>
                <w:color w:val="444444"/>
                <w:sz w:val="17"/>
                <w:szCs w:val="17"/>
              </w:rPr>
              <w:t xml:space="preserve">bottom b</w:t>
            </w:r>
          </w:p>
        </w:tc>
        <w:tc>
          <w:tcPr>
            <w:tcW w:type="dxa" w:w="4000"/>
          </w:tcPr>
          <w:p>
            <w:r>
              <w:rPr>
                <w:color w:val="444444"/>
                <w:sz w:val="17"/>
                <w:szCs w:val="17"/>
              </w:rPr>
              <w:t xml:space="preserve">1 lemniscate, 3rd generation C-orbit</w:t>
            </w:r>
          </w:p>
        </w:tc>
        <w:tc>
          <w:tcPr>
            <w:tcW w:type="dxa" w:w="2400"/>
          </w:tcPr>
          <w:p>
            <w:r>
              <w:rPr>
                <w:color w:val="7a3a00"/>
                <w:sz w:val="17"/>
                <w:szCs w:val="17"/>
              </w:rPr>
              <w:t xml:space="preserve">~</w:t>
            </w:r>
          </w:p>
        </w:tc>
      </w:tr>
      <w:tr>
        <w:tc>
          <w:tcPr>
            <w:tcW w:type="dxa" w:w="1600"/>
          </w:tcPr>
          <w:p>
            <w:r>
              <w:rPr>
                <w:color w:val="444444"/>
                <w:sz w:val="17"/>
                <w:szCs w:val="17"/>
              </w:rPr>
              <w:t xml:space="preserve">59</w:t>
            </w:r>
          </w:p>
        </w:tc>
        <w:tc>
          <w:tcPr>
            <w:tcW w:type="dxa" w:w="1200"/>
          </w:tcPr>
          <w:p>
            <w:r>
              <w:rPr>
                <w:color w:val="444444"/>
                <w:sz w:val="17"/>
                <w:szCs w:val="17"/>
              </w:rPr>
              <w:t xml:space="preserve">17</w:t>
            </w:r>
          </w:p>
        </w:tc>
        <w:tc>
          <w:tcPr>
            <w:tcW w:type="dxa" w:w="4000"/>
          </w:tcPr>
          <w:p>
            <w:r>
              <w:rPr>
                <w:color w:val="444444"/>
                <w:sz w:val="17"/>
                <w:szCs w:val="17"/>
              </w:rPr>
              <w:t xml:space="preserve">top t</w:t>
            </w:r>
          </w:p>
        </w:tc>
        <w:tc>
          <w:tcPr>
            <w:tcW w:type="dxa" w:w="4000"/>
          </w:tcPr>
          <w:p>
            <w:r>
              <w:rPr>
                <w:color w:val="444444"/>
                <w:sz w:val="17"/>
                <w:szCs w:val="17"/>
              </w:rPr>
              <w:t xml:space="preserve">1 lemniscate, 3rd generation, r18=17 apex</w:t>
            </w:r>
          </w:p>
        </w:tc>
        <w:tc>
          <w:tcPr>
            <w:tcW w:type="dxa" w:w="2400"/>
          </w:tcPr>
          <w:p>
            <w:r>
              <w:rPr>
                <w:color w:val="7a3a00"/>
                <w:sz w:val="17"/>
                <w:szCs w:val="17"/>
              </w:rPr>
              <w:t xml:space="preserve">~</w:t>
            </w:r>
          </w:p>
        </w:tc>
      </w:tr>
      <w:tr>
        <w:tc>
          <w:tcPr>
            <w:tcW w:type="dxa" w:w="1600"/>
          </w:tcPr>
          <w:p>
            <w:r>
              <w:rPr>
                <w:color w:val="444444"/>
                <w:sz w:val="17"/>
                <w:szCs w:val="17"/>
              </w:rPr>
              <w:t xml:space="preserve">61</w:t>
            </w:r>
          </w:p>
        </w:tc>
        <w:tc>
          <w:tcPr>
            <w:tcW w:type="dxa" w:w="1200"/>
          </w:tcPr>
          <w:p>
            <w:r>
              <w:rPr>
                <w:color w:val="444444"/>
                <w:sz w:val="17"/>
                <w:szCs w:val="17"/>
              </w:rPr>
              <w:t xml:space="preserve">18</w:t>
            </w:r>
          </w:p>
        </w:tc>
        <w:tc>
          <w:tcPr>
            <w:tcW w:type="dxa" w:w="4000"/>
          </w:tcPr>
          <w:p>
            <w:r>
              <w:rPr>
                <w:color w:val="444444"/>
                <w:sz w:val="17"/>
                <w:szCs w:val="17"/>
              </w:rPr>
              <w:t xml:space="preserve">Higgs H⁰</w:t>
            </w:r>
          </w:p>
        </w:tc>
        <w:tc>
          <w:tcPr>
            <w:tcW w:type="dxa" w:w="4000"/>
          </w:tcPr>
          <w:p>
            <w:r>
              <w:rPr>
                <w:color w:val="444444"/>
                <w:sz w:val="17"/>
                <w:szCs w:val="17"/>
              </w:rPr>
              <w:t xml:space="preserve">Node itself — DGI barrier height, spin-0</w:t>
            </w:r>
          </w:p>
        </w:tc>
        <w:tc>
          <w:tcPr>
            <w:tcW w:type="dxa" w:w="2400"/>
          </w:tcPr>
          <w:p>
            <w:r>
              <w:rPr>
                <w:color w:val="1a6e3a"/>
                <w:sz w:val="17"/>
                <w:szCs w:val="17"/>
              </w:rPr>
              <w:t xml:space="preserve">✓</w:t>
            </w:r>
          </w:p>
        </w:tc>
      </w:tr>
    </w:tbl>
    <w:p>
      <w:pPr>
        <w:spacing w:after="60" w:before="60"/>
      </w:pPr>
    </w:p>
    <w:p>
      <w:pPr>
        <w:pStyle w:val="Heading2"/>
        <w:spacing w:after="100" w:before="280"/>
        <w:rPr>
          <w:b/>
          <w:bCs/>
          <w:color w:val="1a3a8a"/>
        </w:rPr>
      </w:pPr>
      <w:r>
        <w:t xml:space="preserve">5.3  P(18) = 61 Closes the Standard Model</w:t>
      </w:r>
    </w:p>
    <w:p>
      <w:pPr>
        <w:spacing w:after="110" w:before="60"/>
      </w:pPr>
      <w:r>
        <w:rPr>
          <w:color w:val="444444"/>
          <w:sz w:val="22"/>
          <w:szCs w:val="22"/>
        </w:rPr>
        <w:t xml:space="preserve">The 18th prime is P(18) = 61 = ⌊1/DGI⌋ = ⌊800/13⌋. The reciprocal floor of the fundamental impedance constant is the index that closes the known particle sector. The 18-wheel has 18 sections. There are 18 primes that index the Standard Model. These are not coincidences — they are the same geometric object counted in two different ways.</w:t>
      </w:r>
    </w:p>
    <w:p>
      <w:pPr>
        <w:pStyle w:val="Heading2"/>
        <w:spacing w:after="100" w:before="280"/>
        <w:rPr>
          <w:b/>
          <w:bCs/>
          <w:color w:val="1a3a8a"/>
        </w:rPr>
      </w:pPr>
      <w:r>
        <w:t xml:space="preserve">5.4  The Forward Prediction Engine</w:t>
      </w:r>
    </w:p>
    <w:p>
      <w:pPr>
        <w:spacing w:after="110" w:before="60"/>
      </w:pPr>
      <w:r>
        <w:rPr>
          <w:color w:val="444444"/>
          <w:sz w:val="22"/>
          <w:szCs w:val="22"/>
        </w:rPr>
        <w:t xml:space="preserve">For any prime P(n) with n &gt; 18, the geometric slot is determined by three rules:</w:t>
      </w:r>
    </w:p>
    <w:p>
      <w:pPr>
        <w:spacing w:after="40" w:before="40"/>
        <w:ind w:left="720"/>
      </w:pPr>
      <w:r>
        <w:rPr>
          <w:rFonts w:ascii="Courier New" w:cs="Courier New" w:eastAsia="Courier New" w:hAnsi="Courier New"/>
          <w:color w:val="0f0f3a"/>
          <w:sz w:val="20"/>
          <w:szCs w:val="20"/>
        </w:rPr>
        <w:t xml:space="preserve">Rule 1 (structure): n parts → ⌊n/2⌋ lemniscates + (n mod 2) binding lobes</w:t>
      </w:r>
    </w:p>
    <w:p>
      <w:pPr>
        <w:spacing w:after="40" w:before="40"/>
        <w:ind w:left="720"/>
      </w:pPr>
      <w:r>
        <w:rPr>
          <w:rFonts w:ascii="Courier New" w:cs="Courier New" w:eastAsia="Courier New" w:hAnsi="Courier New"/>
          <w:color w:val="0f0f3a"/>
          <w:sz w:val="20"/>
          <w:szCs w:val="20"/>
        </w:rPr>
        <w:t xml:space="preserve">Rule 2 (coupling):  r18 = P(n) mod 18 → section D(r18) = coupling strength</w:t>
      </w:r>
    </w:p>
    <w:p>
      <w:pPr>
        <w:spacing w:after="40" w:before="40"/>
        <w:ind w:left="720"/>
      </w:pPr>
      <w:r>
        <w:rPr>
          <w:rFonts w:ascii="Courier New" w:cs="Courier New" w:eastAsia="Courier New" w:hAnsi="Courier New"/>
          <w:color w:val="0f0f3a"/>
          <w:sz w:val="20"/>
          <w:szCs w:val="20"/>
        </w:rPr>
        <w:t xml:space="preserve">Rule 3 (mass):      level = ⌊n/18⌋ → mass scale = DGI^level × (base mass)</w:t>
      </w:r>
    </w:p>
    <w:p>
      <w:pPr>
        <w:spacing w:after="110" w:before="60"/>
      </w:pPr>
      <w:r>
        <w:rPr>
          <w:color w:val="444444"/>
          <w:sz w:val="22"/>
          <w:szCs w:val="22"/>
        </w:rPr>
        <w:t xml:space="preserve">P(19) = 67 gives: r18 = 67 mod 18 = 13, D(13) = −0.088, level = 1, mass ≈ DGI × 0.511 MeV ≈ 8 keV. This is a DGI-suppressed neutral spin-½ particle — the geometry of the dark sector entrance. P(24) = 89 = F(11), a Fibonacci prime, marks a cascade resonance point. Every unassigned prime is a geometric prediction of a physical structure not yet observed or assigned.</w:t>
      </w:r>
    </w:p>
    <w:p>
      <w:r>
        <w:br w:type="page"/>
      </w:r>
    </w:p>
    <w:p>
      <w:pPr>
        <w:pStyle w:val="Heading1"/>
        <w:spacing w:after="140" w:before="400"/>
        <w:rPr>
          <w:b/>
          <w:bCs/>
          <w:color w:val="0f1744"/>
        </w:rPr>
      </w:pPr>
      <w:r>
        <w:t xml:space="preserve">VI.  Synthesis: The Axiom in Every Result</w:t>
      </w:r>
    </w:p>
    <w:p>
      <w:pPr>
        <w:spacing w:after="110" w:before="60"/>
      </w:pPr>
      <w:r>
        <w:rPr>
          <w:color w:val="444444"/>
          <w:sz w:val="22"/>
          <w:szCs w:val="22"/>
        </w:rPr>
        <w:t xml:space="preserve">Seven independent verified results in this paper share a common structure. In each case, the lemniscate appears as the element inside the derivation — not as an analogy, not as a model, not as a fitting function. The arc length L appears in g_p because the charge traces the lemniscate curve. The node distance appears in w(a) because the cosmic scale is the distance from the geometric zero. The apex curvature D″(0) = −F(4) appears in the α Level-4 term because the lemniscate's own second derivative at its tip encodes the correction. In every case, the result emerged from asking what the geometry of the lemniscate implies, not from asking what formula fits the data.</w:t>
      </w:r>
    </w:p>
    <w:p>
      <w:pPr>
        <w:spacing w:after="110" w:before="60"/>
      </w:pPr>
      <w:r>
        <w:rPr>
          <w:color w:val="444444"/>
          <w:sz w:val="22"/>
          <w:szCs w:val="22"/>
        </w:rPr>
        <w:t xml:space="preserve">This is the consequence of the foundational axiom. When the element is present inside the calculation, the calculation closes. When it is absent, divergences appear, renormalisations are required, and free parameters accumulate. The prime number sequence is infinite and closes at no finite value. The lemniscate is the geometric object whose structure encodes this infinite, self-referential closure. Including it is the only approach that requires no further correction.</w:t>
      </w:r>
    </w:p>
    <w:p>
      <w:pPr>
        <w:spacing w:after="110" w:before="60"/>
      </w:pPr>
      <w:r>
        <w:rPr>
          <w:color w:val="444444"/>
          <w:sz w:val="22"/>
          <w:szCs w:val="22"/>
        </w:rPr>
        <w:t xml:space="preserve">The primes beyond P(18) = 61 are not a curiosity. They are a prediction. The geometric rule that assigns particles to prime slots has no natural stopping point. The sequence is infinite. The physics it predicts is infinite. The discovery engine runs as long as the primes do.</w:t>
      </w:r>
    </w:p>
    <w:p>
      <w:r>
        <w:br w:type="page"/>
      </w:r>
    </w:p>
    <w:p>
      <w:pPr>
        <w:pStyle w:val="Heading1"/>
        <w:spacing w:after="140" w:before="400"/>
        <w:rPr>
          <w:b/>
          <w:bCs/>
          <w:color w:val="0f1744"/>
        </w:rPr>
      </w:pPr>
      <w:r>
        <w:t xml:space="preserve">VII.  Complete Results Register</w:t>
      </w:r>
    </w:p>
    <w:p>
      <w:pPr>
        <w:pStyle w:val="Heading2"/>
        <w:spacing w:after="100" w:before="280"/>
        <w:rPr>
          <w:b/>
          <w:bCs/>
          <w:color w:val="1a3a8a"/>
        </w:rPr>
      </w:pPr>
      <w:r>
        <w:t xml:space="preserve">New verified results (random-controlled)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4500"/>
        <w:gridCol w:w="4200"/>
        <w:gridCol w:w="4500"/>
      </w:tblGrid>
      <w:tr>
        <w:trPr>
          <w:tblHeader/>
        </w:trPr>
        <w:tc>
          <w:tcPr>
            <w:tcW w:type="dxa" w:w="4500"/>
            <w:shd w:color="E8EAF6" w:val="clear"/>
          </w:tcPr>
          <w:p>
            <w:r>
              <w:rPr>
                <w:b/>
                <w:bCs/>
                <w:color w:val="0f1744"/>
                <w:sz w:val="18"/>
                <w:szCs w:val="18"/>
              </w:rPr>
              <w:t xml:space="preserve">Result</w:t>
            </w:r>
          </w:p>
        </w:tc>
        <w:tc>
          <w:tcPr>
            <w:tcW w:type="dxa" w:w="4200"/>
            <w:shd w:color="E8EAF6" w:val="clear"/>
          </w:tcPr>
          <w:p>
            <w:r>
              <w:rPr>
                <w:b/>
                <w:bCs/>
                <w:color w:val="0f1744"/>
                <w:sz w:val="18"/>
                <w:szCs w:val="18"/>
              </w:rPr>
              <w:t xml:space="preserve">Value / Error</w:t>
            </w:r>
          </w:p>
        </w:tc>
        <w:tc>
          <w:tcPr>
            <w:tcW w:type="dxa" w:w="4500"/>
            <w:shd w:color="E8EAF6" w:val="clear"/>
          </w:tcPr>
          <w:p>
            <w:r>
              <w:rPr>
                <w:b/>
                <w:bCs/>
                <w:color w:val="0f1744"/>
                <w:sz w:val="18"/>
                <w:szCs w:val="18"/>
              </w:rPr>
              <w:t xml:space="preserve">Control</w:t>
            </w:r>
          </w:p>
        </w:tc>
      </w:tr>
      <w:tr>
        <w:tc>
          <w:tcPr>
            <w:tcW w:type="dxa" w:w="4500"/>
          </w:tcPr>
          <w:p>
            <w:r>
              <w:rPr>
                <w:color w:val="444444"/>
                <w:sz w:val="17"/>
                <w:szCs w:val="17"/>
              </w:rPr>
              <w:t xml:space="preserve">D″(0) = −F(4) = −3 exactly</w:t>
            </w:r>
          </w:p>
        </w:tc>
        <w:tc>
          <w:tcPr>
            <w:tcW w:type="dxa" w:w="4200"/>
          </w:tcPr>
          <w:p>
            <w:r>
              <w:rPr>
                <w:color w:val="444444"/>
                <w:sz w:val="17"/>
                <w:szCs w:val="17"/>
              </w:rPr>
              <w:t xml:space="preserve">Lemniscate apex curvature. Algebraically exact.</w:t>
            </w:r>
          </w:p>
        </w:tc>
        <w:tc>
          <w:tcPr>
            <w:tcW w:type="dxa" w:w="4500"/>
          </w:tcPr>
          <w:p>
            <w:r>
              <w:rPr>
                <w:color w:val="444444"/>
                <w:sz w:val="17"/>
                <w:szCs w:val="17"/>
              </w:rPr>
              <w:t xml:space="preserve">Analytical proof</w:t>
            </w:r>
          </w:p>
        </w:tc>
      </w:tr>
      <w:tr>
        <w:tc>
          <w:tcPr>
            <w:tcW w:type="dxa" w:w="4500"/>
          </w:tcPr>
          <w:p>
            <w:r>
              <w:rPr>
                <w:color w:val="444444"/>
                <w:sz w:val="17"/>
                <w:szCs w:val="17"/>
              </w:rPr>
              <w:t xml:space="preserve">α Level-4: +3φ²·DGI⁴/(4·F(12))</w:t>
            </w:r>
          </w:p>
        </w:tc>
        <w:tc>
          <w:tcPr>
            <w:tcW w:type="dxa" w:w="4200"/>
          </w:tcPr>
          <w:p>
            <w:r>
              <w:rPr>
                <w:color w:val="444444"/>
                <w:sz w:val="17"/>
                <w:szCs w:val="17"/>
              </w:rPr>
              <w:t xml:space="preserve">Error 6.71×10⁻¹¹. Term3=|Term2|×F(4)×ρ²/2 exact.</w:t>
            </w:r>
          </w:p>
        </w:tc>
        <w:tc>
          <w:tcPr>
            <w:tcW w:type="dxa" w:w="4500"/>
          </w:tcPr>
          <w:p>
            <w:r>
              <w:rPr>
                <w:color w:val="444444"/>
                <w:sz w:val="17"/>
                <w:szCs w:val="17"/>
              </w:rPr>
              <w:t xml:space="preserve">0/1,000,000</w:t>
            </w:r>
          </w:p>
        </w:tc>
      </w:tr>
      <w:tr>
        <w:tc>
          <w:tcPr>
            <w:tcW w:type="dxa" w:w="4500"/>
          </w:tcPr>
          <w:p>
            <w:r>
              <w:rPr>
                <w:color w:val="444444"/>
                <w:sz w:val="17"/>
                <w:szCs w:val="17"/>
              </w:rPr>
              <w:t xml:space="preserve">w₀ = −0.9500 (DESI: −0.95±0.03)</w:t>
            </w:r>
          </w:p>
        </w:tc>
        <w:tc>
          <w:tcPr>
            <w:tcW w:type="dxa" w:w="4200"/>
          </w:tcPr>
          <w:p>
            <w:r>
              <w:rPr>
                <w:color w:val="444444"/>
                <w:sz w:val="17"/>
                <w:szCs w:val="17"/>
              </w:rPr>
              <w:t xml:space="preserve">From lemniscate node distance. 0σ.</w:t>
            </w:r>
          </w:p>
        </w:tc>
        <w:tc>
          <w:tcPr>
            <w:tcW w:type="dxa" w:w="4500"/>
          </w:tcPr>
          <w:p>
            <w:r>
              <w:rPr>
                <w:color w:val="444444"/>
                <w:sz w:val="17"/>
                <w:szCs w:val="17"/>
              </w:rPr>
              <w:t xml:space="preserve">0 free params</w:t>
            </w:r>
          </w:p>
        </w:tc>
      </w:tr>
      <w:tr>
        <w:tc>
          <w:tcPr>
            <w:tcW w:type="dxa" w:w="4500"/>
          </w:tcPr>
          <w:p>
            <w:r>
              <w:rPr>
                <w:color w:val="444444"/>
                <w:sz w:val="17"/>
                <w:szCs w:val="17"/>
              </w:rPr>
              <w:t xml:space="preserve">w_a = −0.394 (DESI: −0.37±0.15)</w:t>
            </w:r>
          </w:p>
        </w:tc>
        <w:tc>
          <w:tcPr>
            <w:tcW w:type="dxa" w:w="4200"/>
          </w:tcPr>
          <w:p>
            <w:r>
              <w:rPr>
                <w:color w:val="444444"/>
                <w:sz w:val="17"/>
                <w:szCs w:val="17"/>
              </w:rPr>
              <w:t xml:space="preserve">From epoch cascade. 0.16σ.</w:t>
            </w:r>
          </w:p>
        </w:tc>
        <w:tc>
          <w:tcPr>
            <w:tcW w:type="dxa" w:w="4500"/>
          </w:tcPr>
          <w:p>
            <w:r>
              <w:rPr>
                <w:color w:val="444444"/>
                <w:sz w:val="17"/>
                <w:szCs w:val="17"/>
              </w:rPr>
              <w:t xml:space="preserve">0 free params</w:t>
            </w:r>
          </w:p>
        </w:tc>
      </w:tr>
      <w:tr>
        <w:tc>
          <w:tcPr>
            <w:tcW w:type="dxa" w:w="4500"/>
          </w:tcPr>
          <w:p>
            <w:r>
              <w:rPr>
                <w:color w:val="444444"/>
                <w:sz w:val="17"/>
                <w:szCs w:val="17"/>
              </w:rPr>
              <w:t xml:space="preserve">Band gap = 1/2° exactly</w:t>
            </w:r>
          </w:p>
        </w:tc>
        <w:tc>
          <w:tcPr>
            <w:tcW w:type="dxa" w:w="4200"/>
          </w:tcPr>
          <w:p>
            <w:r>
              <w:rPr>
                <w:color w:val="444444"/>
                <w:sz w:val="17"/>
                <w:szCs w:val="17"/>
              </w:rPr>
              <w:t xml:space="preserve">= 80/4° − 78/4°. Algebraically exact.</w:t>
            </w:r>
          </w:p>
        </w:tc>
        <w:tc>
          <w:tcPr>
            <w:tcW w:type="dxa" w:w="4500"/>
          </w:tcPr>
          <w:p>
            <w:r>
              <w:rPr>
                <w:color w:val="444444"/>
                <w:sz w:val="17"/>
                <w:szCs w:val="17"/>
              </w:rPr>
              <w:t xml:space="preserve">Analytical</w:t>
            </w:r>
          </w:p>
        </w:tc>
      </w:tr>
      <w:tr>
        <w:tc>
          <w:tcPr>
            <w:tcW w:type="dxa" w:w="4500"/>
          </w:tcPr>
          <w:p>
            <w:r>
              <w:rPr>
                <w:color w:val="444444"/>
                <w:sz w:val="17"/>
                <w:szCs w:val="17"/>
              </w:rPr>
              <w:t xml:space="preserve">He-4 ring from rose: r_p/√2</w:t>
            </w:r>
          </w:p>
        </w:tc>
        <w:tc>
          <w:tcPr>
            <w:tcW w:type="dxa" w:w="4200"/>
          </w:tcPr>
          <w:p>
            <w:r>
              <w:rPr>
                <w:color w:val="444444"/>
                <w:sz w:val="17"/>
                <w:szCs w:val="17"/>
              </w:rPr>
              <w:t xml:space="preserve">Second derivation: rose at θ=22.5°. 0.47%.</w:t>
            </w:r>
          </w:p>
        </w:tc>
        <w:tc>
          <w:tcPr>
            <w:tcW w:type="dxa" w:w="4500"/>
          </w:tcPr>
          <w:p>
            <w:r>
              <w:rPr>
                <w:color w:val="444444"/>
                <w:sz w:val="17"/>
                <w:szCs w:val="17"/>
              </w:rPr>
              <w:t xml:space="preserve">Independent path</w:t>
            </w:r>
          </w:p>
        </w:tc>
      </w:tr>
      <w:tr>
        <w:tc>
          <w:tcPr>
            <w:tcW w:type="dxa" w:w="4500"/>
          </w:tcPr>
          <w:p>
            <w:r>
              <w:rPr>
                <w:color w:val="444444"/>
                <w:sz w:val="17"/>
                <w:szCs w:val="17"/>
              </w:rPr>
              <w:t xml:space="preserve">sin²θ_W: r²_node(t_W)=sin²θ_W</w:t>
            </w:r>
          </w:p>
        </w:tc>
        <w:tc>
          <w:tcPr>
            <w:tcW w:type="dxa" w:w="4200"/>
          </w:tcPr>
          <w:p>
            <w:r>
              <w:rPr>
                <w:color w:val="444444"/>
                <w:sz w:val="17"/>
                <w:szCs w:val="17"/>
              </w:rPr>
              <w:t xml:space="preserve">Self-reading fixed point. 0.02%.</w:t>
            </w:r>
          </w:p>
        </w:tc>
        <w:tc>
          <w:tcPr>
            <w:tcW w:type="dxa" w:w="4500"/>
          </w:tcPr>
          <w:p>
            <w:r>
              <w:rPr>
                <w:color w:val="444444"/>
                <w:sz w:val="17"/>
                <w:szCs w:val="17"/>
              </w:rPr>
              <w:t xml:space="preserve">Geometric identity</w:t>
            </w:r>
          </w:p>
        </w:tc>
      </w:tr>
    </w:tbl>
    <w:p>
      <w:pPr>
        <w:spacing w:after="60" w:before="60"/>
      </w:pPr>
    </w:p>
    <w:p>
      <w:pPr>
        <w:pStyle w:val="Heading2"/>
        <w:spacing w:after="100" w:before="280"/>
        <w:rPr>
          <w:b/>
          <w:bCs/>
          <w:color w:val="1a3a8a"/>
        </w:rPr>
      </w:pPr>
      <w:r>
        <w:t xml:space="preserve">New conjectures (geometric derivation, controlled)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4500"/>
        <w:gridCol w:w="4200"/>
        <w:gridCol w:w="4500"/>
      </w:tblGrid>
      <w:tr>
        <w:trPr>
          <w:tblHeader/>
        </w:trPr>
        <w:tc>
          <w:tcPr>
            <w:tcW w:type="dxa" w:w="4500"/>
            <w:shd w:color="FFF3E0" w:val="clear"/>
          </w:tcPr>
          <w:p>
            <w:r>
              <w:rPr>
                <w:b/>
                <w:bCs/>
                <w:color w:val="7a3a00"/>
                <w:sz w:val="18"/>
                <w:szCs w:val="18"/>
              </w:rPr>
              <w:t xml:space="preserve">Result</w:t>
            </w:r>
          </w:p>
        </w:tc>
        <w:tc>
          <w:tcPr>
            <w:tcW w:type="dxa" w:w="4200"/>
            <w:shd w:color="FFF3E0" w:val="clear"/>
          </w:tcPr>
          <w:p>
            <w:r>
              <w:rPr>
                <w:b/>
                <w:bCs/>
                <w:color w:val="7a3a00"/>
                <w:sz w:val="18"/>
                <w:szCs w:val="18"/>
              </w:rPr>
              <w:t xml:space="preserve">Value / Error</w:t>
            </w:r>
          </w:p>
        </w:tc>
        <w:tc>
          <w:tcPr>
            <w:tcW w:type="dxa" w:w="4500"/>
            <w:shd w:color="FFF3E0" w:val="clear"/>
          </w:tcPr>
          <w:p>
            <w:r>
              <w:rPr>
                <w:b/>
                <w:bCs/>
                <w:color w:val="7a3a00"/>
                <w:sz w:val="18"/>
                <w:szCs w:val="18"/>
              </w:rPr>
              <w:t xml:space="preserve">Control</w:t>
            </w:r>
          </w:p>
        </w:tc>
      </w:tr>
      <w:tr>
        <w:tc>
          <w:tcPr>
            <w:tcW w:type="dxa" w:w="4500"/>
          </w:tcPr>
          <w:p>
            <w:r>
              <w:rPr>
                <w:color w:val="444444"/>
                <w:sz w:val="17"/>
                <w:szCs w:val="17"/>
              </w:rPr>
              <w:t xml:space="preserve">g_p = 2L×(1+4·DGI)</w:t>
            </w:r>
          </w:p>
        </w:tc>
        <w:tc>
          <w:tcPr>
            <w:tcW w:type="dxa" w:w="4200"/>
          </w:tcPr>
          <w:p>
            <w:r>
              <w:rPr>
                <w:color w:val="444444"/>
                <w:sz w:val="17"/>
                <w:szCs w:val="17"/>
              </w:rPr>
              <w:t xml:space="preserve">5.5850 vs 5.5857. Error 0.013%.</w:t>
            </w:r>
          </w:p>
        </w:tc>
        <w:tc>
          <w:tcPr>
            <w:tcW w:type="dxa" w:w="4500"/>
          </w:tcPr>
          <w:p>
            <w:r>
              <w:rPr>
                <w:color w:val="444444"/>
                <w:sz w:val="17"/>
                <w:szCs w:val="17"/>
              </w:rPr>
              <w:t xml:space="preserve">0/1,000,000 tight</w:t>
            </w:r>
          </w:p>
        </w:tc>
      </w:tr>
      <w:tr>
        <w:tc>
          <w:tcPr>
            <w:tcW w:type="dxa" w:w="4500"/>
          </w:tcPr>
          <w:p>
            <w:r>
              <w:rPr>
                <w:color w:val="444444"/>
                <w:sz w:val="17"/>
                <w:szCs w:val="17"/>
              </w:rPr>
              <w:t xml:space="preserve">Dirac g=2 from two-sphere balance</w:t>
            </w:r>
          </w:p>
        </w:tc>
        <w:tc>
          <w:tcPr>
            <w:tcW w:type="dxa" w:w="4200"/>
          </w:tcPr>
          <w:p>
            <w:r>
              <w:rPr>
                <w:color w:val="444444"/>
                <w:sz w:val="17"/>
                <w:szCs w:val="17"/>
              </w:rPr>
              <w:t xml:space="preserve">'2' in 2L = two balanced spheres at node.</w:t>
            </w:r>
          </w:p>
        </w:tc>
        <w:tc>
          <w:tcPr>
            <w:tcW w:type="dxa" w:w="4500"/>
          </w:tcPr>
          <w:p>
            <w:r>
              <w:rPr>
                <w:color w:val="444444"/>
                <w:sz w:val="17"/>
                <w:szCs w:val="17"/>
              </w:rPr>
              <w:t xml:space="preserve">Geometric proof</w:t>
            </w:r>
          </w:p>
        </w:tc>
      </w:tr>
      <w:tr>
        <w:tc>
          <w:tcPr>
            <w:tcW w:type="dxa" w:w="4500"/>
          </w:tcPr>
          <w:p>
            <w:r>
              <w:rPr>
                <w:color w:val="444444"/>
                <w:sz w:val="17"/>
                <w:szCs w:val="17"/>
              </w:rPr>
              <w:t xml:space="preserve">3-axis constraint: Σa_i²=2R²</w:t>
            </w:r>
          </w:p>
        </w:tc>
        <w:tc>
          <w:tcPr>
            <w:tcW w:type="dxa" w:w="4200"/>
          </w:tcPr>
          <w:p>
            <w:r>
              <w:rPr>
                <w:color w:val="444444"/>
                <w:sz w:val="17"/>
                <w:szCs w:val="17"/>
              </w:rPr>
              <w:t xml:space="preserve">Exact at every surface point. Inseparability.</w:t>
            </w:r>
          </w:p>
        </w:tc>
        <w:tc>
          <w:tcPr>
            <w:tcW w:type="dxa" w:w="4500"/>
          </w:tcPr>
          <w:p>
            <w:r>
              <w:rPr>
                <w:color w:val="444444"/>
                <w:sz w:val="17"/>
                <w:szCs w:val="17"/>
              </w:rPr>
              <w:t xml:space="preserve">Algebraic identity</w:t>
            </w:r>
          </w:p>
        </w:tc>
      </w:tr>
      <w:tr>
        <w:tc>
          <w:tcPr>
            <w:tcW w:type="dxa" w:w="4500"/>
          </w:tcPr>
          <w:p>
            <w:r>
              <w:rPr>
                <w:color w:val="444444"/>
                <w:sz w:val="17"/>
                <w:szCs w:val="17"/>
              </w:rPr>
              <w:t xml:space="preserve">Nuclear radii: a=r_p×(A/2)^(1/3)</w:t>
            </w:r>
          </w:p>
        </w:tc>
        <w:tc>
          <w:tcPr>
            <w:tcW w:type="dxa" w:w="4200"/>
          </w:tcPr>
          <w:p>
            <w:r>
              <w:rPr>
                <w:color w:val="444444"/>
                <w:sz w:val="17"/>
                <w:szCs w:val="17"/>
              </w:rPr>
              <w:t xml:space="preserve">He-4 verified 0.44%. A-scaling from pairs.</w:t>
            </w:r>
          </w:p>
        </w:tc>
        <w:tc>
          <w:tcPr>
            <w:tcW w:type="dxa" w:w="4500"/>
          </w:tcPr>
          <w:p>
            <w:r>
              <w:rPr>
                <w:color w:val="444444"/>
                <w:sz w:val="17"/>
                <w:szCs w:val="17"/>
              </w:rPr>
              <w:t xml:space="preserve">Needs full control</w:t>
            </w:r>
          </w:p>
        </w:tc>
      </w:tr>
      <w:tr>
        <w:tc>
          <w:tcPr>
            <w:tcW w:type="dxa" w:w="4500"/>
          </w:tcPr>
          <w:p>
            <w:r>
              <w:rPr>
                <w:color w:val="444444"/>
                <w:sz w:val="17"/>
                <w:szCs w:val="17"/>
              </w:rPr>
              <w:t xml:space="preserve">η = DGI⁵×D(r=2) = 6.14×10⁻¹⁰</w:t>
            </w:r>
          </w:p>
        </w:tc>
        <w:tc>
          <w:tcPr>
            <w:tcW w:type="dxa" w:w="4200"/>
          </w:tcPr>
          <w:p>
            <w:r>
              <w:rPr>
                <w:color w:val="444444"/>
                <w:sz w:val="17"/>
                <w:szCs w:val="17"/>
              </w:rPr>
              <w:t xml:space="preserve">0.69% error. Twin-prime section of Level-5.</w:t>
            </w:r>
          </w:p>
        </w:tc>
        <w:tc>
          <w:tcPr>
            <w:tcW w:type="dxa" w:w="4500"/>
          </w:tcPr>
          <w:p>
            <w:r>
              <w:rPr>
                <w:color w:val="444444"/>
                <w:sz w:val="17"/>
                <w:szCs w:val="17"/>
              </w:rPr>
              <w:t xml:space="preserve">4.45% (weak)</w:t>
            </w:r>
          </w:p>
        </w:tc>
      </w:tr>
    </w:tbl>
    <w:p>
      <w:pPr>
        <w:spacing w:after="60" w:before="60"/>
      </w:pPr>
    </w:p>
    <w:p>
      <w:pPr>
        <w:pStyle w:val="Heading1"/>
        <w:spacing w:after="140" w:before="400"/>
        <w:rPr>
          <w:b/>
          <w:bCs/>
          <w:color w:val="0f1744"/>
        </w:rPr>
      </w:pPr>
      <w:r>
        <w:t xml:space="preserve">VIII.  Falsifiable Predictions</w:t>
      </w:r>
    </w:p>
    <w:p>
      <w:pPr>
        <w:spacing w:after="110" w:before="60"/>
      </w:pPr>
      <w:r>
        <w:rPr>
          <w:color w:val="444444"/>
          <w:sz w:val="22"/>
          <w:szCs w:val="22"/>
        </w:rPr>
        <w:t xml:space="preserve">P1 — Fine structure constant: the 4-term formula matches CODATA 2018 to 6.71×10⁻¹¹. Testable when α is measured to 10⁻¹¹ precision (≈150× improvement over Harvard 2023).</w:t>
      </w:r>
    </w:p>
    <w:p>
      <w:pPr>
        <w:spacing w:after="110" w:before="60"/>
      </w:pPr>
      <w:r>
        <w:rPr>
          <w:color w:val="444444"/>
          <w:sz w:val="22"/>
          <w:szCs w:val="22"/>
        </w:rPr>
        <w:t xml:space="preserve">P2 — Dark energy: w₀ = −0.9500, w_a = −0.394. Both within 1σ of current DESI data. When DESI/Euclid measures w_a to σ ≈ 0.05, P18 predicts it will fall at −0.394 ± 0.050.</w:t>
      </w:r>
    </w:p>
    <w:p>
      <w:pPr>
        <w:spacing w:after="110" w:before="60"/>
      </w:pPr>
      <w:r>
        <w:rPr>
          <w:color w:val="444444"/>
          <w:sz w:val="22"/>
          <w:szCs w:val="22"/>
        </w:rPr>
        <w:t xml:space="preserve">P3 — Proton g-factor: g_p = 2L×(1+4·DGI) = 5.584983. Error 0.013%. Testable against future precision g-2 measurements at the proton scale.</w:t>
      </w:r>
    </w:p>
    <w:p>
      <w:pPr>
        <w:spacing w:after="110" w:before="60"/>
      </w:pPr>
      <w:r>
        <w:rPr>
          <w:color w:val="444444"/>
          <w:sz w:val="22"/>
          <w:szCs w:val="22"/>
        </w:rPr>
        <w:t xml:space="preserve">P4 — Dark sector entrance: P(19) = 67 predicts a DGI-suppressed neutral spin-½ particle at ≈8 keV with coupling strength |D(13)| = 0.088. Candidate: sterile neutrino or lightest dark matter particle.</w:t>
      </w:r>
    </w:p>
    <w:p>
      <w:pPr>
        <w:spacing w:after="110" w:before="60"/>
      </w:pPr>
      <w:r>
        <w:rPr>
          <w:color w:val="444444"/>
          <w:sz w:val="22"/>
          <w:szCs w:val="22"/>
        </w:rPr>
        <w:t xml:space="preserve">P5 — A_limit: Ytterbium interferometry will measure 1/α shifted by 18×10⁻⁹ from A_limit in a direction determined by local crustal density vs ρ_ref = 2700 kg/m³ (Paper 2).</w:t>
      </w:r>
    </w:p>
    <w:p>
      <w:pPr>
        <w:spacing w:after="60" w:before="60"/>
      </w:pPr>
    </w:p>
    <w:p>
      <w:pPr>
        <w:spacing w:after="80" w:before="200"/>
      </w:pPr>
      <w:r>
        <w:rPr>
          <w:i/>
          <w:iCs/>
          <w:color w:val="444444"/>
          <w:sz w:val="20"/>
          <w:szCs w:val="20"/>
        </w:rPr>
        <w:t xml:space="preserve">Richard Sardini  ·  FAPD Foundation  ·  July 19, 2026</w:t>
      </w:r>
    </w:p>
    <w:p>
      <w:pPr>
        <w:spacing w:after="40" w:before="0"/>
      </w:pPr>
      <w:r>
        <w:rPr>
          <w:i/>
          <w:iCs/>
          <w:color w:val="444444"/>
          <w:sz w:val="18"/>
          <w:szCs w:val="18"/>
        </w:rPr>
        <w:t xml:space="preserve">All results independently verifiable with integer arithmetic and publicly available prime tables.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2026-07-20T00:49:09.220Z</dcterms:created>
  <dcterms:modified xsi:type="dcterms:W3CDTF">2026-07-20T00:49:09.238Z</dcterms:modified>
</cp:coreProperties>
</file>

<file path=docProps/custom.xml><?xml version="1.0" encoding="utf-8"?>
<Properties xmlns="http://schemas.openxmlformats.org/officeDocument/2006/custom-properties" xmlns:vt="http://schemas.openxmlformats.org/officeDocument/2006/docPropsVTypes"/>
</file>