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6F5E"/>
          <w:sz w:val="22"/>
          <w:szCs w:val="22"/>
        </w:rPr>
        <w:t xml:space="preserve">ARCE SABIN ENGINEERING</w:t>
      </w:r>
    </w:p>
    <w:p>
      <w:pPr>
        <w:spacing w:after="60"/>
      </w:pPr>
      <w:r>
        <w:rPr>
          <w:b/>
          <w:bCs/>
          <w:color w:val="1B3A5C"/>
          <w:sz w:val="40"/>
          <w:szCs w:val="40"/>
        </w:rPr>
        <w:t xml:space="preserve">Análisis por niveles técnicos — plataforma ASE</w:t>
      </w:r>
    </w:p>
    <w:p>
      <w:pPr>
        <w:spacing w:after="260"/>
      </w:pPr>
      <w:r>
        <w:rPr>
          <w:i/>
          <w:iCs/>
          <w:color w:val="666666"/>
          <w:sz w:val="20"/>
          <w:szCs w:val="20"/>
        </w:rPr>
        <w:t xml:space="preserve">13 de agosto de 2026 · Puntuación granular por capas, con sub-niveles dentro de cada una</w:t>
      </w:r>
    </w:p>
    <w:p>
      <w:pPr>
        <w:spacing w:after="240"/>
      </w:pPr>
      <w:r>
        <w:rPr>
          <w:b/>
          <w:bCs/>
          <w:sz w:val="26"/>
          <w:szCs w:val="26"/>
        </w:rPr>
        <w:t xml:space="preserve">Puntuación global: </w:t>
      </w:r>
      <w:r>
        <w:rPr>
          <w:b/>
          <w:bCs/>
          <w:color w:val="2E6F5E"/>
          <w:sz w:val="26"/>
          <w:szCs w:val="26"/>
        </w:rPr>
        <w:t xml:space="preserve">7.4 / 10</w:t>
      </w:r>
      <w:r>
        <w:rPr>
          <w:i/>
          <w:iCs/>
          <w:color w:val="666666"/>
          <w:sz w:val="20"/>
          <w:szCs w:val="20"/>
        </w:rPr>
        <w:t xml:space="preserve">  (media de las 11 capas; cada capa es a su vez la media de sus sub-niveles)</w:t>
      </w:r>
    </w:p>
    <w:p>
      <w:pPr>
        <w:pStyle w:val="Heading1"/>
        <w:spacing w:after="140" w:before="280"/>
      </w:pPr>
      <w:r>
        <w:t xml:space="preserve">Cómo leer este informe</w:t>
      </w:r>
    </w:p>
    <w:p>
      <w:pPr>
        <w:spacing w:after="120"/>
      </w:pPr>
      <w:r>
        <w:t xml:space="preserve">Este análisis usa una metodología distinta a la evaluación de seguimiento entregada hace un momento (que puntuaba 11 categorías de negocio de forma holística, con una media de 8.5/10). Aquí cada capa técnica se descompone en 3-7 sub-niveles concretos, cada uno con su propia nota y su evidencia. El resultado es una media global más baja (esta vez el resultado es una nota mas honesta), no porque la plataforma haya empeorado en las últimas horas, sino porque puntos débiles puntuales (CI/CD ausente, alertado inexistente, Sentry apagado, deuda de lint ahora cuantificada, ejecución real de tests nunca confirmada, y dos incidencias reales de sincronización de entorno ocurridas hoy mismo) ya no quedan diluidos dentro de una nota de categoría alta — cada uno pesa por sí mismo dentro de su capa.</w:t>
      </w:r>
    </w:p>
    <w:p>
      <w:pPr>
        <w:spacing w:after="120"/>
      </w:pPr>
      <w:r>
        <w:t xml:space="preserve">Dos hallazgos de hoy —el arranque del backend falló primero por una dependencia (bleach) no instalada en el entorno local, y después por dos migraciones no aplicadas— no son errores de código: el código y las migraciones eran correctos desde el primer momento. Son evidencia de que el proceso de "desplegar un cambio" no tiene ningún seguro automático que impida que el código y el entorno se desincronicen. Por eso aparecen explícitamente como sub-niveles de nota baja en varias capas (Infraestructura, Base de datos, Documentación) en vez de como una nota a pie de página.</w:t>
      </w:r>
    </w:p>
    <w:p>
      <w:pPr>
        <w:pStyle w:val="Heading1"/>
        <w:spacing w:after="140" w:before="280"/>
      </w:pPr>
      <w:r>
        <w:t xml:space="preserve">Resumen por nivel</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500"/>
        <w:gridCol w:w="6100"/>
        <w:gridCol w:w="1600"/>
      </w:tblGrid>
      <w:tr>
        <w:trPr>
          <w:tblHeader/>
        </w:trPr>
        <w:tc>
          <w:tcPr>
            <w:tcW w:type="dxa" w:w="500"/>
            <w:shd w:fill="1B3A5C" w:val="clear"/>
            <w:tcMar>
              <w:top w:type="dxa" w:w="90"/>
              <w:left w:type="dxa" w:w="110"/>
              <w:bottom w:type="dxa" w:w="90"/>
              <w:right w:type="dxa" w:w="110"/>
            </w:tcMar>
          </w:tcPr>
          <w:p>
            <w:pPr>
              <w:jc w:val="left"/>
            </w:pPr>
            <w:r>
              <w:rPr>
                <w:b/>
                <w:bCs/>
                <w:color w:val="FFFFFF"/>
                <w:sz w:val="19"/>
                <w:szCs w:val="19"/>
              </w:rPr>
              <w:t xml:space="preserve">#</w:t>
            </w:r>
          </w:p>
        </w:tc>
        <w:tc>
          <w:tcPr>
            <w:tcW w:type="dxa" w:w="6100"/>
            <w:shd w:fill="1B3A5C" w:val="clear"/>
            <w:tcMar>
              <w:top w:type="dxa" w:w="90"/>
              <w:left w:type="dxa" w:w="110"/>
              <w:bottom w:type="dxa" w:w="90"/>
              <w:right w:type="dxa" w:w="110"/>
            </w:tcMar>
          </w:tcPr>
          <w:p>
            <w:pPr>
              <w:jc w:val="left"/>
            </w:pPr>
            <w:r>
              <w:rPr>
                <w:b/>
                <w:bCs/>
                <w:color w:val="FFFFFF"/>
                <w:sz w:val="19"/>
                <w:szCs w:val="19"/>
              </w:rPr>
              <w:t xml:space="preserve">Nivel</w:t>
            </w:r>
          </w:p>
        </w:tc>
        <w:tc>
          <w:tcPr>
            <w:tcW w:type="dxa" w:w="1600"/>
            <w:shd w:fill="1B3A5C" w:val="clear"/>
            <w:tcMar>
              <w:top w:type="dxa" w:w="90"/>
              <w:left w:type="dxa" w:w="110"/>
              <w:bottom w:type="dxa" w:w="90"/>
              <w:right w:type="dxa" w:w="110"/>
            </w:tcMar>
          </w:tcPr>
          <w:p>
            <w:pPr>
              <w:jc w:val="center"/>
            </w:pPr>
            <w:r>
              <w:rPr>
                <w:b/>
                <w:bCs/>
                <w:color w:val="FFFFFF"/>
                <w:sz w:val="19"/>
                <w:szCs w:val="19"/>
              </w:rPr>
              <w:t xml:space="preserve">Puntuación</w:t>
            </w:r>
          </w:p>
        </w:tc>
      </w:tr>
      <w:tr>
        <w:trPr>
          <w:cantSplit/>
        </w:trPr>
        <w:tc>
          <w:tcPr>
            <w:tcW w:type="dxa" w:w="500"/>
            <w:tcMar>
              <w:top w:type="dxa" w:w="80"/>
              <w:left w:type="dxa" w:w="110"/>
              <w:bottom w:type="dxa" w:w="80"/>
              <w:right w:type="dxa" w:w="110"/>
            </w:tcMar>
          </w:tcPr>
          <w:p>
            <w:r>
              <w:rPr>
                <w:color w:val="666666"/>
                <w:sz w:val="19"/>
                <w:szCs w:val="19"/>
              </w:rPr>
              <w:t xml:space="preserve">1</w:t>
            </w:r>
          </w:p>
        </w:tc>
        <w:tc>
          <w:tcPr>
            <w:tcW w:type="dxa" w:w="6100"/>
            <w:tcMar>
              <w:top w:type="dxa" w:w="80"/>
              <w:left w:type="dxa" w:w="110"/>
              <w:bottom w:type="dxa" w:w="80"/>
              <w:right w:type="dxa" w:w="110"/>
            </w:tcMar>
          </w:tcPr>
          <w:p>
            <w:r>
              <w:rPr>
                <w:b/>
                <w:bCs/>
                <w:sz w:val="19"/>
                <w:szCs w:val="19"/>
              </w:rPr>
              <w:t xml:space="preserve">Infraestructura y despliegue</w:t>
            </w:r>
          </w:p>
        </w:tc>
        <w:tc>
          <w:tcPr>
            <w:tcW w:type="dxa" w:w="1600"/>
            <w:tcMar>
              <w:top w:type="dxa" w:w="80"/>
              <w:left w:type="dxa" w:w="110"/>
              <w:bottom w:type="dxa" w:w="80"/>
              <w:right w:type="dxa" w:w="110"/>
            </w:tcMar>
          </w:tcPr>
          <w:p>
            <w:pPr>
              <w:jc w:val="center"/>
            </w:pPr>
            <w:r>
              <w:rPr>
                <w:b/>
                <w:bCs/>
                <w:color w:val="8A6D1D"/>
                <w:sz w:val="20"/>
                <w:szCs w:val="20"/>
              </w:rPr>
              <w:t xml:space="preserve">6.4</w:t>
            </w:r>
          </w:p>
        </w:tc>
      </w:tr>
      <w:tr>
        <w:trPr>
          <w:cantSplit/>
        </w:trPr>
        <w:tc>
          <w:tcPr>
            <w:tcW w:type="dxa" w:w="500"/>
            <w:tcMar>
              <w:top w:type="dxa" w:w="80"/>
              <w:left w:type="dxa" w:w="110"/>
              <w:bottom w:type="dxa" w:w="80"/>
              <w:right w:type="dxa" w:w="110"/>
            </w:tcMar>
          </w:tcPr>
          <w:p>
            <w:r>
              <w:rPr>
                <w:color w:val="666666"/>
                <w:sz w:val="19"/>
                <w:szCs w:val="19"/>
              </w:rPr>
              <w:t xml:space="preserve">2</w:t>
            </w:r>
          </w:p>
        </w:tc>
        <w:tc>
          <w:tcPr>
            <w:tcW w:type="dxa" w:w="6100"/>
            <w:tcMar>
              <w:top w:type="dxa" w:w="80"/>
              <w:left w:type="dxa" w:w="110"/>
              <w:bottom w:type="dxa" w:w="80"/>
              <w:right w:type="dxa" w:w="110"/>
            </w:tcMar>
          </w:tcPr>
          <w:p>
            <w:r>
              <w:rPr>
                <w:b/>
                <w:bCs/>
                <w:sz w:val="19"/>
                <w:szCs w:val="19"/>
              </w:rPr>
              <w:t xml:space="preserve">Base de datos</w:t>
            </w:r>
          </w:p>
        </w:tc>
        <w:tc>
          <w:tcPr>
            <w:tcW w:type="dxa" w:w="1600"/>
            <w:tcMar>
              <w:top w:type="dxa" w:w="80"/>
              <w:left w:type="dxa" w:w="110"/>
              <w:bottom w:type="dxa" w:w="80"/>
              <w:right w:type="dxa" w:w="110"/>
            </w:tcMar>
          </w:tcPr>
          <w:p>
            <w:pPr>
              <w:jc w:val="center"/>
            </w:pPr>
            <w:r>
              <w:rPr>
                <w:b/>
                <w:bCs/>
                <w:color w:val="2E6F5E"/>
                <w:sz w:val="20"/>
                <w:szCs w:val="20"/>
              </w:rPr>
              <w:t xml:space="preserve">7.7</w:t>
            </w:r>
          </w:p>
        </w:tc>
      </w:tr>
      <w:tr>
        <w:trPr>
          <w:cantSplit/>
        </w:trPr>
        <w:tc>
          <w:tcPr>
            <w:tcW w:type="dxa" w:w="500"/>
            <w:tcMar>
              <w:top w:type="dxa" w:w="80"/>
              <w:left w:type="dxa" w:w="110"/>
              <w:bottom w:type="dxa" w:w="80"/>
              <w:right w:type="dxa" w:w="110"/>
            </w:tcMar>
          </w:tcPr>
          <w:p>
            <w:r>
              <w:rPr>
                <w:color w:val="666666"/>
                <w:sz w:val="19"/>
                <w:szCs w:val="19"/>
              </w:rPr>
              <w:t xml:space="preserve">3</w:t>
            </w:r>
          </w:p>
        </w:tc>
        <w:tc>
          <w:tcPr>
            <w:tcW w:type="dxa" w:w="6100"/>
            <w:tcMar>
              <w:top w:type="dxa" w:w="80"/>
              <w:left w:type="dxa" w:w="110"/>
              <w:bottom w:type="dxa" w:w="80"/>
              <w:right w:type="dxa" w:w="110"/>
            </w:tcMar>
          </w:tcPr>
          <w:p>
            <w:r>
              <w:rPr>
                <w:b/>
                <w:bCs/>
                <w:sz w:val="19"/>
                <w:szCs w:val="19"/>
              </w:rPr>
              <w:t xml:space="preserve">Backend / API</w:t>
            </w:r>
          </w:p>
        </w:tc>
        <w:tc>
          <w:tcPr>
            <w:tcW w:type="dxa" w:w="1600"/>
            <w:tcMar>
              <w:top w:type="dxa" w:w="80"/>
              <w:left w:type="dxa" w:w="110"/>
              <w:bottom w:type="dxa" w:w="80"/>
              <w:right w:type="dxa" w:w="110"/>
            </w:tcMar>
          </w:tcPr>
          <w:p>
            <w:pPr>
              <w:jc w:val="center"/>
            </w:pPr>
            <w:r>
              <w:rPr>
                <w:b/>
                <w:bCs/>
                <w:color w:val="2E6F5E"/>
                <w:sz w:val="20"/>
                <w:szCs w:val="20"/>
              </w:rPr>
              <w:t xml:space="preserve">8.0</w:t>
            </w:r>
          </w:p>
        </w:tc>
      </w:tr>
      <w:tr>
        <w:trPr>
          <w:cantSplit/>
        </w:trPr>
        <w:tc>
          <w:tcPr>
            <w:tcW w:type="dxa" w:w="500"/>
            <w:tcMar>
              <w:top w:type="dxa" w:w="80"/>
              <w:left w:type="dxa" w:w="110"/>
              <w:bottom w:type="dxa" w:w="80"/>
              <w:right w:type="dxa" w:w="110"/>
            </w:tcMar>
          </w:tcPr>
          <w:p>
            <w:r>
              <w:rPr>
                <w:color w:val="666666"/>
                <w:sz w:val="19"/>
                <w:szCs w:val="19"/>
              </w:rPr>
              <w:t xml:space="preserve">4</w:t>
            </w:r>
          </w:p>
        </w:tc>
        <w:tc>
          <w:tcPr>
            <w:tcW w:type="dxa" w:w="6100"/>
            <w:tcMar>
              <w:top w:type="dxa" w:w="80"/>
              <w:left w:type="dxa" w:w="110"/>
              <w:bottom w:type="dxa" w:w="80"/>
              <w:right w:type="dxa" w:w="110"/>
            </w:tcMar>
          </w:tcPr>
          <w:p>
            <w:r>
              <w:rPr>
                <w:b/>
                <w:bCs/>
                <w:sz w:val="19"/>
                <w:szCs w:val="19"/>
              </w:rPr>
              <w:t xml:space="preserve">Seguridad</w:t>
            </w:r>
          </w:p>
        </w:tc>
        <w:tc>
          <w:tcPr>
            <w:tcW w:type="dxa" w:w="1600"/>
            <w:tcMar>
              <w:top w:type="dxa" w:w="80"/>
              <w:left w:type="dxa" w:w="110"/>
              <w:bottom w:type="dxa" w:w="80"/>
              <w:right w:type="dxa" w:w="110"/>
            </w:tcMar>
          </w:tcPr>
          <w:p>
            <w:pPr>
              <w:jc w:val="center"/>
            </w:pPr>
            <w:r>
              <w:rPr>
                <w:b/>
                <w:bCs/>
                <w:color w:val="2E6F5E"/>
                <w:sz w:val="20"/>
                <w:szCs w:val="20"/>
              </w:rPr>
              <w:t xml:space="preserve">7.6</w:t>
            </w:r>
          </w:p>
        </w:tc>
      </w:tr>
      <w:tr>
        <w:trPr>
          <w:cantSplit/>
        </w:trPr>
        <w:tc>
          <w:tcPr>
            <w:tcW w:type="dxa" w:w="500"/>
            <w:tcMar>
              <w:top w:type="dxa" w:w="80"/>
              <w:left w:type="dxa" w:w="110"/>
              <w:bottom w:type="dxa" w:w="80"/>
              <w:right w:type="dxa" w:w="110"/>
            </w:tcMar>
          </w:tcPr>
          <w:p>
            <w:r>
              <w:rPr>
                <w:color w:val="666666"/>
                <w:sz w:val="19"/>
                <w:szCs w:val="19"/>
              </w:rPr>
              <w:t xml:space="preserve">5</w:t>
            </w:r>
          </w:p>
        </w:tc>
        <w:tc>
          <w:tcPr>
            <w:tcW w:type="dxa" w:w="6100"/>
            <w:tcMar>
              <w:top w:type="dxa" w:w="80"/>
              <w:left w:type="dxa" w:w="110"/>
              <w:bottom w:type="dxa" w:w="80"/>
              <w:right w:type="dxa" w:w="110"/>
            </w:tcMar>
          </w:tcPr>
          <w:p>
            <w:r>
              <w:rPr>
                <w:b/>
                <w:bCs/>
                <w:sz w:val="19"/>
                <w:szCs w:val="19"/>
              </w:rPr>
              <w:t xml:space="preserve">Frontend / cliente</w:t>
            </w:r>
          </w:p>
        </w:tc>
        <w:tc>
          <w:tcPr>
            <w:tcW w:type="dxa" w:w="1600"/>
            <w:tcMar>
              <w:top w:type="dxa" w:w="80"/>
              <w:left w:type="dxa" w:w="110"/>
              <w:bottom w:type="dxa" w:w="80"/>
              <w:right w:type="dxa" w:w="110"/>
            </w:tcMar>
          </w:tcPr>
          <w:p>
            <w:pPr>
              <w:jc w:val="center"/>
            </w:pPr>
            <w:r>
              <w:rPr>
                <w:b/>
                <w:bCs/>
                <w:color w:val="2E6F5E"/>
                <w:sz w:val="20"/>
                <w:szCs w:val="20"/>
              </w:rPr>
              <w:t xml:space="preserve">7.0</w:t>
            </w:r>
          </w:p>
        </w:tc>
      </w:tr>
      <w:tr>
        <w:trPr>
          <w:cantSplit/>
        </w:trPr>
        <w:tc>
          <w:tcPr>
            <w:tcW w:type="dxa" w:w="500"/>
            <w:tcMar>
              <w:top w:type="dxa" w:w="80"/>
              <w:left w:type="dxa" w:w="110"/>
              <w:bottom w:type="dxa" w:w="80"/>
              <w:right w:type="dxa" w:w="110"/>
            </w:tcMar>
          </w:tcPr>
          <w:p>
            <w:r>
              <w:rPr>
                <w:color w:val="666666"/>
                <w:sz w:val="19"/>
                <w:szCs w:val="19"/>
              </w:rPr>
              <w:t xml:space="preserve">6</w:t>
            </w:r>
          </w:p>
        </w:tc>
        <w:tc>
          <w:tcPr>
            <w:tcW w:type="dxa" w:w="6100"/>
            <w:tcMar>
              <w:top w:type="dxa" w:w="80"/>
              <w:left w:type="dxa" w:w="110"/>
              <w:bottom w:type="dxa" w:w="80"/>
              <w:right w:type="dxa" w:w="110"/>
            </w:tcMar>
          </w:tcPr>
          <w:p>
            <w:r>
              <w:rPr>
                <w:b/>
                <w:bCs/>
                <w:sz w:val="19"/>
                <w:szCs w:val="19"/>
              </w:rPr>
              <w:t xml:space="preserve">Internacionalización (i18n)</w:t>
            </w:r>
          </w:p>
        </w:tc>
        <w:tc>
          <w:tcPr>
            <w:tcW w:type="dxa" w:w="1600"/>
            <w:tcMar>
              <w:top w:type="dxa" w:w="80"/>
              <w:left w:type="dxa" w:w="110"/>
              <w:bottom w:type="dxa" w:w="80"/>
              <w:right w:type="dxa" w:w="110"/>
            </w:tcMar>
          </w:tcPr>
          <w:p>
            <w:pPr>
              <w:jc w:val="center"/>
            </w:pPr>
            <w:r>
              <w:rPr>
                <w:b/>
                <w:bCs/>
                <w:color w:val="1B6B3C"/>
                <w:sz w:val="20"/>
                <w:szCs w:val="20"/>
              </w:rPr>
              <w:t xml:space="preserve">8.7</w:t>
            </w:r>
          </w:p>
        </w:tc>
      </w:tr>
      <w:tr>
        <w:trPr>
          <w:cantSplit/>
        </w:trPr>
        <w:tc>
          <w:tcPr>
            <w:tcW w:type="dxa" w:w="500"/>
            <w:tcMar>
              <w:top w:type="dxa" w:w="80"/>
              <w:left w:type="dxa" w:w="110"/>
              <w:bottom w:type="dxa" w:w="80"/>
              <w:right w:type="dxa" w:w="110"/>
            </w:tcMar>
          </w:tcPr>
          <w:p>
            <w:r>
              <w:rPr>
                <w:color w:val="666666"/>
                <w:sz w:val="19"/>
                <w:szCs w:val="19"/>
              </w:rPr>
              <w:t xml:space="preserve">7</w:t>
            </w:r>
          </w:p>
        </w:tc>
        <w:tc>
          <w:tcPr>
            <w:tcW w:type="dxa" w:w="6100"/>
            <w:tcMar>
              <w:top w:type="dxa" w:w="80"/>
              <w:left w:type="dxa" w:w="110"/>
              <w:bottom w:type="dxa" w:w="80"/>
              <w:right w:type="dxa" w:w="110"/>
            </w:tcMar>
          </w:tcPr>
          <w:p>
            <w:r>
              <w:rPr>
                <w:b/>
                <w:bCs/>
                <w:sz w:val="19"/>
                <w:szCs w:val="19"/>
              </w:rPr>
              <w:t xml:space="preserve">Testing y calidad</w:t>
            </w:r>
          </w:p>
        </w:tc>
        <w:tc>
          <w:tcPr>
            <w:tcW w:type="dxa" w:w="1600"/>
            <w:tcMar>
              <w:top w:type="dxa" w:w="80"/>
              <w:left w:type="dxa" w:w="110"/>
              <w:bottom w:type="dxa" w:w="80"/>
              <w:right w:type="dxa" w:w="110"/>
            </w:tcMar>
          </w:tcPr>
          <w:p>
            <w:pPr>
              <w:jc w:val="center"/>
            </w:pPr>
            <w:r>
              <w:rPr>
                <w:b/>
                <w:bCs/>
                <w:color w:val="8A6D1D"/>
                <w:sz w:val="20"/>
                <w:szCs w:val="20"/>
              </w:rPr>
              <w:t xml:space="preserve">6.3</w:t>
            </w:r>
          </w:p>
        </w:tc>
      </w:tr>
      <w:tr>
        <w:trPr>
          <w:cantSplit/>
        </w:trPr>
        <w:tc>
          <w:tcPr>
            <w:tcW w:type="dxa" w:w="500"/>
            <w:tcMar>
              <w:top w:type="dxa" w:w="80"/>
              <w:left w:type="dxa" w:w="110"/>
              <w:bottom w:type="dxa" w:w="80"/>
              <w:right w:type="dxa" w:w="110"/>
            </w:tcMar>
          </w:tcPr>
          <w:p>
            <w:r>
              <w:rPr>
                <w:color w:val="666666"/>
                <w:sz w:val="19"/>
                <w:szCs w:val="19"/>
              </w:rPr>
              <w:t xml:space="preserve">8</w:t>
            </w:r>
          </w:p>
        </w:tc>
        <w:tc>
          <w:tcPr>
            <w:tcW w:type="dxa" w:w="6100"/>
            <w:tcMar>
              <w:top w:type="dxa" w:w="80"/>
              <w:left w:type="dxa" w:w="110"/>
              <w:bottom w:type="dxa" w:w="80"/>
              <w:right w:type="dxa" w:w="110"/>
            </w:tcMar>
          </w:tcPr>
          <w:p>
            <w:r>
              <w:rPr>
                <w:b/>
                <w:bCs/>
                <w:sz w:val="19"/>
                <w:szCs w:val="19"/>
              </w:rPr>
              <w:t xml:space="preserve">Observabilidad y operación</w:t>
            </w:r>
          </w:p>
        </w:tc>
        <w:tc>
          <w:tcPr>
            <w:tcW w:type="dxa" w:w="1600"/>
            <w:tcMar>
              <w:top w:type="dxa" w:w="80"/>
              <w:left w:type="dxa" w:w="110"/>
              <w:bottom w:type="dxa" w:w="80"/>
              <w:right w:type="dxa" w:w="110"/>
            </w:tcMar>
          </w:tcPr>
          <w:p>
            <w:pPr>
              <w:jc w:val="center"/>
            </w:pPr>
            <w:r>
              <w:rPr>
                <w:b/>
                <w:bCs/>
                <w:color w:val="8A6D1D"/>
                <w:sz w:val="20"/>
                <w:szCs w:val="20"/>
              </w:rPr>
              <w:t xml:space="preserve">6.4</w:t>
            </w:r>
          </w:p>
        </w:tc>
      </w:tr>
      <w:tr>
        <w:trPr>
          <w:cantSplit/>
        </w:trPr>
        <w:tc>
          <w:tcPr>
            <w:tcW w:type="dxa" w:w="500"/>
            <w:tcMar>
              <w:top w:type="dxa" w:w="80"/>
              <w:left w:type="dxa" w:w="110"/>
              <w:bottom w:type="dxa" w:w="80"/>
              <w:right w:type="dxa" w:w="110"/>
            </w:tcMar>
          </w:tcPr>
          <w:p>
            <w:r>
              <w:rPr>
                <w:color w:val="666666"/>
                <w:sz w:val="19"/>
                <w:szCs w:val="19"/>
              </w:rPr>
              <w:t xml:space="preserve">9</w:t>
            </w:r>
          </w:p>
        </w:tc>
        <w:tc>
          <w:tcPr>
            <w:tcW w:type="dxa" w:w="6100"/>
            <w:tcMar>
              <w:top w:type="dxa" w:w="80"/>
              <w:left w:type="dxa" w:w="110"/>
              <w:bottom w:type="dxa" w:w="80"/>
              <w:right w:type="dxa" w:w="110"/>
            </w:tcMar>
          </w:tcPr>
          <w:p>
            <w:r>
              <w:rPr>
                <w:b/>
                <w:bCs/>
                <w:sz w:val="19"/>
                <w:szCs w:val="19"/>
              </w:rPr>
              <w:t xml:space="preserve">UX / diseño</w:t>
            </w:r>
          </w:p>
        </w:tc>
        <w:tc>
          <w:tcPr>
            <w:tcW w:type="dxa" w:w="1600"/>
            <w:tcMar>
              <w:top w:type="dxa" w:w="80"/>
              <w:left w:type="dxa" w:w="110"/>
              <w:bottom w:type="dxa" w:w="80"/>
              <w:right w:type="dxa" w:w="110"/>
            </w:tcMar>
          </w:tcPr>
          <w:p>
            <w:pPr>
              <w:jc w:val="center"/>
            </w:pPr>
            <w:r>
              <w:rPr>
                <w:b/>
                <w:bCs/>
                <w:color w:val="8A6D1D"/>
                <w:sz w:val="20"/>
                <w:szCs w:val="20"/>
              </w:rPr>
              <w:t xml:space="preserve">6.6</w:t>
            </w:r>
          </w:p>
        </w:tc>
      </w:tr>
      <w:tr>
        <w:trPr>
          <w:cantSplit/>
        </w:trPr>
        <w:tc>
          <w:tcPr>
            <w:tcW w:type="dxa" w:w="500"/>
            <w:tcMar>
              <w:top w:type="dxa" w:w="80"/>
              <w:left w:type="dxa" w:w="110"/>
              <w:bottom w:type="dxa" w:w="80"/>
              <w:right w:type="dxa" w:w="110"/>
            </w:tcMar>
          </w:tcPr>
          <w:p>
            <w:r>
              <w:rPr>
                <w:color w:val="666666"/>
                <w:sz w:val="19"/>
                <w:szCs w:val="19"/>
              </w:rPr>
              <w:t xml:space="preserve">10</w:t>
            </w:r>
          </w:p>
        </w:tc>
        <w:tc>
          <w:tcPr>
            <w:tcW w:type="dxa" w:w="6100"/>
            <w:tcMar>
              <w:top w:type="dxa" w:w="80"/>
              <w:left w:type="dxa" w:w="110"/>
              <w:bottom w:type="dxa" w:w="80"/>
              <w:right w:type="dxa" w:w="110"/>
            </w:tcMar>
          </w:tcPr>
          <w:p>
            <w:r>
              <w:rPr>
                <w:b/>
                <w:bCs/>
                <w:sz w:val="19"/>
                <w:szCs w:val="19"/>
              </w:rPr>
              <w:t xml:space="preserve">Documentación</w:t>
            </w:r>
          </w:p>
        </w:tc>
        <w:tc>
          <w:tcPr>
            <w:tcW w:type="dxa" w:w="1600"/>
            <w:tcMar>
              <w:top w:type="dxa" w:w="80"/>
              <w:left w:type="dxa" w:w="110"/>
              <w:bottom w:type="dxa" w:w="80"/>
              <w:right w:type="dxa" w:w="110"/>
            </w:tcMar>
          </w:tcPr>
          <w:p>
            <w:pPr>
              <w:jc w:val="center"/>
            </w:pPr>
            <w:r>
              <w:rPr>
                <w:b/>
                <w:bCs/>
                <w:color w:val="2E6F5E"/>
                <w:sz w:val="20"/>
                <w:szCs w:val="20"/>
              </w:rPr>
              <w:t xml:space="preserve">8.1</w:t>
            </w:r>
          </w:p>
        </w:tc>
      </w:tr>
      <w:tr>
        <w:trPr>
          <w:cantSplit/>
        </w:trPr>
        <w:tc>
          <w:tcPr>
            <w:tcW w:type="dxa" w:w="500"/>
            <w:tcMar>
              <w:top w:type="dxa" w:w="80"/>
              <w:left w:type="dxa" w:w="110"/>
              <w:bottom w:type="dxa" w:w="80"/>
              <w:right w:type="dxa" w:w="110"/>
            </w:tcMar>
          </w:tcPr>
          <w:p>
            <w:r>
              <w:rPr>
                <w:color w:val="666666"/>
                <w:sz w:val="19"/>
                <w:szCs w:val="19"/>
              </w:rPr>
              <w:t xml:space="preserve">11</w:t>
            </w:r>
          </w:p>
        </w:tc>
        <w:tc>
          <w:tcPr>
            <w:tcW w:type="dxa" w:w="6100"/>
            <w:tcMar>
              <w:top w:type="dxa" w:w="80"/>
              <w:left w:type="dxa" w:w="110"/>
              <w:bottom w:type="dxa" w:w="80"/>
              <w:right w:type="dxa" w:w="110"/>
            </w:tcMar>
          </w:tcPr>
          <w:p>
            <w:r>
              <w:rPr>
                <w:b/>
                <w:bCs/>
                <w:sz w:val="19"/>
                <w:szCs w:val="19"/>
              </w:rPr>
              <w:t xml:space="preserve">Producto / completitud funcional</w:t>
            </w:r>
          </w:p>
        </w:tc>
        <w:tc>
          <w:tcPr>
            <w:tcW w:type="dxa" w:w="1600"/>
            <w:tcMar>
              <w:top w:type="dxa" w:w="80"/>
              <w:left w:type="dxa" w:w="110"/>
              <w:bottom w:type="dxa" w:w="80"/>
              <w:right w:type="dxa" w:w="110"/>
            </w:tcMar>
          </w:tcPr>
          <w:p>
            <w:pPr>
              <w:jc w:val="center"/>
            </w:pPr>
            <w:r>
              <w:rPr>
                <w:b/>
                <w:bCs/>
                <w:color w:val="2E6F5E"/>
                <w:sz w:val="20"/>
                <w:szCs w:val="20"/>
              </w:rPr>
              <w:t xml:space="preserve">8.4</w:t>
            </w:r>
          </w:p>
        </w:tc>
      </w:tr>
    </w:tbl>
    <w:p>
      <w:pPr>
        <w:pStyle w:val="Heading1"/>
        <w:spacing w:after="140" w:before="280"/>
      </w:pPr>
      <w:r>
        <w:t xml:space="preserve">Detalle por nivel</w:t>
      </w:r>
    </w:p>
    <w:p>
      <w:pPr>
        <w:spacing w:after="60" w:before="320"/>
      </w:pPr>
      <w:r>
        <w:rPr>
          <w:b/>
          <w:bCs/>
          <w:color w:val="666666"/>
          <w:sz w:val="24"/>
          <w:szCs w:val="24"/>
        </w:rPr>
        <w:t xml:space="preserve">Nivel 1. </w:t>
      </w:r>
      <w:r>
        <w:rPr>
          <w:b/>
          <w:bCs/>
          <w:color w:val="1B3A5C"/>
          <w:sz w:val="26"/>
          <w:szCs w:val="26"/>
        </w:rPr>
        <w:t xml:space="preserve">Infraestructura y despliegue</w:t>
      </w:r>
      <w:r>
        <w:rPr>
          <w:b/>
          <w:bCs/>
          <w:color w:val="8A6D1D"/>
          <w:sz w:val="24"/>
          <w:szCs w:val="24"/>
        </w:rPr>
        <w:t xml:space="preserve">  —  6.4 / 10</w:t>
      </w:r>
    </w:p>
    <w:p>
      <w:pPr>
        <w:spacing w:after="120"/>
      </w:pPr>
      <w:r>
        <w:rPr>
          <w:i/>
          <w:iCs/>
          <w:color w:val="333333"/>
          <w:sz w:val="20"/>
          <w:szCs w:val="20"/>
        </w:rPr>
        <w:t xml:space="preserve">Es la capa donde la sesión de hoy aportó evidencia nueva y directa: dos incidencias reales (no teóricas) al desplegar el código entregado en el entorno del usuario, ambas por falta de un paso de sincronización obligatorio tras actualizar código.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Gestión de variables de entorno</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.env.example completo y comentado; ninguna variable opcional bloquea el arranque si se deja vacía.</w:t>
            </w:r>
          </w:p>
        </w:tc>
      </w:tr>
      <w:tr>
        <w:trPr>
          <w:cantSplit/>
        </w:trPr>
        <w:tc>
          <w:tcPr>
            <w:tcW w:type="dxa" w:w="3200"/>
            <w:tcMar>
              <w:top w:type="dxa" w:w="70"/>
              <w:left w:type="dxa" w:w="110"/>
              <w:bottom w:type="dxa" w:w="70"/>
              <w:right w:type="dxa" w:w="110"/>
            </w:tcMar>
          </w:tcPr>
          <w:p>
            <w:r>
              <w:rPr>
                <w:sz w:val="18"/>
                <w:szCs w:val="18"/>
              </w:rPr>
              <w:t xml:space="preserve">Disciplina de creación de migraciones</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35 migraciones, cada una comprobada por colisión de revisión y verificada con --sql en ambos sentidos antes de aplicarse.</w:t>
            </w:r>
          </w:p>
        </w:tc>
      </w:tr>
      <w:tr>
        <w:trPr>
          <w:cantSplit/>
        </w:trPr>
        <w:tc>
          <w:tcPr>
            <w:tcW w:type="dxa" w:w="3200"/>
            <w:tcMar>
              <w:top w:type="dxa" w:w="70"/>
              <w:left w:type="dxa" w:w="110"/>
              <w:bottom w:type="dxa" w:w="70"/>
              <w:right w:type="dxa" w:w="110"/>
            </w:tcMar>
          </w:tcPr>
          <w:p>
            <w:r>
              <w:rPr>
                <w:sz w:val="18"/>
                <w:szCs w:val="18"/>
              </w:rPr>
              <w:t xml:space="preserve">Aplicación real de migraciones en cada entorno</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Hallazgo en vivo: las dos migraciones nuevas (blog, categorías) quedaron sin aplicar en el entorno local del usuario — la API respondía 500 ("relation blog_posts does not exist") hasta ejecutar alembic upgrade head manualmente. No hay ningún mecanismo que detecte o avise de esto antes del primer request fallido.</w:t>
            </w:r>
          </w:p>
        </w:tc>
      </w:tr>
      <w:tr>
        <w:trPr>
          <w:cantSplit/>
        </w:trPr>
        <w:tc>
          <w:tcPr>
            <w:tcW w:type="dxa" w:w="3200"/>
            <w:tcMar>
              <w:top w:type="dxa" w:w="70"/>
              <w:left w:type="dxa" w:w="110"/>
              <w:bottom w:type="dxa" w:w="70"/>
              <w:right w:type="dxa" w:w="110"/>
            </w:tcMar>
          </w:tcPr>
          <w:p>
            <w:r>
              <w:rPr>
                <w:sz w:val="18"/>
                <w:szCs w:val="18"/>
              </w:rPr>
              <w:t xml:space="preserve">Sincronización de dependencias</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Hallazgo en vivo: bleach se añadió a requirements.txt pero el venv local no se resincronizó, causando un ModuleNotFoundError al arrancar uvicorn. Mismo patrón que las migraciones: el cambio está documentado, pero nada lo aplica ni lo verifica automáticamente.</w:t>
            </w:r>
          </w:p>
        </w:tc>
      </w:tr>
      <w:tr>
        <w:trPr>
          <w:cantSplit/>
        </w:trPr>
        <w:tc>
          <w:tcPr>
            <w:tcW w:type="dxa" w:w="3200"/>
            <w:tcMar>
              <w:top w:type="dxa" w:w="70"/>
              <w:left w:type="dxa" w:w="110"/>
              <w:bottom w:type="dxa" w:w="70"/>
              <w:right w:type="dxa" w:w="110"/>
            </w:tcMar>
          </w:tcPr>
          <w:p>
            <w:r>
              <w:rPr>
                <w:sz w:val="18"/>
                <w:szCs w:val="18"/>
              </w:rPr>
              <w:t xml:space="preserve">CI/CD</w:t>
            </w:r>
          </w:p>
        </w:tc>
        <w:tc>
          <w:tcPr>
            <w:tcW w:type="dxa" w:w="900"/>
            <w:tcMar>
              <w:top w:type="dxa" w:w="70"/>
              <w:left w:type="dxa" w:w="110"/>
              <w:bottom w:type="dxa" w:w="70"/>
              <w:right w:type="dxa" w:w="110"/>
            </w:tcMar>
          </w:tcPr>
          <w:p>
            <w:pPr>
              <w:jc w:val="center"/>
            </w:pPr>
            <w:r>
              <w:rPr>
                <w:b/>
                <w:bCs/>
                <w:color w:val="A03B2E"/>
                <w:sz w:val="18"/>
                <w:szCs w:val="18"/>
              </w:rPr>
              <w:t xml:space="preserve">4.0</w:t>
            </w:r>
          </w:p>
        </w:tc>
        <w:tc>
          <w:tcPr>
            <w:tcW w:type="dxa" w:w="4300"/>
            <w:tcMar>
              <w:top w:type="dxa" w:w="70"/>
              <w:left w:type="dxa" w:w="110"/>
              <w:bottom w:type="dxa" w:w="70"/>
              <w:right w:type="dxa" w:w="110"/>
            </w:tcMar>
          </w:tcPr>
          <w:p>
            <w:r>
              <w:rPr>
                <w:color w:val="333333"/>
                <w:sz w:val="18"/>
                <w:szCs w:val="18"/>
              </w:rPr>
              <w:t xml:space="preserve">No se ha encontrado configuración de CI/CD en esta copia local; no confirmado si existe en el repositorio remoto de GitHub. Un pipeline con `pip install` + `alembic upgrade head --sql` (verificación, no aplicación) + tests habría detectado ambos problemas de hoy antes de que llegaran a un entorno real.</w:t>
            </w:r>
          </w:p>
        </w:tc>
      </w:tr>
      <w:tr>
        <w:trPr>
          <w:cantSplit/>
        </w:trPr>
        <w:tc>
          <w:tcPr>
            <w:tcW w:type="dxa" w:w="3200"/>
            <w:tcMar>
              <w:top w:type="dxa" w:w="70"/>
              <w:left w:type="dxa" w:w="110"/>
              <w:bottom w:type="dxa" w:w="70"/>
              <w:right w:type="dxa" w:w="110"/>
            </w:tcMar>
          </w:tcPr>
          <w:p>
            <w:r>
              <w:rPr>
                <w:sz w:val="18"/>
                <w:szCs w:val="18"/>
              </w:rPr>
              <w:t xml:space="preserve">Supuestos de instancia única (scheduler, rate limiter)</w:t>
            </w:r>
          </w:p>
        </w:tc>
        <w:tc>
          <w:tcPr>
            <w:tcW w:type="dxa" w:w="900"/>
            <w:tcMar>
              <w:top w:type="dxa" w:w="70"/>
              <w:left w:type="dxa" w:w="110"/>
              <w:bottom w:type="dxa" w:w="70"/>
              <w:right w:type="dxa" w:w="110"/>
            </w:tcMar>
          </w:tcPr>
          <w:p>
            <w:pPr>
              <w:jc w:val="center"/>
            </w:pPr>
            <w:r>
              <w:rPr>
                <w:b/>
                <w:bCs/>
                <w:color w:val="8A6D1D"/>
                <w:sz w:val="18"/>
                <w:szCs w:val="18"/>
              </w:rPr>
              <w:t xml:space="preserve">6.5</w:t>
            </w:r>
          </w:p>
        </w:tc>
        <w:tc>
          <w:tcPr>
            <w:tcW w:type="dxa" w:w="4300"/>
            <w:tcMar>
              <w:top w:type="dxa" w:w="70"/>
              <w:left w:type="dxa" w:w="110"/>
              <w:bottom w:type="dxa" w:w="70"/>
              <w:right w:type="dxa" w:w="110"/>
            </w:tcMar>
          </w:tcPr>
          <w:p>
            <w:r>
              <w:rPr>
                <w:color w:val="333333"/>
                <w:sz w:val="18"/>
                <w:szCs w:val="18"/>
              </w:rPr>
              <w:t xml:space="preserve">Documentado explícitamente en ADR 0005 y ADR 0011; sin resolver, aceptable al volumen actual.</w:t>
            </w:r>
          </w:p>
        </w:tc>
      </w:tr>
    </w:tbl>
    <w:p>
      <w:pPr>
        <w:spacing w:after="40" w:before="90"/>
      </w:pPr>
    </w:p>
    <w:p>
      <w:pPr>
        <w:spacing w:after="120"/>
      </w:pPr>
      <w:r>
        <w:rPr>
          <w:color w:val="444444"/>
          <w:sz w:val="19"/>
          <w:szCs w:val="19"/>
        </w:rPr>
        <w:t xml:space="preserve">Recomendación concreta derivada de la evidencia de hoy: un chequeo de arranque en app/main.py que compare la revisión de Alembic aplicada contra la cabeza del repo (`alembic current` vs `alembic heads`) y falle con un mensaje claro ("faltan migraciones por aplicar") en vez de dejar que el primer usuario que visite /blog reciba un traceback de SQLAlchemy de 80 líneas.</w:t>
      </w:r>
    </w:p>
    <w:p>
      <w:pPr>
        <w:spacing w:after="60" w:before="320"/>
      </w:pPr>
      <w:r>
        <w:rPr>
          <w:b/>
          <w:bCs/>
          <w:color w:val="666666"/>
          <w:sz w:val="24"/>
          <w:szCs w:val="24"/>
        </w:rPr>
        <w:t xml:space="preserve">Nivel 2. </w:t>
      </w:r>
      <w:r>
        <w:rPr>
          <w:b/>
          <w:bCs/>
          <w:color w:val="1B3A5C"/>
          <w:sz w:val="26"/>
          <w:szCs w:val="26"/>
        </w:rPr>
        <w:t xml:space="preserve">Base de datos</w:t>
      </w:r>
      <w:r>
        <w:rPr>
          <w:b/>
          <w:bCs/>
          <w:color w:val="2E6F5E"/>
          <w:sz w:val="24"/>
          <w:szCs w:val="24"/>
        </w:rPr>
        <w:t xml:space="preserve">  —  7.7 / 10</w:t>
      </w:r>
    </w:p>
    <w:p>
      <w:pPr>
        <w:spacing w:after="120"/>
      </w:pPr>
      <w:r>
        <w:rPr>
          <w:i/>
          <w:iCs/>
          <w:color w:val="333333"/>
          <w:sz w:val="20"/>
          <w:szCs w:val="20"/>
        </w:rPr>
        <w:t xml:space="preserve">El diseño y la disciplina de migraciones son sólidos; el punto débil no es el diseño sino, otra vez, si el esquema desplegado coincide con el código en cada momento.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Diseño de esquema y modelos</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Mixins reutilizados (IdPkMixin, TimestampMixin, PublicUuidMixin), tipos JSONB usados con criterio para datos semi-estructurados (fields_json, custom_fields_json, tags_json).</w:t>
            </w:r>
          </w:p>
        </w:tc>
      </w:tr>
      <w:tr>
        <w:trPr>
          <w:cantSplit/>
        </w:trPr>
        <w:tc>
          <w:tcPr>
            <w:tcW w:type="dxa" w:w="3200"/>
            <w:tcMar>
              <w:top w:type="dxa" w:w="70"/>
              <w:left w:type="dxa" w:w="110"/>
              <w:bottom w:type="dxa" w:w="70"/>
              <w:right w:type="dxa" w:w="110"/>
            </w:tcMar>
          </w:tcPr>
          <w:p>
            <w:r>
              <w:rPr>
                <w:sz w:val="18"/>
                <w:szCs w:val="18"/>
              </w:rPr>
              <w:t xml:space="preserve">Disciplina de migraciones (Alembic)</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Cada migración nueva verificada en ambos sentidos antes de mergear; sin colisiones de revisión detectadas.</w:t>
            </w:r>
          </w:p>
        </w:tc>
      </w:tr>
      <w:tr>
        <w:trPr>
          <w:cantSplit/>
        </w:trPr>
        <w:tc>
          <w:tcPr>
            <w:tcW w:type="dxa" w:w="3200"/>
            <w:tcMar>
              <w:top w:type="dxa" w:w="70"/>
              <w:left w:type="dxa" w:w="110"/>
              <w:bottom w:type="dxa" w:w="70"/>
              <w:right w:type="dxa" w:w="110"/>
            </w:tcMar>
          </w:tcPr>
          <w:p>
            <w:r>
              <w:rPr>
                <w:sz w:val="18"/>
                <w:szCs w:val="18"/>
              </w:rPr>
              <w:t xml:space="preserve">Integridad referencial</w:t>
            </w:r>
          </w:p>
        </w:tc>
        <w:tc>
          <w:tcPr>
            <w:tcW w:type="dxa" w:w="900"/>
            <w:tcMar>
              <w:top w:type="dxa" w:w="70"/>
              <w:left w:type="dxa" w:w="110"/>
              <w:bottom w:type="dxa" w:w="70"/>
              <w:right w:type="dxa" w:w="110"/>
            </w:tcMar>
          </w:tcPr>
          <w:p>
            <w:pPr>
              <w:jc w:val="center"/>
            </w:pPr>
            <w:r>
              <w:rPr>
                <w:b/>
                <w:bCs/>
                <w:color w:val="2E6F5E"/>
                <w:sz w:val="18"/>
                <w:szCs w:val="18"/>
              </w:rPr>
              <w:t xml:space="preserve">7.5</w:t>
            </w:r>
          </w:p>
        </w:tc>
        <w:tc>
          <w:tcPr>
            <w:tcW w:type="dxa" w:w="4300"/>
            <w:tcMar>
              <w:top w:type="dxa" w:w="70"/>
              <w:left w:type="dxa" w:w="110"/>
              <w:bottom w:type="dxa" w:w="70"/>
              <w:right w:type="dxa" w:w="110"/>
            </w:tcMar>
          </w:tcPr>
          <w:p>
            <w:r>
              <w:rPr>
                <w:color w:val="333333"/>
                <w:sz w:val="18"/>
                <w:szCs w:val="18"/>
              </w:rPr>
              <w:t xml:space="preserve">Mayormente sólida, con una excepción deliberada y documentada: catalog_categories no tiene FK a catalog_items.category, por compatibilidad con datos existentes (ver ADR 0008) — es una decisión consciente, no un descuido, pero es una brecha real de integridad.</w:t>
            </w:r>
          </w:p>
        </w:tc>
      </w:tr>
      <w:tr>
        <w:trPr>
          <w:cantSplit/>
        </w:trPr>
        <w:tc>
          <w:tcPr>
            <w:tcW w:type="dxa" w:w="3200"/>
            <w:tcMar>
              <w:top w:type="dxa" w:w="70"/>
              <w:left w:type="dxa" w:w="110"/>
              <w:bottom w:type="dxa" w:w="70"/>
              <w:right w:type="dxa" w:w="110"/>
            </w:tcMar>
          </w:tcPr>
          <w:p>
            <w:r>
              <w:rPr>
                <w:sz w:val="18"/>
                <w:szCs w:val="18"/>
              </w:rPr>
              <w:t xml:space="preserve">Pooling / conexión</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Conexión a Supabase configurada correctamente para el pooler de transacciones (prepare_threshold desactivado) — detalle fácil de pasar por alto que evita errores intermitentes.</w:t>
            </w:r>
          </w:p>
        </w:tc>
      </w:tr>
      <w:tr>
        <w:trPr>
          <w:cantSplit/>
        </w:trPr>
        <w:tc>
          <w:tcPr>
            <w:tcW w:type="dxa" w:w="3200"/>
            <w:tcMar>
              <w:top w:type="dxa" w:w="70"/>
              <w:left w:type="dxa" w:w="110"/>
              <w:bottom w:type="dxa" w:w="70"/>
              <w:right w:type="dxa" w:w="110"/>
            </w:tcMar>
          </w:tcPr>
          <w:p>
            <w:r>
              <w:rPr>
                <w:sz w:val="18"/>
                <w:szCs w:val="18"/>
              </w:rPr>
              <w:t xml:space="preserve">Verificación de estado del esquema en cada entorno</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Mismo hallazgo que en Infraestructura: nada en el arranque de la app confirma que el esquema real coincide con head.</w:t>
            </w:r>
          </w:p>
        </w:tc>
      </w:tr>
    </w:tbl>
    <w:p>
      <w:pPr>
        <w:spacing w:after="60" w:before="320"/>
      </w:pPr>
      <w:r>
        <w:rPr>
          <w:b/>
          <w:bCs/>
          <w:color w:val="666666"/>
          <w:sz w:val="24"/>
          <w:szCs w:val="24"/>
        </w:rPr>
        <w:t xml:space="preserve">Nivel 3. </w:t>
      </w:r>
      <w:r>
        <w:rPr>
          <w:b/>
          <w:bCs/>
          <w:color w:val="1B3A5C"/>
          <w:sz w:val="26"/>
          <w:szCs w:val="26"/>
        </w:rPr>
        <w:t xml:space="preserve">Backend / API</w:t>
      </w:r>
      <w:r>
        <w:rPr>
          <w:b/>
          <w:bCs/>
          <w:color w:val="2E6F5E"/>
          <w:sz w:val="24"/>
          <w:szCs w:val="24"/>
        </w:rPr>
        <w:t xml:space="preserve">  —  8.0 / 10</w:t>
      </w:r>
    </w:p>
    <w:p>
      <w:pPr>
        <w:spacing w:after="120"/>
      </w:pPr>
      <w:r>
        <w:rPr>
          <w:i/>
          <w:iCs/>
          <w:color w:val="333333"/>
          <w:sz w:val="20"/>
          <w:szCs w:val="20"/>
        </w:rPr>
        <w:t xml:space="preserve">Arquitectura consistente y bien documentada ahora con los ADRs; el mayor lastre es que la cobertura de tests, aunque real, no se ha podido ejecutar de verdad contra una base de datos en ningún entorno disponible.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Arquitectura modular (router → service → repository → schema)</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39 módulos siguiendo el mismo patrón; los 3 módulos nuevos (blog_admin, public_blog, catalog_categories) no rompen la convención.</w:t>
            </w:r>
          </w:p>
        </w:tc>
      </w:tr>
      <w:tr>
        <w:trPr>
          <w:cantSplit/>
        </w:trPr>
        <w:tc>
          <w:tcPr>
            <w:tcW w:type="dxa" w:w="3200"/>
            <w:tcMar>
              <w:top w:type="dxa" w:w="70"/>
              <w:left w:type="dxa" w:w="110"/>
              <w:bottom w:type="dxa" w:w="70"/>
              <w:right w:type="dxa" w:w="110"/>
            </w:tcMar>
          </w:tcPr>
          <w:p>
            <w:r>
              <w:rPr>
                <w:sz w:val="18"/>
                <w:szCs w:val="18"/>
              </w:rPr>
              <w:t xml:space="preserve">RBAC y permisos</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Modo MVP (2 roles activos) sobre un esquema multi-tenant completo; la coexistencia de rbac.py y rbac_mvp.py ahora está documentada explícitamente (ADR 0001).</w:t>
            </w:r>
          </w:p>
        </w:tc>
      </w:tr>
      <w:tr>
        <w:trPr>
          <w:cantSplit/>
        </w:trPr>
        <w:tc>
          <w:tcPr>
            <w:tcW w:type="dxa" w:w="3200"/>
            <w:tcMar>
              <w:top w:type="dxa" w:w="70"/>
              <w:left w:type="dxa" w:w="110"/>
              <w:bottom w:type="dxa" w:w="70"/>
              <w:right w:type="dxa" w:w="110"/>
            </w:tcMar>
          </w:tcPr>
          <w:p>
            <w:r>
              <w:rPr>
                <w:sz w:val="18"/>
                <w:szCs w:val="18"/>
              </w:rPr>
              <w:t xml:space="preserve">Manejo de errores</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Patrón "best-effort" aplicado con criterio (auditoría, notificaciones y logging nunca bloquean la operación principal); error_logs propio con traza completa.</w:t>
            </w:r>
          </w:p>
        </w:tc>
      </w:tr>
      <w:tr>
        <w:trPr>
          <w:cantSplit/>
        </w:trPr>
        <w:tc>
          <w:tcPr>
            <w:tcW w:type="dxa" w:w="3200"/>
            <w:tcMar>
              <w:top w:type="dxa" w:w="70"/>
              <w:left w:type="dxa" w:w="110"/>
              <w:bottom w:type="dxa" w:w="70"/>
              <w:right w:type="dxa" w:w="110"/>
            </w:tcMar>
          </w:tcPr>
          <w:p>
            <w:r>
              <w:rPr>
                <w:sz w:val="18"/>
                <w:szCs w:val="18"/>
              </w:rPr>
              <w:t xml:space="preserve">Rate limiting y bloqueo de cuentas</w:t>
            </w:r>
          </w:p>
        </w:tc>
        <w:tc>
          <w:tcPr>
            <w:tcW w:type="dxa" w:w="900"/>
            <w:tcMar>
              <w:top w:type="dxa" w:w="70"/>
              <w:left w:type="dxa" w:w="110"/>
              <w:bottom w:type="dxa" w:w="70"/>
              <w:right w:type="dxa" w:w="110"/>
            </w:tcMar>
          </w:tcPr>
          <w:p>
            <w:pPr>
              <w:jc w:val="center"/>
            </w:pPr>
            <w:r>
              <w:rPr>
                <w:b/>
                <w:bCs/>
                <w:color w:val="2E6F5E"/>
                <w:sz w:val="18"/>
                <w:szCs w:val="18"/>
              </w:rPr>
              <w:t xml:space="preserve">7.5</w:t>
            </w:r>
          </w:p>
        </w:tc>
        <w:tc>
          <w:tcPr>
            <w:tcW w:type="dxa" w:w="4300"/>
            <w:tcMar>
              <w:top w:type="dxa" w:w="70"/>
              <w:left w:type="dxa" w:w="110"/>
              <w:bottom w:type="dxa" w:w="70"/>
              <w:right w:type="dxa" w:w="110"/>
            </w:tcMar>
          </w:tcPr>
          <w:p>
            <w:r>
              <w:rPr>
                <w:color w:val="333333"/>
                <w:sz w:val="18"/>
                <w:szCs w:val="18"/>
              </w:rPr>
              <w:t xml:space="preserve">Dos capas independientes (IP + cuenta), pero solo cubre las rutas de auth — catálogo público, blog público y compra siguen sin límite propio.</w:t>
            </w:r>
          </w:p>
        </w:tc>
      </w:tr>
      <w:tr>
        <w:trPr>
          <w:cantSplit/>
        </w:trPr>
        <w:tc>
          <w:tcPr>
            <w:tcW w:type="dxa" w:w="3200"/>
            <w:tcMar>
              <w:top w:type="dxa" w:w="70"/>
              <w:left w:type="dxa" w:w="110"/>
              <w:bottom w:type="dxa" w:w="70"/>
              <w:right w:type="dxa" w:w="110"/>
            </w:tcMar>
          </w:tcPr>
          <w:p>
            <w:r>
              <w:rPr>
                <w:sz w:val="18"/>
                <w:szCs w:val="18"/>
              </w:rPr>
              <w:t xml:space="preserve">Cobertura y fiabilidad de tests de backend</w:t>
            </w:r>
          </w:p>
        </w:tc>
        <w:tc>
          <w:tcPr>
            <w:tcW w:type="dxa" w:w="900"/>
            <w:tcMar>
              <w:top w:type="dxa" w:w="70"/>
              <w:left w:type="dxa" w:w="110"/>
              <w:bottom w:type="dxa" w:w="70"/>
              <w:right w:type="dxa" w:w="110"/>
            </w:tcMar>
          </w:tcPr>
          <w:p>
            <w:pPr>
              <w:jc w:val="center"/>
            </w:pPr>
            <w:r>
              <w:rPr>
                <w:b/>
                <w:bCs/>
                <w:color w:val="8A6D1D"/>
                <w:sz w:val="18"/>
                <w:szCs w:val="18"/>
              </w:rPr>
              <w:t xml:space="preserve">6.5</w:t>
            </w:r>
          </w:p>
        </w:tc>
        <w:tc>
          <w:tcPr>
            <w:tcW w:type="dxa" w:w="4300"/>
            <w:tcMar>
              <w:top w:type="dxa" w:w="70"/>
              <w:left w:type="dxa" w:w="110"/>
              <w:bottom w:type="dxa" w:w="70"/>
              <w:right w:type="dxa" w:w="110"/>
            </w:tcMar>
          </w:tcPr>
          <w:p>
            <w:r>
              <w:rPr>
                <w:color w:val="333333"/>
                <w:sz w:val="18"/>
                <w:szCs w:val="18"/>
              </w:rPr>
              <w:t xml:space="preserve">47 tests detectables por pytest entre dos suites con estrategias de aislamiento distintas; ninguna se ha podido ejecutar de extremo a extremo contra una base de datos real en ningún entorno disponible hasta ahora.</w:t>
            </w:r>
          </w:p>
        </w:tc>
      </w:tr>
    </w:tbl>
    <w:p>
      <w:pPr>
        <w:spacing w:after="60" w:before="320"/>
      </w:pPr>
      <w:r>
        <w:rPr>
          <w:b/>
          <w:bCs/>
          <w:color w:val="666666"/>
          <w:sz w:val="24"/>
          <w:szCs w:val="24"/>
        </w:rPr>
        <w:t xml:space="preserve">Nivel 4. </w:t>
      </w:r>
      <w:r>
        <w:rPr>
          <w:b/>
          <w:bCs/>
          <w:color w:val="1B3A5C"/>
          <w:sz w:val="26"/>
          <w:szCs w:val="26"/>
        </w:rPr>
        <w:t xml:space="preserve">Seguridad</w:t>
      </w:r>
      <w:r>
        <w:rPr>
          <w:b/>
          <w:bCs/>
          <w:color w:val="2E6F5E"/>
          <w:sz w:val="24"/>
          <w:szCs w:val="24"/>
        </w:rPr>
        <w:t xml:space="preserve">  —  7.6 / 10</w:t>
      </w:r>
    </w:p>
    <w:p>
      <w:pPr>
        <w:spacing w:after="120"/>
      </w:pPr>
      <w:r>
        <w:rPr>
          <w:i/>
          <w:iCs/>
          <w:color w:val="333333"/>
          <w:sz w:val="20"/>
          <w:szCs w:val="20"/>
        </w:rPr>
        <w:t xml:space="preserve">El perímetro de autenticación es notablemente maduro para esta etapa; lo que más pesa hacia abajo es que dos piezas de defensa en profundidad (monitorización activa, rate limiting universal) siguen sin activarse o sin cubrir toda la superficie.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Autenticación (JWT + 2FA)</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Access token de vida corta (15 min) + refresh de 30 días; 2FA por TOTP con secreto no activado hasta confirmar un código válido.</w:t>
            </w:r>
          </w:p>
        </w:tc>
      </w:tr>
      <w:tr>
        <w:trPr>
          <w:cantSplit/>
        </w:trPr>
        <w:tc>
          <w:tcPr>
            <w:tcW w:type="dxa" w:w="3200"/>
            <w:tcMar>
              <w:top w:type="dxa" w:w="70"/>
              <w:left w:type="dxa" w:w="110"/>
              <w:bottom w:type="dxa" w:w="70"/>
              <w:right w:type="dxa" w:w="110"/>
            </w:tcMar>
          </w:tcPr>
          <w:p>
            <w:r>
              <w:rPr>
                <w:sz w:val="18"/>
                <w:szCs w:val="18"/>
              </w:rPr>
              <w:t xml:space="preserve">Cabeceras HTTP de seguridad</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HSTS, X-Frame-Options, X-Content-Type-Options, Referrer-Policy, Permissions-Policy y CSP, verificadas con TestClient contra respuestas normales, /docs (exento) y detrás de proxy.</w:t>
            </w:r>
          </w:p>
        </w:tc>
      </w:tr>
      <w:tr>
        <w:trPr>
          <w:cantSplit/>
        </w:trPr>
        <w:tc>
          <w:tcPr>
            <w:tcW w:type="dxa" w:w="3200"/>
            <w:tcMar>
              <w:top w:type="dxa" w:w="70"/>
              <w:left w:type="dxa" w:w="110"/>
              <w:bottom w:type="dxa" w:w="70"/>
              <w:right w:type="dxa" w:w="110"/>
            </w:tcMar>
          </w:tcPr>
          <w:p>
            <w:r>
              <w:rPr>
                <w:sz w:val="18"/>
                <w:szCs w:val="18"/>
              </w:rPr>
              <w:t xml:space="preserve">Sanitización de contenido generado por admin (blog)</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bleach con allowlist explícita de etiquetas/atributos, aplicado en el punto de escritura, no en el de lectura (ver ADR 0007).</w:t>
            </w:r>
          </w:p>
        </w:tc>
      </w:tr>
      <w:tr>
        <w:trPr>
          <w:cantSplit/>
        </w:trPr>
        <w:tc>
          <w:tcPr>
            <w:tcW w:type="dxa" w:w="3200"/>
            <w:tcMar>
              <w:top w:type="dxa" w:w="70"/>
              <w:left w:type="dxa" w:w="110"/>
              <w:bottom w:type="dxa" w:w="70"/>
              <w:right w:type="dxa" w:w="110"/>
            </w:tcMar>
          </w:tcPr>
          <w:p>
            <w:r>
              <w:rPr>
                <w:sz w:val="18"/>
                <w:szCs w:val="18"/>
              </w:rPr>
              <w:t xml:space="preserve">Gestión de secretos</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.env.example limpio, sin valores reales; JWT_SECRET_KEY y contraseñas nunca comprometidos en el repo.</w:t>
            </w:r>
          </w:p>
        </w:tc>
      </w:tr>
      <w:tr>
        <w:trPr>
          <w:cantSplit/>
        </w:trPr>
        <w:tc>
          <w:tcPr>
            <w:tcW w:type="dxa" w:w="3200"/>
            <w:tcMar>
              <w:top w:type="dxa" w:w="70"/>
              <w:left w:type="dxa" w:w="110"/>
              <w:bottom w:type="dxa" w:w="70"/>
              <w:right w:type="dxa" w:w="110"/>
            </w:tcMar>
          </w:tcPr>
          <w:p>
            <w:r>
              <w:rPr>
                <w:sz w:val="18"/>
                <w:szCs w:val="18"/>
              </w:rPr>
              <w:t xml:space="preserve">Protección contra fuerza bruta</w:t>
            </w:r>
          </w:p>
        </w:tc>
        <w:tc>
          <w:tcPr>
            <w:tcW w:type="dxa" w:w="900"/>
            <w:tcMar>
              <w:top w:type="dxa" w:w="70"/>
              <w:left w:type="dxa" w:w="110"/>
              <w:bottom w:type="dxa" w:w="70"/>
              <w:right w:type="dxa" w:w="110"/>
            </w:tcMar>
          </w:tcPr>
          <w:p>
            <w:pPr>
              <w:jc w:val="center"/>
            </w:pPr>
            <w:r>
              <w:rPr>
                <w:b/>
                <w:bCs/>
                <w:color w:val="2E6F5E"/>
                <w:sz w:val="18"/>
                <w:szCs w:val="18"/>
              </w:rPr>
              <w:t xml:space="preserve">8.0</w:t>
            </w:r>
          </w:p>
        </w:tc>
        <w:tc>
          <w:tcPr>
            <w:tcW w:type="dxa" w:w="4300"/>
            <w:tcMar>
              <w:top w:type="dxa" w:w="70"/>
              <w:left w:type="dxa" w:w="110"/>
              <w:bottom w:type="dxa" w:w="70"/>
              <w:right w:type="dxa" w:w="110"/>
            </w:tcMar>
          </w:tcPr>
          <w:p>
            <w:r>
              <w:rPr>
                <w:color w:val="333333"/>
                <w:sz w:val="18"/>
                <w:szCs w:val="18"/>
              </w:rPr>
              <w:t xml:space="preserve">Bloqueo de cuenta por intentos fallidos, independiente del rate limiting por IP — defensa en profundidad real, no solo nominal.</w:t>
            </w:r>
          </w:p>
        </w:tc>
      </w:tr>
      <w:tr>
        <w:trPr>
          <w:cantSplit/>
        </w:trPr>
        <w:tc>
          <w:tcPr>
            <w:tcW w:type="dxa" w:w="3200"/>
            <w:tcMar>
              <w:top w:type="dxa" w:w="70"/>
              <w:left w:type="dxa" w:w="110"/>
              <w:bottom w:type="dxa" w:w="70"/>
              <w:right w:type="dxa" w:w="110"/>
            </w:tcMar>
          </w:tcPr>
          <w:p>
            <w:r>
              <w:rPr>
                <w:sz w:val="18"/>
                <w:szCs w:val="18"/>
              </w:rPr>
              <w:t xml:space="preserve">Cobertura de rate limiting</w:t>
            </w:r>
          </w:p>
        </w:tc>
        <w:tc>
          <w:tcPr>
            <w:tcW w:type="dxa" w:w="900"/>
            <w:tcMar>
              <w:top w:type="dxa" w:w="70"/>
              <w:left w:type="dxa" w:w="110"/>
              <w:bottom w:type="dxa" w:w="70"/>
              <w:right w:type="dxa" w:w="110"/>
            </w:tcMar>
          </w:tcPr>
          <w:p>
            <w:pPr>
              <w:jc w:val="center"/>
            </w:pPr>
            <w:r>
              <w:rPr>
                <w:b/>
                <w:bCs/>
                <w:color w:val="8A6D1D"/>
                <w:sz w:val="18"/>
                <w:szCs w:val="18"/>
              </w:rPr>
              <w:t xml:space="preserve">6.0</w:t>
            </w:r>
          </w:p>
        </w:tc>
        <w:tc>
          <w:tcPr>
            <w:tcW w:type="dxa" w:w="4300"/>
            <w:tcMar>
              <w:top w:type="dxa" w:w="70"/>
              <w:left w:type="dxa" w:w="110"/>
              <w:bottom w:type="dxa" w:w="70"/>
              <w:right w:type="dxa" w:w="110"/>
            </w:tcMar>
          </w:tcPr>
          <w:p>
            <w:r>
              <w:rPr>
                <w:color w:val="333333"/>
                <w:sz w:val="18"/>
                <w:szCs w:val="18"/>
              </w:rPr>
              <w:t xml:space="preserve">Limitado a 2 rutas de auth; el resto de la superficie pública no tiene límite propio.</w:t>
            </w:r>
          </w:p>
        </w:tc>
      </w:tr>
      <w:tr>
        <w:trPr>
          <w:cantSplit/>
        </w:trPr>
        <w:tc>
          <w:tcPr>
            <w:tcW w:type="dxa" w:w="3200"/>
            <w:tcMar>
              <w:top w:type="dxa" w:w="70"/>
              <w:left w:type="dxa" w:w="110"/>
              <w:bottom w:type="dxa" w:w="70"/>
              <w:right w:type="dxa" w:w="110"/>
            </w:tcMar>
          </w:tcPr>
          <w:p>
            <w:r>
              <w:rPr>
                <w:sz w:val="18"/>
                <w:szCs w:val="18"/>
              </w:rPr>
              <w:t xml:space="preserve">Monitorización de seguridad activa (Sentry)</w:t>
            </w:r>
          </w:p>
        </w:tc>
        <w:tc>
          <w:tcPr>
            <w:tcW w:type="dxa" w:w="900"/>
            <w:tcMar>
              <w:top w:type="dxa" w:w="70"/>
              <w:left w:type="dxa" w:w="110"/>
              <w:bottom w:type="dxa" w:w="70"/>
              <w:right w:type="dxa" w:w="110"/>
            </w:tcMar>
          </w:tcPr>
          <w:p>
            <w:pPr>
              <w:jc w:val="center"/>
            </w:pPr>
            <w:r>
              <w:rPr>
                <w:b/>
                <w:bCs/>
                <w:color w:val="A03B2E"/>
                <w:sz w:val="18"/>
                <w:szCs w:val="18"/>
              </w:rPr>
              <w:t xml:space="preserve">4.0</w:t>
            </w:r>
          </w:p>
        </w:tc>
        <w:tc>
          <w:tcPr>
            <w:tcW w:type="dxa" w:w="4300"/>
            <w:tcMar>
              <w:top w:type="dxa" w:w="70"/>
              <w:left w:type="dxa" w:w="110"/>
              <w:bottom w:type="dxa" w:w="70"/>
              <w:right w:type="dxa" w:w="110"/>
            </w:tcMar>
          </w:tcPr>
          <w:p>
            <w:r>
              <w:rPr>
                <w:color w:val="333333"/>
                <w:sz w:val="18"/>
                <w:szCs w:val="18"/>
              </w:rPr>
              <w:t xml:space="preserve">Integrado en código (backend y frontend) pero SENTRY_DSN sigue vacío en el .env real — apagado por decisión operativa pendiente.</w:t>
            </w:r>
          </w:p>
        </w:tc>
      </w:tr>
    </w:tbl>
    <w:p>
      <w:pPr>
        <w:spacing w:after="60" w:before="320"/>
      </w:pPr>
      <w:r>
        <w:rPr>
          <w:b/>
          <w:bCs/>
          <w:color w:val="666666"/>
          <w:sz w:val="24"/>
          <w:szCs w:val="24"/>
        </w:rPr>
        <w:t xml:space="preserve">Nivel 5. </w:t>
      </w:r>
      <w:r>
        <w:rPr>
          <w:b/>
          <w:bCs/>
          <w:color w:val="1B3A5C"/>
          <w:sz w:val="26"/>
          <w:szCs w:val="26"/>
        </w:rPr>
        <w:t xml:space="preserve">Frontend / cliente</w:t>
      </w:r>
      <w:r>
        <w:rPr>
          <w:b/>
          <w:bCs/>
          <w:color w:val="2E6F5E"/>
          <w:sz w:val="24"/>
          <w:szCs w:val="24"/>
        </w:rPr>
        <w:t xml:space="preserve">  —  7.0 / 10</w:t>
      </w:r>
    </w:p>
    <w:p>
      <w:pPr>
        <w:spacing w:after="120"/>
      </w:pPr>
      <w:r>
        <w:rPr>
          <w:i/>
          <w:iCs/>
          <w:color w:val="333333"/>
          <w:sz w:val="20"/>
          <w:szCs w:val="20"/>
        </w:rPr>
        <w:t xml:space="preserve">Los dos huecos más citados en evaluaciones anteriores (bundle sin dividir, cero tests) están cerrados; a cambio, una pasada de lint sobre todo el proyecto —no solo los archivos nuevos— cuantificó por primera vez una deuda técnica que antes no estaba medida.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TypeScript estricto</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`npm run build` (tsc -b + vite build) limpio en todo el proyecto.</w:t>
            </w:r>
          </w:p>
        </w:tc>
      </w:tr>
      <w:tr>
        <w:trPr>
          <w:cantSplit/>
        </w:trPr>
        <w:tc>
          <w:tcPr>
            <w:tcW w:type="dxa" w:w="3200"/>
            <w:tcMar>
              <w:top w:type="dxa" w:w="70"/>
              <w:left w:type="dxa" w:w="110"/>
              <w:bottom w:type="dxa" w:w="70"/>
              <w:right w:type="dxa" w:w="110"/>
            </w:tcMar>
          </w:tcPr>
          <w:p>
            <w:r>
              <w:rPr>
                <w:sz w:val="18"/>
                <w:szCs w:val="18"/>
              </w:rPr>
              <w:t xml:space="preserve">Code splitting / rendimiento de carga</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Bundle principal 613 KB / 192 KB comprimido (antes 1.5 MB / 400 KB); páginas pesadas aisladas en chunks bajo demanda.</w:t>
            </w:r>
          </w:p>
        </w:tc>
      </w:tr>
      <w:tr>
        <w:trPr>
          <w:cantSplit/>
        </w:trPr>
        <w:tc>
          <w:tcPr>
            <w:tcW w:type="dxa" w:w="3200"/>
            <w:tcMar>
              <w:top w:type="dxa" w:w="70"/>
              <w:left w:type="dxa" w:w="110"/>
              <w:bottom w:type="dxa" w:w="70"/>
              <w:right w:type="dxa" w:w="110"/>
            </w:tcMar>
          </w:tcPr>
          <w:p>
            <w:r>
              <w:rPr>
                <w:sz w:val="18"/>
                <w:szCs w:val="18"/>
              </w:rPr>
              <w:t xml:space="preserve">Calidad de lint (proyecto completo)</w:t>
            </w:r>
          </w:p>
        </w:tc>
        <w:tc>
          <w:tcPr>
            <w:tcW w:type="dxa" w:w="900"/>
            <w:tcMar>
              <w:top w:type="dxa" w:w="70"/>
              <w:left w:type="dxa" w:w="110"/>
              <w:bottom w:type="dxa" w:w="70"/>
              <w:right w:type="dxa" w:w="110"/>
            </w:tcMar>
          </w:tcPr>
          <w:p>
            <w:pPr>
              <w:jc w:val="center"/>
            </w:pPr>
            <w:r>
              <w:rPr>
                <w:b/>
                <w:bCs/>
                <w:color w:val="8A6D1D"/>
                <w:sz w:val="18"/>
                <w:szCs w:val="18"/>
              </w:rPr>
              <w:t xml:space="preserve">5.5</w:t>
            </w:r>
          </w:p>
        </w:tc>
        <w:tc>
          <w:tcPr>
            <w:tcW w:type="dxa" w:w="4300"/>
            <w:tcMar>
              <w:top w:type="dxa" w:w="70"/>
              <w:left w:type="dxa" w:w="110"/>
              <w:bottom w:type="dxa" w:w="70"/>
              <w:right w:type="dxa" w:w="110"/>
            </w:tcMar>
          </w:tcPr>
          <w:p>
            <w:r>
              <w:rPr>
                <w:color w:val="333333"/>
                <w:sz w:val="18"/>
                <w:szCs w:val="18"/>
              </w:rPr>
              <w:t xml:space="preserve">`npm run lint` sobre todo el proyecto reporta 22 errores y 24 avisos en 14 archivos preexistentes — ninguno de los archivos nuevos de esta ronda, pero tampoco corregidos. No estaba cuantificado en evaluaciones previas.</w:t>
            </w:r>
          </w:p>
        </w:tc>
      </w:tr>
      <w:tr>
        <w:trPr>
          <w:cantSplit/>
        </w:trPr>
        <w:tc>
          <w:tcPr>
            <w:tcW w:type="dxa" w:w="3200"/>
            <w:tcMar>
              <w:top w:type="dxa" w:w="70"/>
              <w:left w:type="dxa" w:w="110"/>
              <w:bottom w:type="dxa" w:w="70"/>
              <w:right w:type="dxa" w:w="110"/>
            </w:tcMar>
          </w:tcPr>
          <w:p>
            <w:r>
              <w:rPr>
                <w:sz w:val="18"/>
                <w:szCs w:val="18"/>
              </w:rPr>
              <w:t xml:space="preserve">Arquitectura de componentes</w:t>
            </w:r>
          </w:p>
        </w:tc>
        <w:tc>
          <w:tcPr>
            <w:tcW w:type="dxa" w:w="900"/>
            <w:tcMar>
              <w:top w:type="dxa" w:w="70"/>
              <w:left w:type="dxa" w:w="110"/>
              <w:bottom w:type="dxa" w:w="70"/>
              <w:right w:type="dxa" w:w="110"/>
            </w:tcMar>
          </w:tcPr>
          <w:p>
            <w:pPr>
              <w:jc w:val="center"/>
            </w:pPr>
            <w:r>
              <w:rPr>
                <w:b/>
                <w:bCs/>
                <w:color w:val="2E6F5E"/>
                <w:sz w:val="18"/>
                <w:szCs w:val="18"/>
              </w:rPr>
              <w:t xml:space="preserve">8.0</w:t>
            </w:r>
          </w:p>
        </w:tc>
        <w:tc>
          <w:tcPr>
            <w:tcW w:type="dxa" w:w="4300"/>
            <w:tcMar>
              <w:top w:type="dxa" w:w="70"/>
              <w:left w:type="dxa" w:w="110"/>
              <w:bottom w:type="dxa" w:w="70"/>
              <w:right w:type="dxa" w:w="110"/>
            </w:tcMar>
          </w:tcPr>
          <w:p>
            <w:r>
              <w:rPr>
                <w:color w:val="333333"/>
                <w:sz w:val="18"/>
                <w:szCs w:val="18"/>
              </w:rPr>
              <w:t xml:space="preserve">React Query para estado de servidor, componentes de UI reutilizados con criterio (Button, Card, Modal, Badge, selector de catálogo compartido).</w:t>
            </w:r>
          </w:p>
        </w:tc>
      </w:tr>
      <w:tr>
        <w:trPr>
          <w:cantSplit/>
        </w:trPr>
        <w:tc>
          <w:tcPr>
            <w:tcW w:type="dxa" w:w="3200"/>
            <w:tcMar>
              <w:top w:type="dxa" w:w="70"/>
              <w:left w:type="dxa" w:w="110"/>
              <w:bottom w:type="dxa" w:w="70"/>
              <w:right w:type="dxa" w:w="110"/>
            </w:tcMar>
          </w:tcPr>
          <w:p>
            <w:r>
              <w:rPr>
                <w:sz w:val="18"/>
                <w:szCs w:val="18"/>
              </w:rPr>
              <w:t xml:space="preserve">Cobertura de tests de frontend</w:t>
            </w:r>
          </w:p>
        </w:tc>
        <w:tc>
          <w:tcPr>
            <w:tcW w:type="dxa" w:w="900"/>
            <w:tcMar>
              <w:top w:type="dxa" w:w="70"/>
              <w:left w:type="dxa" w:w="110"/>
              <w:bottom w:type="dxa" w:w="70"/>
              <w:right w:type="dxa" w:w="110"/>
            </w:tcMar>
          </w:tcPr>
          <w:p>
            <w:pPr>
              <w:jc w:val="center"/>
            </w:pPr>
            <w:r>
              <w:rPr>
                <w:b/>
                <w:bCs/>
                <w:color w:val="8A6D1D"/>
                <w:sz w:val="18"/>
                <w:szCs w:val="18"/>
              </w:rPr>
              <w:t xml:space="preserve">6.0</w:t>
            </w:r>
          </w:p>
        </w:tc>
        <w:tc>
          <w:tcPr>
            <w:tcW w:type="dxa" w:w="4300"/>
            <w:tcMar>
              <w:top w:type="dxa" w:w="70"/>
              <w:left w:type="dxa" w:w="110"/>
              <w:bottom w:type="dxa" w:w="70"/>
              <w:right w:type="dxa" w:w="110"/>
            </w:tcMar>
          </w:tcPr>
          <w:p>
            <w:r>
              <w:rPr>
                <w:color w:val="333333"/>
                <w:sz w:val="18"/>
                <w:szCs w:val="18"/>
              </w:rPr>
              <w:t xml:space="preserve">3 archivos / 10 tests (Vitest + React Testing Library), ejecutados y en verde — base real, lejos de exhaustiva.</w:t>
            </w:r>
          </w:p>
        </w:tc>
      </w:tr>
      <w:tr>
        <w:trPr>
          <w:cantSplit/>
        </w:trPr>
        <w:tc>
          <w:tcPr>
            <w:tcW w:type="dxa" w:w="3200"/>
            <w:tcMar>
              <w:top w:type="dxa" w:w="70"/>
              <w:left w:type="dxa" w:w="110"/>
              <w:bottom w:type="dxa" w:w="70"/>
              <w:right w:type="dxa" w:w="110"/>
            </w:tcMar>
          </w:tcPr>
          <w:p>
            <w:r>
              <w:rPr>
                <w:sz w:val="18"/>
                <w:szCs w:val="18"/>
              </w:rPr>
              <w:t xml:space="preserve">Accesibilidad</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24 usos de aria-label/role en 145 componentes .tsx; sin auditoría manual (lector de pantalla, navegación por teclado) en ninguna evaluación hasta ahora.</w:t>
            </w:r>
          </w:p>
        </w:tc>
      </w:tr>
    </w:tbl>
    <w:p>
      <w:pPr>
        <w:spacing w:after="60" w:before="320"/>
      </w:pPr>
      <w:r>
        <w:rPr>
          <w:b/>
          <w:bCs/>
          <w:color w:val="666666"/>
          <w:sz w:val="24"/>
          <w:szCs w:val="24"/>
        </w:rPr>
        <w:t xml:space="preserve">Nivel 6. </w:t>
      </w:r>
      <w:r>
        <w:rPr>
          <w:b/>
          <w:bCs/>
          <w:color w:val="1B3A5C"/>
          <w:sz w:val="26"/>
          <w:szCs w:val="26"/>
        </w:rPr>
        <w:t xml:space="preserve">Internacionalización (i18n)</w:t>
      </w:r>
      <w:r>
        <w:rPr>
          <w:b/>
          <w:bCs/>
          <w:color w:val="1B6B3C"/>
          <w:sz w:val="24"/>
          <w:szCs w:val="24"/>
        </w:rPr>
        <w:t xml:space="preserve">  —  8.7 / 10</w:t>
      </w:r>
    </w:p>
    <w:p>
      <w:pPr>
        <w:spacing w:after="120"/>
      </w:pPr>
      <w:r>
        <w:rPr>
          <w:i/>
          <w:iCs/>
          <w:color w:val="333333"/>
          <w:sz w:val="20"/>
          <w:szCs w:val="20"/>
        </w:rPr>
        <w:t xml:space="preserve">Sigue siendo, con claridad, la capa mejor ejecutada de toda la plataforma.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Paridad EN/ES</w:t>
            </w:r>
          </w:p>
        </w:tc>
        <w:tc>
          <w:tcPr>
            <w:tcW w:type="dxa" w:w="900"/>
            <w:tcMar>
              <w:top w:type="dxa" w:w="70"/>
              <w:left w:type="dxa" w:w="110"/>
              <w:bottom w:type="dxa" w:w="70"/>
              <w:right w:type="dxa" w:w="110"/>
            </w:tcMar>
          </w:tcPr>
          <w:p>
            <w:pPr>
              <w:jc w:val="center"/>
            </w:pPr>
            <w:r>
              <w:rPr>
                <w:b/>
                <w:bCs/>
                <w:color w:val="1B6B3C"/>
                <w:sz w:val="18"/>
                <w:szCs w:val="18"/>
              </w:rPr>
              <w:t xml:space="preserve">10.0</w:t>
            </w:r>
          </w:p>
        </w:tc>
        <w:tc>
          <w:tcPr>
            <w:tcW w:type="dxa" w:w="4300"/>
            <w:tcMar>
              <w:top w:type="dxa" w:w="70"/>
              <w:left w:type="dxa" w:w="110"/>
              <w:bottom w:type="dxa" w:w="70"/>
              <w:right w:type="dxa" w:w="110"/>
            </w:tcMar>
          </w:tcPr>
          <w:p>
            <w:r>
              <w:rPr>
                <w:color w:val="333333"/>
                <w:sz w:val="18"/>
                <w:szCs w:val="18"/>
              </w:rPr>
              <w:t xml:space="preserve">Verificada con script automatizado en cada tanda de cambios, incluidas las funciones nuevas de esta ronda (blog, categorías), sin una sola desviación.</w:t>
            </w:r>
          </w:p>
        </w:tc>
      </w:tr>
      <w:tr>
        <w:trPr>
          <w:cantSplit/>
        </w:trPr>
        <w:tc>
          <w:tcPr>
            <w:tcW w:type="dxa" w:w="3200"/>
            <w:tcMar>
              <w:top w:type="dxa" w:w="70"/>
              <w:left w:type="dxa" w:w="110"/>
              <w:bottom w:type="dxa" w:w="70"/>
              <w:right w:type="dxa" w:w="110"/>
            </w:tcMar>
          </w:tcPr>
          <w:p>
            <w:r>
              <w:rPr>
                <w:sz w:val="18"/>
                <w:szCs w:val="18"/>
              </w:rPr>
              <w:t xml:space="preserve">Consistencia de interpolación</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Patrón {{variable}} aplicado incluso en los mensajes de error y namespaces más nuevos.</w:t>
            </w:r>
          </w:p>
        </w:tc>
      </w:tr>
      <w:tr>
        <w:trPr>
          <w:cantSplit/>
        </w:trPr>
        <w:tc>
          <w:tcPr>
            <w:tcW w:type="dxa" w:w="3200"/>
            <w:tcMar>
              <w:top w:type="dxa" w:w="70"/>
              <w:left w:type="dxa" w:w="110"/>
              <w:bottom w:type="dxa" w:w="70"/>
              <w:right w:type="dxa" w:w="110"/>
            </w:tcMar>
          </w:tcPr>
          <w:p>
            <w:r>
              <w:rPr>
                <w:sz w:val="18"/>
                <w:szCs w:val="18"/>
              </w:rPr>
              <w:t xml:space="preserve">Cobertura en comunicaciones transaccionales</w:t>
            </w:r>
          </w:p>
        </w:tc>
        <w:tc>
          <w:tcPr>
            <w:tcW w:type="dxa" w:w="900"/>
            <w:tcMar>
              <w:top w:type="dxa" w:w="70"/>
              <w:left w:type="dxa" w:w="110"/>
              <w:bottom w:type="dxa" w:w="70"/>
              <w:right w:type="dxa" w:w="110"/>
            </w:tcMar>
          </w:tcPr>
          <w:p>
            <w:pPr>
              <w:jc w:val="center"/>
            </w:pPr>
            <w:r>
              <w:rPr>
                <w:b/>
                <w:bCs/>
                <w:color w:val="2E6F5E"/>
                <w:sz w:val="18"/>
                <w:szCs w:val="18"/>
              </w:rPr>
              <w:t xml:space="preserve">7.0</w:t>
            </w:r>
          </w:p>
        </w:tc>
        <w:tc>
          <w:tcPr>
            <w:tcW w:type="dxa" w:w="4300"/>
            <w:tcMar>
              <w:top w:type="dxa" w:w="70"/>
              <w:left w:type="dxa" w:w="110"/>
              <w:bottom w:type="dxa" w:w="70"/>
              <w:right w:type="dxa" w:w="110"/>
            </w:tcMar>
          </w:tcPr>
          <w:p>
            <w:r>
              <w:rPr>
                <w:color w:val="333333"/>
                <w:sz w:val="18"/>
                <w:szCs w:val="18"/>
              </w:rPr>
              <w:t xml:space="preserve">Los correos más antiguos (restablecer contraseña, verificar email) siguen siendo solo en español; los del ciclo de vida de cuentas ya son bilingües.</w:t>
            </w:r>
          </w:p>
        </w:tc>
      </w:tr>
    </w:tbl>
    <w:p>
      <w:pPr>
        <w:spacing w:after="60" w:before="320"/>
      </w:pPr>
      <w:r>
        <w:rPr>
          <w:b/>
          <w:bCs/>
          <w:color w:val="666666"/>
          <w:sz w:val="24"/>
          <w:szCs w:val="24"/>
        </w:rPr>
        <w:t xml:space="preserve">Nivel 7. </w:t>
      </w:r>
      <w:r>
        <w:rPr>
          <w:b/>
          <w:bCs/>
          <w:color w:val="1B3A5C"/>
          <w:sz w:val="26"/>
          <w:szCs w:val="26"/>
        </w:rPr>
        <w:t xml:space="preserve">Testing y calidad</w:t>
      </w:r>
      <w:r>
        <w:rPr>
          <w:b/>
          <w:bCs/>
          <w:color w:val="8A6D1D"/>
          <w:sz w:val="24"/>
          <w:szCs w:val="24"/>
        </w:rPr>
        <w:t xml:space="preserve">  —  6.3 / 10</w:t>
      </w:r>
    </w:p>
    <w:p>
      <w:pPr>
        <w:spacing w:after="120"/>
      </w:pPr>
      <w:r>
        <w:rPr>
          <w:i/>
          <w:iCs/>
          <w:color w:val="333333"/>
          <w:sz w:val="20"/>
          <w:szCs w:val="20"/>
        </w:rPr>
        <w:t xml:space="preserve">El área con el diagnóstico más matizado: hay una base real donde antes no existía casi nada, pero la pregunta "¿esto realmente pasa contra una base de datos de verdad?" sigue sin poder responderse con un sí verificado en ningún entorno disponible.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Diseño de la suite nueva (fixtures, aislamiento)</w:t>
            </w:r>
          </w:p>
        </w:tc>
        <w:tc>
          <w:tcPr>
            <w:tcW w:type="dxa" w:w="900"/>
            <w:tcMar>
              <w:top w:type="dxa" w:w="70"/>
              <w:left w:type="dxa" w:w="110"/>
              <w:bottom w:type="dxa" w:w="70"/>
              <w:right w:type="dxa" w:w="110"/>
            </w:tcMar>
          </w:tcPr>
          <w:p>
            <w:pPr>
              <w:jc w:val="center"/>
            </w:pPr>
            <w:r>
              <w:rPr>
                <w:b/>
                <w:bCs/>
                <w:color w:val="2E6F5E"/>
                <w:sz w:val="18"/>
                <w:szCs w:val="18"/>
              </w:rPr>
              <w:t xml:space="preserve">8.0</w:t>
            </w:r>
          </w:p>
        </w:tc>
        <w:tc>
          <w:tcPr>
            <w:tcW w:type="dxa" w:w="4300"/>
            <w:tcMar>
              <w:top w:type="dxa" w:w="70"/>
              <w:left w:type="dxa" w:w="110"/>
              <w:bottom w:type="dxa" w:w="70"/>
              <w:right w:type="dxa" w:w="110"/>
            </w:tcMar>
          </w:tcPr>
          <w:p>
            <w:r>
              <w:rPr>
                <w:color w:val="333333"/>
                <w:sz w:val="18"/>
                <w:szCs w:val="18"/>
              </w:rPr>
              <w:t xml:space="preserve">TEST_DATABASE_URL obligatoria y gated con skip explícito; trunca en vez de hacer rollback por savepoint, por una razón concreta documentada (el código de servicio hace commit internamente).</w:t>
            </w:r>
          </w:p>
        </w:tc>
      </w:tr>
      <w:tr>
        <w:trPr>
          <w:cantSplit/>
        </w:trPr>
        <w:tc>
          <w:tcPr>
            <w:tcW w:type="dxa" w:w="3200"/>
            <w:tcMar>
              <w:top w:type="dxa" w:w="70"/>
              <w:left w:type="dxa" w:w="110"/>
              <w:bottom w:type="dxa" w:w="70"/>
              <w:right w:type="dxa" w:w="110"/>
            </w:tcMar>
          </w:tcPr>
          <w:p>
            <w:r>
              <w:rPr>
                <w:sz w:val="18"/>
                <w:szCs w:val="18"/>
              </w:rPr>
              <w:t xml:space="preserve">Ejecución real verificada contra base de datos</w:t>
            </w:r>
          </w:p>
        </w:tc>
        <w:tc>
          <w:tcPr>
            <w:tcW w:type="dxa" w:w="900"/>
            <w:tcMar>
              <w:top w:type="dxa" w:w="70"/>
              <w:left w:type="dxa" w:w="110"/>
              <w:bottom w:type="dxa" w:w="70"/>
              <w:right w:type="dxa" w:w="110"/>
            </w:tcMar>
          </w:tcPr>
          <w:p>
            <w:pPr>
              <w:jc w:val="center"/>
            </w:pPr>
            <w:r>
              <w:rPr>
                <w:b/>
                <w:bCs/>
                <w:color w:val="A03B2E"/>
                <w:sz w:val="18"/>
                <w:szCs w:val="18"/>
              </w:rPr>
              <w:t xml:space="preserve">3.0</w:t>
            </w:r>
          </w:p>
        </w:tc>
        <w:tc>
          <w:tcPr>
            <w:tcW w:type="dxa" w:w="4300"/>
            <w:tcMar>
              <w:top w:type="dxa" w:w="70"/>
              <w:left w:type="dxa" w:w="110"/>
              <w:bottom w:type="dxa" w:w="70"/>
              <w:right w:type="dxa" w:w="110"/>
            </w:tcMar>
          </w:tcPr>
          <w:p>
            <w:r>
              <w:rPr>
                <w:color w:val="333333"/>
                <w:sz w:val="18"/>
                <w:szCs w:val="18"/>
              </w:rPr>
              <w:t xml:space="preserve">Ni la suite nueva ni la preexistente se han podido ejecutar de extremo a extremo en ningún entorno disponible — solo compilación y recolección (pytest --collect-only), nunca una corrida real.</w:t>
            </w:r>
          </w:p>
        </w:tc>
      </w:tr>
      <w:tr>
        <w:trPr>
          <w:cantSplit/>
        </w:trPr>
        <w:tc>
          <w:tcPr>
            <w:tcW w:type="dxa" w:w="3200"/>
            <w:tcMar>
              <w:top w:type="dxa" w:w="70"/>
              <w:left w:type="dxa" w:w="110"/>
              <w:bottom w:type="dxa" w:w="70"/>
              <w:right w:type="dxa" w:w="110"/>
            </w:tcMar>
          </w:tcPr>
          <w:p>
            <w:r>
              <w:rPr>
                <w:sz w:val="18"/>
                <w:szCs w:val="18"/>
              </w:rPr>
              <w:t xml:space="preserve">Consistencia entre las dos suites de backend</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Coexisten dos estrategias de aislamiento distintas (una segura por diseño, otra que corre contra la DATABASE_URL activa) — confirmado que no se rompen entre sí, pero sin consolidar en una sola.</w:t>
            </w:r>
          </w:p>
        </w:tc>
      </w:tr>
      <w:tr>
        <w:trPr>
          <w:cantSplit/>
        </w:trPr>
        <w:tc>
          <w:tcPr>
            <w:tcW w:type="dxa" w:w="3200"/>
            <w:tcMar>
              <w:top w:type="dxa" w:w="70"/>
              <w:left w:type="dxa" w:w="110"/>
              <w:bottom w:type="dxa" w:w="70"/>
              <w:right w:type="dxa" w:w="110"/>
            </w:tcMar>
          </w:tcPr>
          <w:p>
            <w:r>
              <w:rPr>
                <w:sz w:val="18"/>
                <w:szCs w:val="18"/>
              </w:rPr>
              <w:t xml:space="preserve">Tests de frontend</w:t>
            </w:r>
          </w:p>
        </w:tc>
        <w:tc>
          <w:tcPr>
            <w:tcW w:type="dxa" w:w="900"/>
            <w:tcMar>
              <w:top w:type="dxa" w:w="70"/>
              <w:left w:type="dxa" w:w="110"/>
              <w:bottom w:type="dxa" w:w="70"/>
              <w:right w:type="dxa" w:w="110"/>
            </w:tcMar>
          </w:tcPr>
          <w:p>
            <w:pPr>
              <w:jc w:val="center"/>
            </w:pPr>
            <w:r>
              <w:rPr>
                <w:b/>
                <w:bCs/>
                <w:color w:val="2E6F5E"/>
                <w:sz w:val="18"/>
                <w:szCs w:val="18"/>
              </w:rPr>
              <w:t xml:space="preserve">7.0</w:t>
            </w:r>
          </w:p>
        </w:tc>
        <w:tc>
          <w:tcPr>
            <w:tcW w:type="dxa" w:w="4300"/>
            <w:tcMar>
              <w:top w:type="dxa" w:w="70"/>
              <w:left w:type="dxa" w:w="110"/>
              <w:bottom w:type="dxa" w:w="70"/>
              <w:right w:type="dxa" w:w="110"/>
            </w:tcMar>
          </w:tcPr>
          <w:p>
            <w:r>
              <w:rPr>
                <w:color w:val="333333"/>
                <w:sz w:val="18"/>
                <w:szCs w:val="18"/>
              </w:rPr>
              <w:t xml:space="preserve">Ejecutados de verdad y en verde en este entorno (10/10) — la única parte de todo el testing que se pudo confirmar al 100% funcionando.</w:t>
            </w:r>
          </w:p>
        </w:tc>
      </w:tr>
      <w:tr>
        <w:trPr>
          <w:cantSplit/>
        </w:trPr>
        <w:tc>
          <w:tcPr>
            <w:tcW w:type="dxa" w:w="3200"/>
            <w:tcMar>
              <w:top w:type="dxa" w:w="70"/>
              <w:left w:type="dxa" w:w="110"/>
              <w:bottom w:type="dxa" w:w="70"/>
              <w:right w:type="dxa" w:w="110"/>
            </w:tcMar>
          </w:tcPr>
          <w:p>
            <w:r>
              <w:rPr>
                <w:sz w:val="18"/>
                <w:szCs w:val="18"/>
              </w:rPr>
              <w:t xml:space="preserve">Verificación manual complementaria</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Build, lint, migraciones en ambos sentidos y revisión de diffs en cada cambio de esta ronda — ha evitado regresiones, pero es un proceso manual, no una red de seguridad automática.</w:t>
            </w:r>
          </w:p>
        </w:tc>
      </w:tr>
    </w:tbl>
    <w:p>
      <w:pPr>
        <w:spacing w:after="60" w:before="320"/>
      </w:pPr>
      <w:r>
        <w:rPr>
          <w:b/>
          <w:bCs/>
          <w:color w:val="666666"/>
          <w:sz w:val="24"/>
          <w:szCs w:val="24"/>
        </w:rPr>
        <w:t xml:space="preserve">Nivel 8. </w:t>
      </w:r>
      <w:r>
        <w:rPr>
          <w:b/>
          <w:bCs/>
          <w:color w:val="1B3A5C"/>
          <w:sz w:val="26"/>
          <w:szCs w:val="26"/>
        </w:rPr>
        <w:t xml:space="preserve">Observabilidad y operación</w:t>
      </w:r>
      <w:r>
        <w:rPr>
          <w:b/>
          <w:bCs/>
          <w:color w:val="8A6D1D"/>
          <w:sz w:val="24"/>
          <w:szCs w:val="24"/>
        </w:rPr>
        <w:t xml:space="preserve">  —  6.4 / 10</w:t>
      </w:r>
    </w:p>
    <w:p>
      <w:pPr>
        <w:spacing w:after="120"/>
      </w:pPr>
      <w:r>
        <w:rPr>
          <w:i/>
          <w:iCs/>
          <w:color w:val="333333"/>
          <w:sz w:val="20"/>
          <w:szCs w:val="20"/>
        </w:rPr>
        <w:t xml:space="preserve">Buena visibilidad pasiva (hay que ir a mirar); ninguna alerta viene a buscar a nadie.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Registro de errores propio (error_logs)</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Traza completa, atribución best-effort a usuario, visible desde el panel de admin sin depender de Sentry.</w:t>
            </w:r>
          </w:p>
        </w:tc>
      </w:tr>
      <w:tr>
        <w:trPr>
          <w:cantSplit/>
        </w:trPr>
        <w:tc>
          <w:tcPr>
            <w:tcW w:type="dxa" w:w="3200"/>
            <w:tcMar>
              <w:top w:type="dxa" w:w="70"/>
              <w:left w:type="dxa" w:w="110"/>
              <w:bottom w:type="dxa" w:w="70"/>
              <w:right w:type="dxa" w:w="110"/>
            </w:tcMar>
          </w:tcPr>
          <w:p>
            <w:r>
              <w:rPr>
                <w:sz w:val="18"/>
                <w:szCs w:val="18"/>
              </w:rPr>
              <w:t xml:space="preserve">Registro de auditoría</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Acciones administrativas quedan registradas de forma consistente.</w:t>
            </w:r>
          </w:p>
        </w:tc>
      </w:tr>
      <w:tr>
        <w:trPr>
          <w:cantSplit/>
        </w:trPr>
        <w:tc>
          <w:tcPr>
            <w:tcW w:type="dxa" w:w="3200"/>
            <w:tcMar>
              <w:top w:type="dxa" w:w="70"/>
              <w:left w:type="dxa" w:w="110"/>
              <w:bottom w:type="dxa" w:w="70"/>
              <w:right w:type="dxa" w:w="110"/>
            </w:tcMar>
          </w:tcPr>
          <w:p>
            <w:r>
              <w:rPr>
                <w:sz w:val="18"/>
                <w:szCs w:val="18"/>
              </w:rPr>
              <w:t xml:space="preserve">Panel de estado del sistema</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Comprobaciones en vivo de BD, SMTP, Sentry, Redis, rate limiting, adopción de 2FA/email verificado.</w:t>
            </w:r>
          </w:p>
        </w:tc>
      </w:tr>
      <w:tr>
        <w:trPr>
          <w:cantSplit/>
        </w:trPr>
        <w:tc>
          <w:tcPr>
            <w:tcW w:type="dxa" w:w="3200"/>
            <w:tcMar>
              <w:top w:type="dxa" w:w="70"/>
              <w:left w:type="dxa" w:w="110"/>
              <w:bottom w:type="dxa" w:w="70"/>
              <w:right w:type="dxa" w:w="110"/>
            </w:tcMar>
          </w:tcPr>
          <w:p>
            <w:r>
              <w:rPr>
                <w:sz w:val="18"/>
                <w:szCs w:val="18"/>
              </w:rPr>
              <w:t xml:space="preserve">Alertado activo ante fallos</w:t>
            </w:r>
          </w:p>
        </w:tc>
        <w:tc>
          <w:tcPr>
            <w:tcW w:type="dxa" w:w="900"/>
            <w:tcMar>
              <w:top w:type="dxa" w:w="70"/>
              <w:left w:type="dxa" w:w="110"/>
              <w:bottom w:type="dxa" w:w="70"/>
              <w:right w:type="dxa" w:w="110"/>
            </w:tcMar>
          </w:tcPr>
          <w:p>
            <w:pPr>
              <w:jc w:val="center"/>
            </w:pPr>
            <w:r>
              <w:rPr>
                <w:b/>
                <w:bCs/>
                <w:color w:val="A03B2E"/>
                <w:sz w:val="18"/>
                <w:szCs w:val="18"/>
              </w:rPr>
              <w:t xml:space="preserve">3.0</w:t>
            </w:r>
          </w:p>
        </w:tc>
        <w:tc>
          <w:tcPr>
            <w:tcW w:type="dxa" w:w="4300"/>
            <w:tcMar>
              <w:top w:type="dxa" w:w="70"/>
              <w:left w:type="dxa" w:w="110"/>
              <w:bottom w:type="dxa" w:w="70"/>
              <w:right w:type="dxa" w:w="110"/>
            </w:tcMar>
          </w:tcPr>
          <w:p>
            <w:r>
              <w:rPr>
                <w:color w:val="333333"/>
                <w:sz w:val="18"/>
                <w:szCs w:val="18"/>
              </w:rPr>
              <w:t xml:space="preserve">No existe ningún mecanismo de aviso (email/Slack); un fallo en producción solo se descubre si alguien entra al panel a mirar.</w:t>
            </w:r>
          </w:p>
        </w:tc>
      </w:tr>
      <w:tr>
        <w:trPr>
          <w:cantSplit/>
        </w:trPr>
        <w:tc>
          <w:tcPr>
            <w:tcW w:type="dxa" w:w="3200"/>
            <w:tcMar>
              <w:top w:type="dxa" w:w="70"/>
              <w:left w:type="dxa" w:w="110"/>
              <w:bottom w:type="dxa" w:w="70"/>
              <w:right w:type="dxa" w:w="110"/>
            </w:tcMar>
          </w:tcPr>
          <w:p>
            <w:r>
              <w:rPr>
                <w:sz w:val="18"/>
                <w:szCs w:val="18"/>
              </w:rPr>
              <w:t xml:space="preserve">Monitorización externa activada (Sentry)</w:t>
            </w:r>
          </w:p>
        </w:tc>
        <w:tc>
          <w:tcPr>
            <w:tcW w:type="dxa" w:w="900"/>
            <w:tcMar>
              <w:top w:type="dxa" w:w="70"/>
              <w:left w:type="dxa" w:w="110"/>
              <w:bottom w:type="dxa" w:w="70"/>
              <w:right w:type="dxa" w:w="110"/>
            </w:tcMar>
          </w:tcPr>
          <w:p>
            <w:pPr>
              <w:jc w:val="center"/>
            </w:pPr>
            <w:r>
              <w:rPr>
                <w:b/>
                <w:bCs/>
                <w:color w:val="A03B2E"/>
                <w:sz w:val="18"/>
                <w:szCs w:val="18"/>
              </w:rPr>
              <w:t xml:space="preserve">3.0</w:t>
            </w:r>
          </w:p>
        </w:tc>
        <w:tc>
          <w:tcPr>
            <w:tcW w:type="dxa" w:w="4300"/>
            <w:tcMar>
              <w:top w:type="dxa" w:w="70"/>
              <w:left w:type="dxa" w:w="110"/>
              <w:bottom w:type="dxa" w:w="70"/>
              <w:right w:type="dxa" w:w="110"/>
            </w:tcMar>
          </w:tcPr>
          <w:p>
            <w:r>
              <w:rPr>
                <w:color w:val="333333"/>
                <w:sz w:val="18"/>
                <w:szCs w:val="18"/>
              </w:rPr>
              <w:t xml:space="preserve">Integrado en código, pero SENTRY_DSN vacío en el .env real — sigue apagado.</w:t>
            </w:r>
          </w:p>
        </w:tc>
      </w:tr>
    </w:tbl>
    <w:p>
      <w:pPr>
        <w:spacing w:after="60" w:before="320"/>
      </w:pPr>
      <w:r>
        <w:rPr>
          <w:b/>
          <w:bCs/>
          <w:color w:val="666666"/>
          <w:sz w:val="24"/>
          <w:szCs w:val="24"/>
        </w:rPr>
        <w:t xml:space="preserve">Nivel 9. </w:t>
      </w:r>
      <w:r>
        <w:rPr>
          <w:b/>
          <w:bCs/>
          <w:color w:val="1B3A5C"/>
          <w:sz w:val="26"/>
          <w:szCs w:val="26"/>
        </w:rPr>
        <w:t xml:space="preserve">UX / diseño</w:t>
      </w:r>
      <w:r>
        <w:rPr>
          <w:b/>
          <w:bCs/>
          <w:color w:val="8A6D1D"/>
          <w:sz w:val="24"/>
          <w:szCs w:val="24"/>
        </w:rPr>
        <w:t xml:space="preserve">  —  6.6 / 10</w:t>
      </w:r>
    </w:p>
    <w:p>
      <w:pPr>
        <w:spacing w:after="120"/>
      </w:pPr>
      <w:r>
        <w:rPr>
          <w:i/>
          <w:iCs/>
          <w:color w:val="333333"/>
          <w:sz w:val="20"/>
          <w:szCs w:val="20"/>
        </w:rPr>
        <w:t xml:space="preserve">La revisión granular separa lo que sí se ha verificado (consistencia visual en el código) de lo que nunca se ha verificado de verdad (accesibilidad, revisión visual real) — por eso la nota es más cauta que en evaluaciones anteriores, no porque el diseño haya empeorado.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Consistencia visual entre módulos</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Sistema de diseño "premium" (glassmorphism, degradados, chips) aplicado por igual en las funciones nuevas (blog, categorías) y en el resto del panel.</w:t>
            </w:r>
          </w:p>
        </w:tc>
      </w:tr>
      <w:tr>
        <w:trPr>
          <w:cantSplit/>
        </w:trPr>
        <w:tc>
          <w:tcPr>
            <w:tcW w:type="dxa" w:w="3200"/>
            <w:tcMar>
              <w:top w:type="dxa" w:w="70"/>
              <w:left w:type="dxa" w:w="110"/>
              <w:bottom w:type="dxa" w:w="70"/>
              <w:right w:type="dxa" w:w="110"/>
            </w:tcMar>
          </w:tcPr>
          <w:p>
            <w:r>
              <w:rPr>
                <w:sz w:val="18"/>
                <w:szCs w:val="18"/>
              </w:rPr>
              <w:t xml:space="preserve">Estados de interacción (carga / vacío / error)</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Contadores de selección, estados vacíos e indicadores de carga consistentes en todo el panel de admin.</w:t>
            </w:r>
          </w:p>
        </w:tc>
      </w:tr>
      <w:tr>
        <w:trPr>
          <w:cantSplit/>
        </w:trPr>
        <w:tc>
          <w:tcPr>
            <w:tcW w:type="dxa" w:w="3200"/>
            <w:tcMar>
              <w:top w:type="dxa" w:w="70"/>
              <w:left w:type="dxa" w:w="110"/>
              <w:bottom w:type="dxa" w:w="70"/>
              <w:right w:type="dxa" w:w="110"/>
            </w:tcMar>
          </w:tcPr>
          <w:p>
            <w:r>
              <w:rPr>
                <w:sz w:val="18"/>
                <w:szCs w:val="18"/>
              </w:rPr>
              <w:t xml:space="preserve">Accesibilidad</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Mismo dato que en Frontend: 24 usos de aria-label/role en 145 componentes, sin auditoría manual.</w:t>
            </w:r>
          </w:p>
        </w:tc>
      </w:tr>
      <w:tr>
        <w:trPr>
          <w:cantSplit/>
        </w:trPr>
        <w:tc>
          <w:tcPr>
            <w:tcW w:type="dxa" w:w="3200"/>
            <w:tcMar>
              <w:top w:type="dxa" w:w="70"/>
              <w:left w:type="dxa" w:w="110"/>
              <w:bottom w:type="dxa" w:w="70"/>
              <w:right w:type="dxa" w:w="110"/>
            </w:tcMar>
          </w:tcPr>
          <w:p>
            <w:r>
              <w:rPr>
                <w:sz w:val="18"/>
                <w:szCs w:val="18"/>
              </w:rPr>
              <w:t xml:space="preserve">Verificación visual real (no solo código)</w:t>
            </w:r>
          </w:p>
        </w:tc>
        <w:tc>
          <w:tcPr>
            <w:tcW w:type="dxa" w:w="900"/>
            <w:tcMar>
              <w:top w:type="dxa" w:w="70"/>
              <w:left w:type="dxa" w:w="110"/>
              <w:bottom w:type="dxa" w:w="70"/>
              <w:right w:type="dxa" w:w="110"/>
            </w:tcMar>
          </w:tcPr>
          <w:p>
            <w:pPr>
              <w:jc w:val="center"/>
            </w:pPr>
            <w:r>
              <w:rPr>
                <w:b/>
                <w:bCs/>
                <w:color w:val="A03B2E"/>
                <w:sz w:val="18"/>
                <w:szCs w:val="18"/>
              </w:rPr>
              <w:t xml:space="preserve">4.0</w:t>
            </w:r>
          </w:p>
        </w:tc>
        <w:tc>
          <w:tcPr>
            <w:tcW w:type="dxa" w:w="4300"/>
            <w:tcMar>
              <w:top w:type="dxa" w:w="70"/>
              <w:left w:type="dxa" w:w="110"/>
              <w:bottom w:type="dxa" w:w="70"/>
              <w:right w:type="dxa" w:w="110"/>
            </w:tcMar>
          </w:tcPr>
          <w:p>
            <w:r>
              <w:rPr>
                <w:color w:val="333333"/>
                <w:sz w:val="18"/>
                <w:szCs w:val="18"/>
              </w:rPr>
              <w:t xml:space="preserve">Ninguna de las evaluaciones realizadas hasta ahora ha incluido una captura de pantalla real ni una revisión con un usuario — toda la valoración de UX se basa en revisión de código.</w:t>
            </w:r>
          </w:p>
        </w:tc>
      </w:tr>
    </w:tbl>
    <w:p>
      <w:pPr>
        <w:spacing w:after="60" w:before="320"/>
      </w:pPr>
      <w:r>
        <w:rPr>
          <w:b/>
          <w:bCs/>
          <w:color w:val="666666"/>
          <w:sz w:val="24"/>
          <w:szCs w:val="24"/>
        </w:rPr>
        <w:t xml:space="preserve">Nivel 10. </w:t>
      </w:r>
      <w:r>
        <w:rPr>
          <w:b/>
          <w:bCs/>
          <w:color w:val="1B3A5C"/>
          <w:sz w:val="26"/>
          <w:szCs w:val="26"/>
        </w:rPr>
        <w:t xml:space="preserve">Documentación</w:t>
      </w:r>
      <w:r>
        <w:rPr>
          <w:b/>
          <w:bCs/>
          <w:color w:val="2E6F5E"/>
          <w:sz w:val="24"/>
          <w:szCs w:val="24"/>
        </w:rPr>
        <w:t xml:space="preserve">  —  8.1 / 10</w:t>
      </w:r>
    </w:p>
    <w:p>
      <w:pPr>
        <w:spacing w:after="120"/>
      </w:pPr>
      <w:r>
        <w:rPr>
          <w:i/>
          <w:iCs/>
          <w:color w:val="333333"/>
          <w:sz w:val="20"/>
          <w:szCs w:val="20"/>
        </w:rPr>
        <w:t xml:space="preserve">La capa con la corrección más grande de toda esta ronda de trabajo — con un matiz importante revelado hoy mismo: documentar un paso no es lo mismo que garantizar que se siga.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Guía de despliegue (DEPLOYMENT.md)</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Reescrita de 27 líneas a una guía completa: variables de entorno, qué ocurre si se dejan vacías, checklist de pre-producción de 10 puntos.</w:t>
            </w:r>
          </w:p>
        </w:tc>
      </w:tr>
      <w:tr>
        <w:trPr>
          <w:cantSplit/>
        </w:trPr>
        <w:tc>
          <w:tcPr>
            <w:tcW w:type="dxa" w:w="3200"/>
            <w:tcMar>
              <w:top w:type="dxa" w:w="70"/>
              <w:left w:type="dxa" w:w="110"/>
              <w:bottom w:type="dxa" w:w="70"/>
              <w:right w:type="dxa" w:w="110"/>
            </w:tcMar>
          </w:tcPr>
          <w:p>
            <w:r>
              <w:rPr>
                <w:sz w:val="18"/>
                <w:szCs w:val="18"/>
              </w:rPr>
              <w:t xml:space="preserve">Documentación de arquitectura (RBAC, base de datos)</w:t>
            </w:r>
          </w:p>
        </w:tc>
        <w:tc>
          <w:tcPr>
            <w:tcW w:type="dxa" w:w="900"/>
            <w:tcMar>
              <w:top w:type="dxa" w:w="70"/>
              <w:left w:type="dxa" w:w="110"/>
              <w:bottom w:type="dxa" w:w="70"/>
              <w:right w:type="dxa" w:w="110"/>
            </w:tcMar>
          </w:tcPr>
          <w:p>
            <w:pPr>
              <w:jc w:val="center"/>
            </w:pPr>
            <w:r>
              <w:rPr>
                <w:b/>
                <w:bCs/>
                <w:color w:val="1B6B3C"/>
                <w:sz w:val="18"/>
                <w:szCs w:val="18"/>
              </w:rPr>
              <w:t xml:space="preserve">8.5</w:t>
            </w:r>
          </w:p>
        </w:tc>
        <w:tc>
          <w:tcPr>
            <w:tcW w:type="dxa" w:w="4300"/>
            <w:tcMar>
              <w:top w:type="dxa" w:w="70"/>
              <w:left w:type="dxa" w:w="110"/>
              <w:bottom w:type="dxa" w:w="70"/>
              <w:right w:type="dxa" w:w="110"/>
            </w:tcMar>
          </w:tcPr>
          <w:p>
            <w:r>
              <w:rPr>
                <w:color w:val="333333"/>
                <w:sz w:val="18"/>
                <w:szCs w:val="18"/>
              </w:rPr>
              <w:t xml:space="preserve">Actualizada, rutas obsoletas corregidas, referencias cruzadas entre documentos.</w:t>
            </w:r>
          </w:p>
        </w:tc>
      </w:tr>
      <w:tr>
        <w:trPr>
          <w:cantSplit/>
        </w:trPr>
        <w:tc>
          <w:tcPr>
            <w:tcW w:type="dxa" w:w="3200"/>
            <w:tcMar>
              <w:top w:type="dxa" w:w="70"/>
              <w:left w:type="dxa" w:w="110"/>
              <w:bottom w:type="dxa" w:w="70"/>
              <w:right w:type="dxa" w:w="110"/>
            </w:tcMar>
          </w:tcPr>
          <w:p>
            <w:r>
              <w:rPr>
                <w:sz w:val="18"/>
                <w:szCs w:val="18"/>
              </w:rPr>
              <w:t xml:space="preserve">Registro de decisiones de arquitectura (ADR)</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11 ADRs nuevos capturando los porqués de decisiones ya tomadas, antes de que se perdieran fuera de la conversación.</w:t>
            </w:r>
          </w:p>
        </w:tc>
      </w:tr>
      <w:tr>
        <w:trPr>
          <w:cantSplit/>
        </w:trPr>
        <w:tc>
          <w:tcPr>
            <w:tcW w:type="dxa" w:w="3200"/>
            <w:tcMar>
              <w:top w:type="dxa" w:w="70"/>
              <w:left w:type="dxa" w:w="110"/>
              <w:bottom w:type="dxa" w:w="70"/>
              <w:right w:type="dxa" w:w="110"/>
            </w:tcMar>
          </w:tcPr>
          <w:p>
            <w:r>
              <w:rPr>
                <w:sz w:val="18"/>
                <w:szCs w:val="18"/>
              </w:rPr>
              <w:t xml:space="preserve">Vigencia / actualización</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Todos los documentos existentes revisados y puestos al día en esta ronda.</w:t>
            </w:r>
          </w:p>
        </w:tc>
      </w:tr>
      <w:tr>
        <w:trPr>
          <w:cantSplit/>
        </w:trPr>
        <w:tc>
          <w:tcPr>
            <w:tcW w:type="dxa" w:w="3200"/>
            <w:tcMar>
              <w:top w:type="dxa" w:w="70"/>
              <w:left w:type="dxa" w:w="110"/>
              <w:bottom w:type="dxa" w:w="70"/>
              <w:right w:type="dxa" w:w="110"/>
            </w:tcMar>
          </w:tcPr>
          <w:p>
            <w:r>
              <w:rPr>
                <w:sz w:val="18"/>
                <w:szCs w:val="18"/>
              </w:rPr>
              <w:t xml:space="preserve">Eficacia práctica (¿el checklist evita errores reales?)</w:t>
            </w:r>
          </w:p>
        </w:tc>
        <w:tc>
          <w:tcPr>
            <w:tcW w:type="dxa" w:w="900"/>
            <w:tcMar>
              <w:top w:type="dxa" w:w="70"/>
              <w:left w:type="dxa" w:w="110"/>
              <w:bottom w:type="dxa" w:w="70"/>
              <w:right w:type="dxa" w:w="110"/>
            </w:tcMar>
          </w:tcPr>
          <w:p>
            <w:pPr>
              <w:jc w:val="center"/>
            </w:pPr>
            <w:r>
              <w:rPr>
                <w:b/>
                <w:bCs/>
                <w:color w:val="A03B2E"/>
                <w:sz w:val="18"/>
                <w:szCs w:val="18"/>
              </w:rPr>
              <w:t xml:space="preserve">5.0</w:t>
            </w:r>
          </w:p>
        </w:tc>
        <w:tc>
          <w:tcPr>
            <w:tcW w:type="dxa" w:w="4300"/>
            <w:tcMar>
              <w:top w:type="dxa" w:w="70"/>
              <w:left w:type="dxa" w:w="110"/>
              <w:bottom w:type="dxa" w:w="70"/>
              <w:right w:type="dxa" w:w="110"/>
            </w:tcMar>
          </w:tcPr>
          <w:p>
            <w:r>
              <w:rPr>
                <w:color w:val="333333"/>
                <w:sz w:val="18"/>
                <w:szCs w:val="18"/>
              </w:rPr>
              <w:t xml:space="preserve">El paso "pip install -r requirements.txt" y "alembic upgrade head" está documentado en el checklist de pre-producción, pero no evitó las dos incidencias de hoy — la documentación es correcta, pero es de referencia, no accionable automáticamente.</w:t>
            </w:r>
          </w:p>
        </w:tc>
      </w:tr>
    </w:tbl>
    <w:p>
      <w:pPr>
        <w:spacing w:after="60" w:before="320"/>
      </w:pPr>
      <w:r>
        <w:rPr>
          <w:b/>
          <w:bCs/>
          <w:color w:val="666666"/>
          <w:sz w:val="24"/>
          <w:szCs w:val="24"/>
        </w:rPr>
        <w:t xml:space="preserve">Nivel 11. </w:t>
      </w:r>
      <w:r>
        <w:rPr>
          <w:b/>
          <w:bCs/>
          <w:color w:val="1B3A5C"/>
          <w:sz w:val="26"/>
          <w:szCs w:val="26"/>
        </w:rPr>
        <w:t xml:space="preserve">Producto / completitud funcional</w:t>
      </w:r>
      <w:r>
        <w:rPr>
          <w:b/>
          <w:bCs/>
          <w:color w:val="2E6F5E"/>
          <w:sz w:val="24"/>
          <w:szCs w:val="24"/>
        </w:rPr>
        <w:t xml:space="preserve">  —  8.4 / 10</w:t>
      </w:r>
    </w:p>
    <w:p>
      <w:pPr>
        <w:spacing w:after="120"/>
      </w:pPr>
      <w:r>
        <w:rPr>
          <w:i/>
          <w:iCs/>
          <w:color w:val="333333"/>
          <w:sz w:val="20"/>
          <w:szCs w:val="20"/>
        </w:rPr>
        <w:t xml:space="preserve">La superficie de producto es amplia y coherente para esta etapa; el riesgo, como en evaluaciones anteriores, no es "qué falta" sino "qué se rompe silenciosamente" en una superficie tan grande con testing todavía básico.</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300"/>
      </w:tblGrid>
      <w:tr>
        <w:trPr>
          <w:cantSplit/>
          <w:tblHeader/>
        </w:trPr>
        <w:tc>
          <w:tcPr>
            <w:tcW w:type="dxa" w:w="3200"/>
            <w:shd w:fill="1B3A5C" w:val="clear"/>
            <w:tcMar>
              <w:top w:type="dxa" w:w="80"/>
              <w:left w:type="dxa" w:w="110"/>
              <w:bottom w:type="dxa" w:w="80"/>
              <w:right w:type="dxa" w:w="110"/>
            </w:tcMar>
          </w:tcPr>
          <w:p>
            <w:r>
              <w:rPr>
                <w:b/>
                <w:bCs/>
                <w:color w:val="FFFFFF"/>
                <w:sz w:val="18"/>
                <w:szCs w:val="18"/>
              </w:rPr>
              <w:t xml:space="preserve">Sub-nivel</w:t>
            </w:r>
          </w:p>
        </w:tc>
        <w:tc>
          <w:tcPr>
            <w:tcW w:type="dxa" w:w="900"/>
            <w:shd w:fill="1B3A5C" w:val="clear"/>
            <w:tcMar>
              <w:top w:type="dxa" w:w="80"/>
              <w:left w:type="dxa" w:w="110"/>
              <w:bottom w:type="dxa" w:w="80"/>
              <w:right w:type="dxa" w:w="110"/>
            </w:tcMar>
          </w:tcPr>
          <w:p>
            <w:pPr>
              <w:jc w:val="center"/>
            </w:pPr>
            <w:r>
              <w:rPr>
                <w:b/>
                <w:bCs/>
                <w:color w:val="FFFFFF"/>
                <w:sz w:val="18"/>
                <w:szCs w:val="18"/>
              </w:rPr>
              <w:t xml:space="preserve">Nota</w:t>
            </w:r>
          </w:p>
        </w:tc>
        <w:tc>
          <w:tcPr>
            <w:tcW w:type="dxa" w:w="4300"/>
            <w:shd w:fill="1B3A5C" w:val="clear"/>
            <w:tcMar>
              <w:top w:type="dxa" w:w="80"/>
              <w:left w:type="dxa" w:w="110"/>
              <w:bottom w:type="dxa" w:w="80"/>
              <w:right w:type="dxa" w:w="110"/>
            </w:tcMar>
          </w:tcPr>
          <w:p>
            <w:r>
              <w:rPr>
                <w:b/>
                <w:bCs/>
                <w:color w:val="FFFFFF"/>
                <w:sz w:val="18"/>
                <w:szCs w:val="18"/>
              </w:rPr>
              <w:t xml:space="preserve">Evidencia</w:t>
            </w:r>
          </w:p>
        </w:tc>
      </w:tr>
      <w:tr>
        <w:trPr>
          <w:cantSplit/>
        </w:trPr>
        <w:tc>
          <w:tcPr>
            <w:tcW w:type="dxa" w:w="3200"/>
            <w:tcMar>
              <w:top w:type="dxa" w:w="70"/>
              <w:left w:type="dxa" w:w="110"/>
              <w:bottom w:type="dxa" w:w="70"/>
              <w:right w:type="dxa" w:w="110"/>
            </w:tcMar>
          </w:tcPr>
          <w:p>
            <w:r>
              <w:rPr>
                <w:sz w:val="18"/>
                <w:szCs w:val="18"/>
              </w:rPr>
              <w:t xml:space="preserve">Catálogo y comercio</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Catálogo con imágenes, categorías dinámicas con cuestionario, planes, compras, favoritos, valoraciones.</w:t>
            </w:r>
          </w:p>
        </w:tc>
      </w:tr>
      <w:tr>
        <w:trPr>
          <w:cantSplit/>
        </w:trPr>
        <w:tc>
          <w:tcPr>
            <w:tcW w:type="dxa" w:w="3200"/>
            <w:tcMar>
              <w:top w:type="dxa" w:w="70"/>
              <w:left w:type="dxa" w:w="110"/>
              <w:bottom w:type="dxa" w:w="70"/>
              <w:right w:type="dxa" w:w="110"/>
            </w:tcMar>
          </w:tcPr>
          <w:p>
            <w:r>
              <w:rPr>
                <w:sz w:val="18"/>
                <w:szCs w:val="18"/>
              </w:rPr>
              <w:t xml:space="preserve">Contenido (blog)</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Editor WYSIWYG en admin, sitio público, sanitización en servidor.</w:t>
            </w:r>
          </w:p>
        </w:tc>
      </w:tr>
      <w:tr>
        <w:trPr>
          <w:cantSplit/>
        </w:trPr>
        <w:tc>
          <w:tcPr>
            <w:tcW w:type="dxa" w:w="3200"/>
            <w:tcMar>
              <w:top w:type="dxa" w:w="70"/>
              <w:left w:type="dxa" w:w="110"/>
              <w:bottom w:type="dxa" w:w="70"/>
              <w:right w:type="dxa" w:w="110"/>
            </w:tcMar>
          </w:tcPr>
          <w:p>
            <w:r>
              <w:rPr>
                <w:sz w:val="18"/>
                <w:szCs w:val="18"/>
              </w:rPr>
              <w:t xml:space="preserve">Cuentas y ciclo de vida</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2FA, recuperación de contraseña, verificación de email, política automatizada de suspensión/borrado.</w:t>
            </w:r>
          </w:p>
        </w:tc>
      </w:tr>
      <w:tr>
        <w:trPr>
          <w:cantSplit/>
        </w:trPr>
        <w:tc>
          <w:tcPr>
            <w:tcW w:type="dxa" w:w="3200"/>
            <w:tcMar>
              <w:top w:type="dxa" w:w="70"/>
              <w:left w:type="dxa" w:w="110"/>
              <w:bottom w:type="dxa" w:w="70"/>
              <w:right w:type="dxa" w:w="110"/>
            </w:tcMar>
          </w:tcPr>
          <w:p>
            <w:r>
              <w:rPr>
                <w:sz w:val="18"/>
                <w:szCs w:val="18"/>
              </w:rPr>
              <w:t xml:space="preserve">Panel de administración</w:t>
            </w:r>
          </w:p>
        </w:tc>
        <w:tc>
          <w:tcPr>
            <w:tcW w:type="dxa" w:w="900"/>
            <w:tcMar>
              <w:top w:type="dxa" w:w="70"/>
              <w:left w:type="dxa" w:w="110"/>
              <w:bottom w:type="dxa" w:w="70"/>
              <w:right w:type="dxa" w:w="110"/>
            </w:tcMar>
          </w:tcPr>
          <w:p>
            <w:pPr>
              <w:jc w:val="center"/>
            </w:pPr>
            <w:r>
              <w:rPr>
                <w:b/>
                <w:bCs/>
                <w:color w:val="1B6B3C"/>
                <w:sz w:val="18"/>
                <w:szCs w:val="18"/>
              </w:rPr>
              <w:t xml:space="preserve">9.0</w:t>
            </w:r>
          </w:p>
        </w:tc>
        <w:tc>
          <w:tcPr>
            <w:tcW w:type="dxa" w:w="4300"/>
            <w:tcMar>
              <w:top w:type="dxa" w:w="70"/>
              <w:left w:type="dxa" w:w="110"/>
              <w:bottom w:type="dxa" w:w="70"/>
              <w:right w:type="dxa" w:w="110"/>
            </w:tcMar>
          </w:tcPr>
          <w:p>
            <w:r>
              <w:rPr>
                <w:color w:val="333333"/>
                <w:sz w:val="18"/>
                <w:szCs w:val="18"/>
              </w:rPr>
              <w:t xml:space="preserve">Auditoría, errores, estado del sistema, búsqueda global, exportación CSV, gestión de blog y categorías.</w:t>
            </w:r>
          </w:p>
        </w:tc>
      </w:tr>
      <w:tr>
        <w:trPr>
          <w:cantSplit/>
        </w:trPr>
        <w:tc>
          <w:tcPr>
            <w:tcW w:type="dxa" w:w="3200"/>
            <w:tcMar>
              <w:top w:type="dxa" w:w="70"/>
              <w:left w:type="dxa" w:w="110"/>
              <w:bottom w:type="dxa" w:w="70"/>
              <w:right w:type="dxa" w:w="110"/>
            </w:tcMar>
          </w:tcPr>
          <w:p>
            <w:r>
              <w:rPr>
                <w:sz w:val="18"/>
                <w:szCs w:val="18"/>
              </w:rPr>
              <w:t xml:space="preserve">Cobertura de casos límite validada por tests</w:t>
            </w:r>
          </w:p>
        </w:tc>
        <w:tc>
          <w:tcPr>
            <w:tcW w:type="dxa" w:w="900"/>
            <w:tcMar>
              <w:top w:type="dxa" w:w="70"/>
              <w:left w:type="dxa" w:w="110"/>
              <w:bottom w:type="dxa" w:w="70"/>
              <w:right w:type="dxa" w:w="110"/>
            </w:tcMar>
          </w:tcPr>
          <w:p>
            <w:pPr>
              <w:jc w:val="center"/>
            </w:pPr>
            <w:r>
              <w:rPr>
                <w:b/>
                <w:bCs/>
                <w:color w:val="8A6D1D"/>
                <w:sz w:val="18"/>
                <w:szCs w:val="18"/>
              </w:rPr>
              <w:t xml:space="preserve">6.0</w:t>
            </w:r>
          </w:p>
        </w:tc>
        <w:tc>
          <w:tcPr>
            <w:tcW w:type="dxa" w:w="4300"/>
            <w:tcMar>
              <w:top w:type="dxa" w:w="70"/>
              <w:left w:type="dxa" w:w="110"/>
              <w:bottom w:type="dxa" w:w="70"/>
              <w:right w:type="dxa" w:w="110"/>
            </w:tcMar>
          </w:tcPr>
          <w:p>
            <w:r>
              <w:rPr>
                <w:color w:val="333333"/>
                <w:sz w:val="18"/>
                <w:szCs w:val="18"/>
              </w:rPr>
              <w:t xml:space="preserve">Con tanta superficie, solo una fracción tiene un test que confirme que el caso límite (permiso denegado, slug duplicado, token expirado) se comporta como se espera.</w:t>
            </w:r>
          </w:p>
        </w:tc>
      </w:tr>
    </w:tbl>
    <w:p>
      <w:pPr>
        <w:pStyle w:val="Heading1"/>
        <w:spacing w:after="140" w:before="280"/>
      </w:pPr>
      <w:r>
        <w:t xml:space="preserve">Las tres cosas que más elevarían la nota global</w:t>
      </w:r>
    </w:p>
    <w:p>
      <w:pPr>
        <w:pStyle w:val="ListParagraph"/>
        <w:numPr>
          <w:ilvl w:val="0"/>
          <w:numId w:val="2"/>
        </w:numPr>
        <w:spacing w:after="70"/>
      </w:pPr>
      <w:r>
        <w:t xml:space="preserve">Un chequeo de arranque que compare el esquema de base de datos aplicado contra la última migración del código, y falle rápido con un mensaje claro en vez de dejar que un endpoint cualquiera reviente con un traceback de SQLAlchemy. Ataca directamente el hallazgo de hoy y probablemente sea el cambio de mayor impacto por esfuerzo de todo este informe.</w:t>
      </w:r>
    </w:p>
    <w:p>
      <w:pPr>
        <w:pStyle w:val="ListParagraph"/>
        <w:numPr>
          <w:ilvl w:val="0"/>
          <w:numId w:val="2"/>
        </w:numPr>
        <w:spacing w:after="70"/>
      </w:pPr>
      <w:r>
        <w:t xml:space="preserve">Un pipeline de CI mínimo (install + alembic upgrade head --sql + pytest + npm run build + npm run lint) en cada push — habría detectado tanto la dependencia como las migraciones antes de llegar a un entorno real, y es la pieza que más categorías toca a la vez (Infraestructura, Testing, Frontend).</w:t>
      </w:r>
    </w:p>
    <w:p>
      <w:pPr>
        <w:pStyle w:val="ListParagraph"/>
        <w:numPr>
          <w:ilvl w:val="0"/>
          <w:numId w:val="2"/>
        </w:numPr>
        <w:spacing w:after="70"/>
      </w:pPr>
      <w:r>
        <w:t xml:space="preserve">Activar Sentry (backend y frontend, ya integrado, solo falta el DSN) y definir un alertado mínimo por email cuando el registro de errores supere un umbral — sube directamente la capa de Observabilidad, hoy la más baja del informe junto con Testing.</w:t>
      </w:r>
    </w:p>
    <w:p>
      <w:pPr>
        <w:pStyle w:val="Heading1"/>
        <w:spacing w:after="140" w:before="280"/>
      </w:pPr>
      <w:r>
        <w:t xml:space="preserve">Nota metodológica</w:t>
      </w:r>
    </w:p>
    <w:p>
      <w:pPr>
        <w:spacing w:after="120"/>
      </w:pPr>
      <w:r>
        <w:rPr>
          <w:i/>
          <w:iCs/>
          <w:color w:val="444444"/>
        </w:rPr>
        <w:t xml:space="preserve">Cada sub-nivel se apoya en algo verificado en esta sesión: ejecución real de `npm run build` y `npm run lint` sobre todo el proyecto, recolección de tests de backend (`pytest --collect-only`, sin poder ejecutarlos contra una base de datos real por no haber Postgres disponible en este entorno), cabeceras HTTP verificadas con TestClient, conteo de módulos/migraciones/archivos de test, variables de entorno comprobadas sin exponer secretos, y las dos incidencias reales observadas hoy en el entorno del usuario. Donde no se pudo verificar algo directamente (ejecución real de tests contra una base de datos, existencia de CI en el repositorio remoto), la nota de ese sub-nivel lo refleja explícitamente en vez de asumir lo mejor.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2026-08-13T08:37:22.958Z</dcterms:created>
  <dcterms:modified xsi:type="dcterms:W3CDTF">2026-08-13T08:37:22.958Z</dcterms:modified>
</cp:coreProperties>
</file>

<file path=docProps/custom.xml><?xml version="1.0" encoding="utf-8"?>
<Properties xmlns="http://schemas.openxmlformats.org/officeDocument/2006/custom-properties" xmlns:vt="http://schemas.openxmlformats.org/officeDocument/2006/docPropsVTypes"/>
</file>