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4748B"/>
          <w:sz w:val="20"/>
          <w:szCs w:val="20"/>
        </w:rPr>
        <w:t xml:space="preserve">ARCE SABIN ENGINEERING</w:t>
      </w:r>
    </w:p>
    <w:p>
      <w:pPr>
        <w:pStyle w:val="Title"/>
        <w:spacing w:after="80"/>
      </w:pPr>
      <w:r>
        <w:t xml:space="preserve">Evaluación de la plataforma ASE</w:t>
      </w:r>
    </w:p>
    <w:p>
      <w:pPr>
        <w:spacing w:after="300"/>
      </w:pPr>
      <w:r>
        <w:rPr>
          <w:color w:val="64748B"/>
          <w:sz w:val="20"/>
          <w:szCs w:val="20"/>
        </w:rPr>
        <w:t xml:space="preserve">12 de agosto de 2026 · Estado actual del código tras esta sesión de trabajo</w:t>
      </w:r>
    </w:p>
    <w:p>
      <w:pPr>
        <w:spacing w:after="300"/>
      </w:pPr>
      <w:r>
        <w:rPr>
          <w:b/>
          <w:bCs/>
          <w:sz w:val="26"/>
          <w:szCs w:val="26"/>
        </w:rPr>
        <w:t xml:space="preserve">Puntuación global: </w:t>
      </w:r>
      <w:r>
        <w:rPr>
          <w:b/>
          <w:bCs/>
          <w:color w:val="B45309"/>
          <w:sz w:val="32"/>
          <w:szCs w:val="32"/>
        </w:rPr>
        <w:t xml:space="preserve">7.6 / 10</w:t>
      </w:r>
      <w:r>
        <w:rPr>
          <w:color w:val="64748B"/>
          <w:sz w:val="18"/>
          <w:szCs w:val="18"/>
        </w:rPr>
        <w:t xml:space="preserve">  (media simple de las 11 categorías siguientes, sin ponderar)</w:t>
      </w:r>
    </w:p>
    <w:p>
      <w:pPr>
        <w:pStyle w:val="Heading1"/>
        <w:spacing w:after="160" w:before="360"/>
      </w:pPr>
      <w:r>
        <w:t xml:space="preserve">Resumen ejecutivo</w:t>
      </w:r>
    </w:p>
    <w:p>
      <w:pPr>
        <w:spacing w:after="160"/>
      </w:pPr>
      <w:r>
        <w:t xml:space="preserve">La plataforma ha crecido de forma sustancial y ordenada: un catálogo dinámico con etiquetas, planes comerciales que tiran del catálogo real, autenticación en dos pasos con bloqueo de cuentas por fuerza bruta, una política automatizada de ciclo de vida de cuentas (2FA obligatorio, suspensión por inactividad, borrado tras seis meses), registro de auditoría, registro de errores propio, panel de estado del sistema y un sistema de internacionalización excepcionalmente disciplinado (1899 claves, paridad EN/ES verificada en cada cambio).</w:t>
      </w:r>
    </w:p>
    <w:p>
      <w:pPr>
        <w:spacing w:after="160"/>
      </w:pPr>
      <w:r>
        <w:t xml:space="preserve">El nivel de ingeniería es notablemente más alto que el de un MVP típico: los patrones se repiten con criterio (escritura "best-effort" que nunca bloquea la operación principal, migraciones verificadas en ambas direcciones antes de aplicarse, decisiones de seguridad explícitas como el bloqueo por intentos fallidos independiente del rate limiting por IP). El punto más flojo, con diferencia, es el testing: el backend tiene cobertura solo en los flujos más antiguos y el frontend no tiene ningún test automatizado, así que hoy la única red de seguridad real es la verificación manual (tsc, eslint, build, revisión de diffs) que se ha hecho en cada cambio de esta sesión — sólida, pero no sustituye a tests que se ejecuten solos en cada cambio futuro.</w:t>
      </w:r>
    </w:p>
    <w:p>
      <w:pPr>
        <w:spacing w:after="160"/>
      </w:pPr>
      <w:r>
        <w:t xml:space="preserve">El otro riesgo real de cara a producción es el rendimiento del frontend: un único paquete JavaScript de ~1.5MB sin dividir por ruta, que seguirá creciendo con cada función nueva si no se introduce carga diferida.</w:t>
      </w:r>
    </w:p>
    <w:p>
      <w:pPr>
        <w:pStyle w:val="Heading1"/>
        <w:spacing w:after="160" w:before="360"/>
      </w:pPr>
      <w:r>
        <w:t xml:space="preserve">Puntuación por categoría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800"/>
      </w:tblGrid>
      <w:tr>
        <w:trPr>
          <w:tblHeader/>
        </w:trPr>
        <w:tc>
          <w:tcPr>
            <w:tcW w:type="dxa" w:w="2600"/>
            <w:shd w:fill="0B1220" w:val="clear"/>
          </w:tcPr>
          <w:p>
            <w:r>
              <w:rPr>
                <w:b/>
                <w:bCs/>
                <w:color w:val="FFFFFF"/>
                <w:sz w:val="20"/>
                <w:szCs w:val="20"/>
              </w:rPr>
              <w:t xml:space="preserve">Categoría</w:t>
            </w:r>
          </w:p>
        </w:tc>
        <w:tc>
          <w:tcPr>
            <w:tcW w:type="dxa" w:w="1100"/>
            <w:shd w:fill="0B1220" w:val="clear"/>
          </w:tcPr>
          <w:p>
            <w:pPr>
              <w:jc w:val="center"/>
            </w:pPr>
            <w:r>
              <w:rPr>
                <w:b/>
                <w:bCs/>
                <w:color w:val="FFFFFF"/>
                <w:sz w:val="20"/>
                <w:szCs w:val="20"/>
              </w:rPr>
              <w:t xml:space="preserve">Nota</w:t>
            </w:r>
          </w:p>
        </w:tc>
        <w:tc>
          <w:tcPr>
            <w:tcW w:type="dxa" w:w="5800"/>
            <w:shd w:fill="0B1220" w:val="clear"/>
          </w:tcPr>
          <w:p>
            <w:r>
              <w:rPr>
                <w:b/>
                <w:bCs/>
                <w:color w:val="FFFFFF"/>
                <w:sz w:val="20"/>
                <w:szCs w:val="20"/>
              </w:rPr>
              <w:t xml:space="preserve">Justificación breve</w:t>
            </w:r>
          </w:p>
        </w:tc>
      </w:tr>
      <w:tr>
        <w:tc>
          <w:tcPr>
            <w:tcW w:type="dxa" w:w="2600"/>
          </w:tcPr>
          <w:p>
            <w:r>
              <w:rPr>
                <w:b/>
                <w:bCs/>
                <w:sz w:val="20"/>
                <w:szCs w:val="20"/>
              </w:rPr>
              <w:t xml:space="preserve">Seguridad</w:t>
            </w:r>
          </w:p>
        </w:tc>
        <w:tc>
          <w:tcPr>
            <w:tcW w:type="dxa" w:w="1100"/>
          </w:tcPr>
          <w:p>
            <w:pPr>
              <w:jc w:val="center"/>
            </w:pPr>
            <w:r>
              <w:rPr>
                <w:b/>
                <w:bCs/>
                <w:color w:val="15803D"/>
                <w:sz w:val="20"/>
                <w:szCs w:val="20"/>
              </w:rPr>
              <w:t xml:space="preserve">8.0 / 10</w:t>
            </w:r>
          </w:p>
        </w:tc>
        <w:tc>
          <w:tcPr>
            <w:tcW w:type="dxa" w:w="5800"/>
          </w:tcPr>
          <w:p>
            <w:r>
              <w:rPr>
                <w:sz w:val="20"/>
                <w:szCs w:val="20"/>
              </w:rPr>
              <w:t xml:space="preserve">2FA + bloqueo de cuenta + ciclo de vida automatizado son notables; faltan cabeceras de seguridad HTTP y el rate limiting no cubre todos los endpoints públicos.</w:t>
            </w:r>
          </w:p>
        </w:tc>
      </w:tr>
      <w:tr>
        <w:tc>
          <w:tcPr>
            <w:tcW w:type="dxa" w:w="2600"/>
            <w:shd w:fill="F1F5F9" w:val="clear"/>
          </w:tcPr>
          <w:p>
            <w:r>
              <w:rPr>
                <w:b/>
                <w:bCs/>
                <w:sz w:val="20"/>
                <w:szCs w:val="20"/>
              </w:rPr>
              <w:t xml:space="preserve">Arquitectura backend</w:t>
            </w:r>
          </w:p>
        </w:tc>
        <w:tc>
          <w:tcPr>
            <w:tcW w:type="dxa" w:w="1100"/>
            <w:shd w:fill="F1F5F9" w:val="clear"/>
          </w:tcPr>
          <w:p>
            <w:pPr>
              <w:jc w:val="center"/>
            </w:pPr>
            <w:r>
              <w:rPr>
                <w:b/>
                <w:bCs/>
                <w:color w:val="15803D"/>
                <w:sz w:val="20"/>
                <w:szCs w:val="20"/>
              </w:rPr>
              <w:t xml:space="preserve">8.5 / 10</w:t>
            </w:r>
          </w:p>
        </w:tc>
        <w:tc>
          <w:tcPr>
            <w:tcW w:type="dxa" w:w="5800"/>
            <w:shd w:fill="F1F5F9" w:val="clear"/>
          </w:tcPr>
          <w:p>
            <w:r>
              <w:rPr>
                <w:sz w:val="20"/>
                <w:szCs w:val="20"/>
              </w:rPr>
              <w:t xml:space="preserve">Estructura modular consistente (36 módulos), 33 migraciones bien disciplinadas, patrones "best-effort" repetidos con criterio.</w:t>
            </w:r>
          </w:p>
        </w:tc>
      </w:tr>
      <w:tr>
        <w:tc>
          <w:tcPr>
            <w:tcW w:type="dxa" w:w="2600"/>
          </w:tcPr>
          <w:p>
            <w:r>
              <w:rPr>
                <w:b/>
                <w:bCs/>
                <w:sz w:val="20"/>
                <w:szCs w:val="20"/>
              </w:rPr>
              <w:t xml:space="preserve">Arquitectura frontend</w:t>
            </w:r>
          </w:p>
        </w:tc>
        <w:tc>
          <w:tcPr>
            <w:tcW w:type="dxa" w:w="1100"/>
          </w:tcPr>
          <w:p>
            <w:pPr>
              <w:jc w:val="center"/>
            </w:pPr>
            <w:r>
              <w:rPr>
                <w:b/>
                <w:bCs/>
                <w:color w:val="B45309"/>
                <w:sz w:val="20"/>
                <w:szCs w:val="20"/>
              </w:rPr>
              <w:t xml:space="preserve">7.5 / 10</w:t>
            </w:r>
          </w:p>
        </w:tc>
        <w:tc>
          <w:tcPr>
            <w:tcW w:type="dxa" w:w="5800"/>
          </w:tcPr>
          <w:p>
            <w:r>
              <w:rPr>
                <w:sz w:val="20"/>
                <w:szCs w:val="20"/>
              </w:rPr>
              <w:t xml:space="preserve">TypeScript estricto y i18n impecable; sin code-splitting (bundle único de 1.5MB) y sin tests automatizados.</w:t>
            </w:r>
          </w:p>
        </w:tc>
      </w:tr>
      <w:tr>
        <w:tc>
          <w:tcPr>
            <w:tcW w:type="dxa" w:w="2600"/>
            <w:shd w:fill="F1F5F9" w:val="clear"/>
          </w:tcPr>
          <w:p>
            <w:r>
              <w:rPr>
                <w:b/>
                <w:bCs/>
                <w:sz w:val="20"/>
                <w:szCs w:val="20"/>
              </w:rPr>
              <w:t xml:space="preserve">Completitud funcional</w:t>
            </w:r>
          </w:p>
        </w:tc>
        <w:tc>
          <w:tcPr>
            <w:tcW w:type="dxa" w:w="1100"/>
            <w:shd w:fill="F1F5F9" w:val="clear"/>
          </w:tcPr>
          <w:p>
            <w:pPr>
              <w:jc w:val="center"/>
            </w:pPr>
            <w:r>
              <w:rPr>
                <w:b/>
                <w:bCs/>
                <w:color w:val="15803D"/>
                <w:sz w:val="20"/>
                <w:szCs w:val="20"/>
              </w:rPr>
              <w:t xml:space="preserve">9.0 / 10</w:t>
            </w:r>
          </w:p>
        </w:tc>
        <w:tc>
          <w:tcPr>
            <w:tcW w:type="dxa" w:w="5800"/>
            <w:shd w:fill="F1F5F9" w:val="clear"/>
          </w:tcPr>
          <w:p>
            <w:r>
              <w:rPr>
                <w:sz w:val="20"/>
                <w:szCs w:val="20"/>
              </w:rPr>
              <w:t xml:space="preserve">Catálogo, planes dinámicos, compras, favoritos, valoraciones, canje de libros, membresías de organización, 2FA, ciclo de vida de cuentas — cobertura muy amplia para esta etapa.</w:t>
            </w:r>
          </w:p>
        </w:tc>
      </w:tr>
      <w:tr>
        <w:tc>
          <w:tcPr>
            <w:tcW w:type="dxa" w:w="2600"/>
          </w:tcPr>
          <w:p>
            <w:r>
              <w:rPr>
                <w:b/>
                <w:bCs/>
                <w:sz w:val="20"/>
                <w:szCs w:val="20"/>
              </w:rPr>
              <w:t xml:space="preserve">Observabilidad</w:t>
            </w:r>
          </w:p>
        </w:tc>
        <w:tc>
          <w:tcPr>
            <w:tcW w:type="dxa" w:w="1100"/>
          </w:tcPr>
          <w:p>
            <w:pPr>
              <w:jc w:val="center"/>
            </w:pPr>
            <w:r>
              <w:rPr>
                <w:b/>
                <w:bCs/>
                <w:color w:val="15803D"/>
                <w:sz w:val="20"/>
                <w:szCs w:val="20"/>
              </w:rPr>
              <w:t xml:space="preserve">8.0 / 10</w:t>
            </w:r>
          </w:p>
        </w:tc>
        <w:tc>
          <w:tcPr>
            <w:tcW w:type="dxa" w:w="5800"/>
          </w:tcPr>
          <w:p>
            <w:r>
              <w:rPr>
                <w:sz w:val="20"/>
                <w:szCs w:val="20"/>
              </w:rPr>
              <w:t xml:space="preserve">Panel de estado del sistema, log de errores propio, log de auditoría, resumen de ciclo de vida — buena visibilidad; falta alertado activo (nadie se entera si algo falla salvo que mire el panel).</w:t>
            </w:r>
          </w:p>
        </w:tc>
      </w:tr>
      <w:tr>
        <w:tc>
          <w:tcPr>
            <w:tcW w:type="dxa" w:w="2600"/>
            <w:shd w:fill="F1F5F9" w:val="clear"/>
          </w:tcPr>
          <w:p>
            <w:r>
              <w:rPr>
                <w:b/>
                <w:bCs/>
                <w:sz w:val="20"/>
                <w:szCs w:val="20"/>
              </w:rPr>
              <w:t xml:space="preserve">Internacionalización (i18n)</w:t>
            </w:r>
          </w:p>
        </w:tc>
        <w:tc>
          <w:tcPr>
            <w:tcW w:type="dxa" w:w="1100"/>
            <w:shd w:fill="F1F5F9" w:val="clear"/>
          </w:tcPr>
          <w:p>
            <w:pPr>
              <w:jc w:val="center"/>
            </w:pPr>
            <w:r>
              <w:rPr>
                <w:b/>
                <w:bCs/>
                <w:color w:val="15803D"/>
                <w:sz w:val="20"/>
                <w:szCs w:val="20"/>
              </w:rPr>
              <w:t xml:space="preserve">9.5 / 10</w:t>
            </w:r>
          </w:p>
        </w:tc>
        <w:tc>
          <w:tcPr>
            <w:tcW w:type="dxa" w:w="5800"/>
            <w:shd w:fill="F1F5F9" w:val="clear"/>
          </w:tcPr>
          <w:p>
            <w:r>
              <w:rPr>
                <w:sz w:val="20"/>
                <w:szCs w:val="20"/>
              </w:rPr>
              <w:t xml:space="preserve">1899 claves con paridad EN/ES verificada en cada cambio de esta sesión — el punto más sólido de todo el proyecto.</w:t>
            </w:r>
          </w:p>
        </w:tc>
      </w:tr>
      <w:tr>
        <w:tc>
          <w:tcPr>
            <w:tcW w:type="dxa" w:w="2600"/>
          </w:tcPr>
          <w:p>
            <w:r>
              <w:rPr>
                <w:b/>
                <w:bCs/>
                <w:sz w:val="20"/>
                <w:szCs w:val="20"/>
              </w:rPr>
              <w:t xml:space="preserve">Testing</w:t>
            </w:r>
          </w:p>
        </w:tc>
        <w:tc>
          <w:tcPr>
            <w:tcW w:type="dxa" w:w="1100"/>
          </w:tcPr>
          <w:p>
            <w:pPr>
              <w:jc w:val="center"/>
            </w:pPr>
            <w:r>
              <w:rPr>
                <w:b/>
                <w:bCs/>
                <w:color w:val="B91C1C"/>
                <w:sz w:val="20"/>
                <w:szCs w:val="20"/>
              </w:rPr>
              <w:t xml:space="preserve">5.0 / 10</w:t>
            </w:r>
          </w:p>
        </w:tc>
        <w:tc>
          <w:tcPr>
            <w:tcW w:type="dxa" w:w="5800"/>
          </w:tcPr>
          <w:p>
            <w:r>
              <w:rPr>
                <w:sz w:val="20"/>
                <w:szCs w:val="20"/>
              </w:rPr>
              <w:t xml:space="preserve">26 tests de backend cubren los flujos críticos, pero gran parte de las funciones más recientes no tiene test; frontend no tiene ningún test automatizado.</w:t>
            </w:r>
          </w:p>
        </w:tc>
      </w:tr>
      <w:tr>
        <w:tc>
          <w:tcPr>
            <w:tcW w:type="dxa" w:w="2600"/>
            <w:shd w:fill="F1F5F9" w:val="clear"/>
          </w:tcPr>
          <w:p>
            <w:r>
              <w:rPr>
                <w:b/>
                <w:bCs/>
                <w:sz w:val="20"/>
                <w:szCs w:val="20"/>
              </w:rPr>
              <w:t xml:space="preserve">Rendimiento</w:t>
            </w:r>
          </w:p>
        </w:tc>
        <w:tc>
          <w:tcPr>
            <w:tcW w:type="dxa" w:w="1100"/>
            <w:shd w:fill="F1F5F9" w:val="clear"/>
          </w:tcPr>
          <w:p>
            <w:pPr>
              <w:jc w:val="center"/>
            </w:pPr>
            <w:r>
              <w:rPr>
                <w:b/>
                <w:bCs/>
                <w:color w:val="B45309"/>
                <w:sz w:val="20"/>
                <w:szCs w:val="20"/>
              </w:rPr>
              <w:t xml:space="preserve">6.5 / 10</w:t>
            </w:r>
          </w:p>
        </w:tc>
        <w:tc>
          <w:tcPr>
            <w:tcW w:type="dxa" w:w="5800"/>
            <w:shd w:fill="F1F5F9" w:val="clear"/>
          </w:tcPr>
          <w:p>
            <w:r>
              <w:rPr>
                <w:sz w:val="20"/>
                <w:szCs w:val="20"/>
              </w:rPr>
              <w:t xml:space="preserve">Un único bundle JS de ~1.5MB (400KB comprimido) sin lazy-loading; el backend está bien ajustado para el volumen actual pero varias decisiones asumen una sola instancia.</w:t>
            </w:r>
          </w:p>
        </w:tc>
      </w:tr>
      <w:tr>
        <w:tc>
          <w:tcPr>
            <w:tcW w:type="dxa" w:w="2600"/>
          </w:tcPr>
          <w:p>
            <w:r>
              <w:rPr>
                <w:b/>
                <w:bCs/>
                <w:sz w:val="20"/>
                <w:szCs w:val="20"/>
              </w:rPr>
              <w:t xml:space="preserve">Preparación para producción</w:t>
            </w:r>
          </w:p>
        </w:tc>
        <w:tc>
          <w:tcPr>
            <w:tcW w:type="dxa" w:w="1100"/>
          </w:tcPr>
          <w:p>
            <w:pPr>
              <w:jc w:val="center"/>
            </w:pPr>
            <w:r>
              <w:rPr>
                <w:b/>
                <w:bCs/>
                <w:color w:val="B45309"/>
                <w:sz w:val="20"/>
                <w:szCs w:val="20"/>
              </w:rPr>
              <w:t xml:space="preserve">7.5 / 10</w:t>
            </w:r>
          </w:p>
        </w:tc>
        <w:tc>
          <w:tcPr>
            <w:tcW w:type="dxa" w:w="5800"/>
          </w:tcPr>
          <w:p>
            <w:r>
              <w:rPr>
                <w:sz w:val="20"/>
                <w:szCs w:val="20"/>
              </w:rPr>
              <w:t xml:space="preserve">Buenas prácticas en variables de entorno y migraciones; la documentación de despliegue no se ha actualizado con las últimas integraciones (SMTP, Sentry, Redis, tareas programadas).</w:t>
            </w:r>
          </w:p>
        </w:tc>
      </w:tr>
      <w:tr>
        <w:tc>
          <w:tcPr>
            <w:tcW w:type="dxa" w:w="2600"/>
            <w:shd w:fill="F1F5F9" w:val="clear"/>
          </w:tcPr>
          <w:p>
            <w:r>
              <w:rPr>
                <w:b/>
                <w:bCs/>
                <w:sz w:val="20"/>
                <w:szCs w:val="20"/>
              </w:rPr>
              <w:t xml:space="preserve">UX / Diseño</w:t>
            </w:r>
          </w:p>
        </w:tc>
        <w:tc>
          <w:tcPr>
            <w:tcW w:type="dxa" w:w="1100"/>
            <w:shd w:fill="F1F5F9" w:val="clear"/>
          </w:tcPr>
          <w:p>
            <w:pPr>
              <w:jc w:val="center"/>
            </w:pPr>
            <w:r>
              <w:rPr>
                <w:b/>
                <w:bCs/>
                <w:color w:val="15803D"/>
                <w:sz w:val="20"/>
                <w:szCs w:val="20"/>
              </w:rPr>
              <w:t xml:space="preserve">8.5 / 10</w:t>
            </w:r>
          </w:p>
        </w:tc>
        <w:tc>
          <w:tcPr>
            <w:tcW w:type="dxa" w:w="5800"/>
            <w:shd w:fill="F1F5F9" w:val="clear"/>
          </w:tcPr>
          <w:p>
            <w:r>
              <w:rPr>
                <w:sz w:val="20"/>
                <w:szCs w:val="20"/>
              </w:rPr>
              <w:t xml:space="preserve">Sistema de diseño "premium" consistente en todo el panel de administración y el sitio público, aplicado con disciplina en cada función nueva.</w:t>
            </w:r>
          </w:p>
        </w:tc>
      </w:tr>
      <w:tr>
        <w:tc>
          <w:tcPr>
            <w:tcW w:type="dxa" w:w="2600"/>
          </w:tcPr>
          <w:p>
            <w:r>
              <w:rPr>
                <w:b/>
                <w:bCs/>
                <w:sz w:val="20"/>
                <w:szCs w:val="20"/>
              </w:rPr>
              <w:t xml:space="preserve">Documentación</w:t>
            </w:r>
          </w:p>
        </w:tc>
        <w:tc>
          <w:tcPr>
            <w:tcW w:type="dxa" w:w="1100"/>
          </w:tcPr>
          <w:p>
            <w:pPr>
              <w:jc w:val="center"/>
            </w:pPr>
            <w:r>
              <w:rPr>
                <w:b/>
                <w:bCs/>
                <w:color w:val="B91C1C"/>
                <w:sz w:val="20"/>
                <w:szCs w:val="20"/>
              </w:rPr>
              <w:t xml:space="preserve">6.0 / 10</w:t>
            </w:r>
          </w:p>
        </w:tc>
        <w:tc>
          <w:tcPr>
            <w:tcW w:type="dxa" w:w="5800"/>
          </w:tcPr>
          <w:p>
            <w:r>
              <w:rPr>
                <w:sz w:val="20"/>
                <w:szCs w:val="20"/>
              </w:rPr>
              <w:t xml:space="preserve">Existe una carpeta docs/ básica y RBAC bien documentado, pero no refleja todo lo añadido en esta sesión (2FA, ciclo de vida de cuentas, error logs, etc.).</w:t>
            </w:r>
          </w:p>
        </w:tc>
      </w:tr>
    </w:tbl>
    <w:p>
      <w:pPr>
        <w:pStyle w:val="Heading1"/>
        <w:spacing w:after="160" w:before="360"/>
      </w:pPr>
      <w:r>
        <w:t xml:space="preserve">Detalle por categoría</w:t>
      </w:r>
    </w:p>
    <w:p>
      <w:pPr>
        <w:pStyle w:val="Heading2"/>
        <w:spacing w:after="120" w:before="280"/>
      </w:pPr>
      <w:r>
        <w:t xml:space="preserve">Seguridad — 8.0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Contraseñas con bcrypt; JWT de acceso de vida corta (15 min) + refresh de 30 días.</w:t>
      </w:r>
    </w:p>
    <w:p>
      <w:pPr>
        <w:pStyle w:val="ListParagraph"/>
        <w:numPr>
          <w:ilvl w:val="0"/>
          <w:numId w:val="2"/>
        </w:numPr>
        <w:spacing w:after="80"/>
      </w:pPr>
      <w:r>
        <w:rPr>
          <w:sz w:val="20"/>
          <w:szCs w:val="20"/>
        </w:rPr>
        <w:t xml:space="preserve">2FA por TOTP correctamente implementado: el secreto no se activa hasta confirmar un código válido.</w:t>
      </w:r>
    </w:p>
    <w:p>
      <w:pPr>
        <w:pStyle w:val="ListParagraph"/>
        <w:numPr>
          <w:ilvl w:val="0"/>
          <w:numId w:val="2"/>
        </w:numPr>
        <w:spacing w:after="80"/>
      </w:pPr>
      <w:r>
        <w:rPr>
          <w:sz w:val="20"/>
          <w:szCs w:val="20"/>
        </w:rPr>
        <w:t xml:space="preserve">Bloqueo de cuenta por intentos fallidos, independiente del rate limiting por IP (defensa en profundidad).</w:t>
      </w:r>
    </w:p>
    <w:p>
      <w:pPr>
        <w:pStyle w:val="ListParagraph"/>
        <w:numPr>
          <w:ilvl w:val="0"/>
          <w:numId w:val="2"/>
        </w:numPr>
        <w:spacing w:after="80"/>
      </w:pPr>
      <w:r>
        <w:rPr>
          <w:sz w:val="20"/>
          <w:szCs w:val="20"/>
        </w:rPr>
        <w:t xml:space="preserve">Política automatizada: cuentas sin 2FA en 30 días se suspenden; sin actividad en 6 meses se suspenden; suspendidas 6 meses más se eliminan (con anonimización RGPD) — con excepción explícita para cuentas super_admin.</w:t>
      </w:r>
    </w:p>
    <w:p>
      <w:pPr>
        <w:pStyle w:val="ListParagraph"/>
        <w:numPr>
          <w:ilvl w:val="0"/>
          <w:numId w:val="2"/>
        </w:numPr>
        <w:spacing w:after="80"/>
      </w:pPr>
      <w:r>
        <w:rPr>
          <w:sz w:val="20"/>
          <w:szCs w:val="20"/>
        </w:rPr>
        <w:t xml:space="preserve">RBAC granular con bypass documentado solo para super_admin; CORS con lista explícita de orígenes, sin comodín.</w:t>
      </w:r>
    </w:p>
    <w:p>
      <w:pPr>
        <w:pStyle w:val="ListParagraph"/>
        <w:numPr>
          <w:ilvl w:val="0"/>
          <w:numId w:val="2"/>
        </w:numPr>
        <w:spacing w:after="80"/>
      </w:pPr>
      <w:r>
        <w:rPr>
          <w:sz w:val="20"/>
          <w:szCs w:val="20"/>
        </w:rPr>
        <w:t xml:space="preserve">.env.example limpio, sin secretos reales, con comentarios claros sobre qué cambiar en producción.</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No hay cabeceras de seguridad HTTP (HSTS, X-Frame-Options, X-Content-Type-Options, Content-Security-Policy) — fácil de añadir con un middleware.</w:t>
      </w:r>
    </w:p>
    <w:p>
      <w:pPr>
        <w:pStyle w:val="ListParagraph"/>
        <w:numPr>
          <w:ilvl w:val="0"/>
          <w:numId w:val="2"/>
        </w:numPr>
        <w:spacing w:after="80"/>
      </w:pPr>
      <w:r>
        <w:rPr>
          <w:sz w:val="20"/>
          <w:szCs w:val="20"/>
        </w:rPr>
        <w:t xml:space="preserve">El rate limiting solo cubre 8 rutas (todas de auth); búsqueda, catálogo público y compra no tienen límite propio.</w:t>
      </w:r>
    </w:p>
    <w:p>
      <w:pPr>
        <w:pStyle w:val="ListParagraph"/>
        <w:numPr>
          <w:ilvl w:val="0"/>
          <w:numId w:val="2"/>
        </w:numPr>
        <w:spacing w:after="80"/>
      </w:pPr>
      <w:r>
        <w:rPr>
          <w:sz w:val="20"/>
          <w:szCs w:val="20"/>
        </w:rPr>
        <w:t xml:space="preserve">Sentry y Redis siguen sin configurarse (están listos pero inactivos) — aceptable al volumen actual, pero es el momento de activarlos antes de que haya usuarios reales.</w:t>
      </w:r>
    </w:p>
    <w:p>
      <w:pPr>
        <w:pStyle w:val="Heading2"/>
        <w:spacing w:after="120" w:before="280"/>
      </w:pPr>
      <w:r>
        <w:t xml:space="preserve">Arquitectura backend — 8.5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36 módulos con el mismo patrón router → service → repository → schema, fácil de seguir y de extender.</w:t>
      </w:r>
    </w:p>
    <w:p>
      <w:pPr>
        <w:pStyle w:val="ListParagraph"/>
        <w:numPr>
          <w:ilvl w:val="0"/>
          <w:numId w:val="2"/>
        </w:numPr>
        <w:spacing w:after="80"/>
      </w:pPr>
      <w:r>
        <w:rPr>
          <w:sz w:val="20"/>
          <w:szCs w:val="20"/>
        </w:rPr>
        <w:t xml:space="preserve">33 migraciones Alembic, cada una comprobada contra colisiones de revisión y verificada con --sql en ambas direcciones antes de aplicarse.</w:t>
      </w:r>
    </w:p>
    <w:p>
      <w:pPr>
        <w:pStyle w:val="ListParagraph"/>
        <w:numPr>
          <w:ilvl w:val="0"/>
          <w:numId w:val="2"/>
        </w:numPr>
        <w:spacing w:after="80"/>
      </w:pPr>
      <w:r>
        <w:rPr>
          <w:sz w:val="20"/>
          <w:szCs w:val="20"/>
        </w:rPr>
        <w:t xml:space="preserve">Patrón "best-effort" aplicado con criterio: auditoría, notificaciones y registro de errores nunca bloquean la operación principal si fallan.</w:t>
      </w:r>
    </w:p>
    <w:p>
      <w:pPr>
        <w:pStyle w:val="ListParagraph"/>
        <w:numPr>
          <w:ilvl w:val="0"/>
          <w:numId w:val="2"/>
        </w:numPr>
        <w:spacing w:after="80"/>
      </w:pPr>
      <w:r>
        <w:rPr>
          <w:sz w:val="20"/>
          <w:szCs w:val="20"/>
        </w:rPr>
        <w:t xml:space="preserve">Decisiones de diseño explicadas en comentarios (por qué se reactiva antes del segundo commit, por qué la validación de filtros usa JSONB ?| en vez de @&gt;, etc.) — buena trazabilidad para quien retome el código.</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El limitador de peticiones en memoria y el planificador de tareas en el mismo proceso asumen una sola instancia — habrá que revisitarlo si se escala a varias réplicas.</w:t>
      </w:r>
    </w:p>
    <w:p>
      <w:pPr>
        <w:pStyle w:val="ListParagraph"/>
        <w:numPr>
          <w:ilvl w:val="0"/>
          <w:numId w:val="2"/>
        </w:numPr>
        <w:spacing w:after="80"/>
      </w:pPr>
      <w:r>
        <w:rPr>
          <w:sz w:val="20"/>
          <w:szCs w:val="20"/>
        </w:rPr>
        <w:t xml:space="preserve">No se ha podido confirmar la ejecución real de la suite de tests contra una base de datos real en este entorno (solo colecta, no ejecuta) — conviene verificarlo en CI o localmente.</w:t>
      </w:r>
    </w:p>
    <w:p>
      <w:pPr>
        <w:pStyle w:val="Heading2"/>
        <w:spacing w:after="120" w:before="280"/>
      </w:pPr>
      <w:r>
        <w:t xml:space="preserve">Arquitectura frontend — 7.5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TypeScript estricto sin errores (tsc --noEmit limpio) en todo el proyecto, incluidas 42 páginas y 82 componentes.</w:t>
      </w:r>
    </w:p>
    <w:p>
      <w:pPr>
        <w:pStyle w:val="ListParagraph"/>
        <w:numPr>
          <w:ilvl w:val="0"/>
          <w:numId w:val="2"/>
        </w:numPr>
        <w:spacing w:after="80"/>
      </w:pPr>
      <w:r>
        <w:rPr>
          <w:sz w:val="20"/>
          <w:szCs w:val="20"/>
        </w:rPr>
        <w:t xml:space="preserve">React Query para estado de servidor, componentes de UI reutilizables y consistentes (Button, Card, Modal, Badge, TagFilterBar…).</w:t>
      </w:r>
    </w:p>
    <w:p>
      <w:pPr>
        <w:pStyle w:val="ListParagraph"/>
        <w:numPr>
          <w:ilvl w:val="0"/>
          <w:numId w:val="2"/>
        </w:numPr>
        <w:spacing w:after="80"/>
      </w:pPr>
      <w:r>
        <w:rPr>
          <w:sz w:val="20"/>
          <w:szCs w:val="20"/>
        </w:rPr>
        <w:t xml:space="preserve">Reglas de ESLint inusualmente estrictas (React Compiler, pureza de renders) aplicadas de verdad, no solo configuradas.</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Cero división de código: todo el árbol de rutas se carga en un único bundle de ~1.5MB (400KB comprimido) que solo puede crecer.</w:t>
      </w:r>
    </w:p>
    <w:p>
      <w:pPr>
        <w:pStyle w:val="ListParagraph"/>
        <w:numPr>
          <w:ilvl w:val="0"/>
          <w:numId w:val="2"/>
        </w:numPr>
        <w:spacing w:after="80"/>
      </w:pPr>
      <w:r>
        <w:rPr>
          <w:sz w:val="20"/>
          <w:szCs w:val="20"/>
        </w:rPr>
        <w:t xml:space="preserve">Cobertura de accesibilidad aparentemente escasa (23 usos de aria-label/role en 82 componentes) — no se ha hecho una auditoría visual en esta sesión para confirmarlo con detalle.</w:t>
      </w:r>
    </w:p>
    <w:p>
      <w:pPr>
        <w:pStyle w:val="ListParagraph"/>
        <w:numPr>
          <w:ilvl w:val="0"/>
          <w:numId w:val="2"/>
        </w:numPr>
        <w:spacing w:after="80"/>
      </w:pPr>
      <w:r>
        <w:rPr>
          <w:sz w:val="20"/>
          <w:szCs w:val="20"/>
        </w:rPr>
        <w:t xml:space="preserve">Sin tests automatizados de ningún tipo (ni unitarios ni de integración).</w:t>
      </w:r>
    </w:p>
    <w:p>
      <w:pPr>
        <w:pStyle w:val="Heading2"/>
        <w:spacing w:after="120" w:before="280"/>
      </w:pPr>
      <w:r>
        <w:t xml:space="preserve">Completitud funcional — 9.0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Catálogo con imágenes, galería, etiquetas filtrables (admin y público), valoraciones y favoritos.</w:t>
      </w:r>
    </w:p>
    <w:p>
      <w:pPr>
        <w:pStyle w:val="ListParagraph"/>
        <w:numPr>
          <w:ilvl w:val="0"/>
          <w:numId w:val="2"/>
        </w:numPr>
        <w:spacing w:after="80"/>
      </w:pPr>
      <w:r>
        <w:rPr>
          <w:sz w:val="20"/>
          <w:szCs w:val="20"/>
        </w:rPr>
        <w:t xml:space="preserve">Planes comerciales con selección dinámica de elementos reales del catálogo.</w:t>
      </w:r>
    </w:p>
    <w:p>
      <w:pPr>
        <w:pStyle w:val="ListParagraph"/>
        <w:numPr>
          <w:ilvl w:val="0"/>
          <w:numId w:val="2"/>
        </w:numPr>
        <w:spacing w:after="80"/>
      </w:pPr>
      <w:r>
        <w:rPr>
          <w:sz w:val="20"/>
          <w:szCs w:val="20"/>
        </w:rPr>
        <w:t xml:space="preserve">Compras, canje de libros con invitación automática a repositorio privado de GitHub.</w:t>
      </w:r>
    </w:p>
    <w:p>
      <w:pPr>
        <w:pStyle w:val="ListParagraph"/>
        <w:numPr>
          <w:ilvl w:val="0"/>
          <w:numId w:val="2"/>
        </w:numPr>
        <w:spacing w:after="80"/>
      </w:pPr>
      <w:r>
        <w:rPr>
          <w:sz w:val="20"/>
          <w:szCs w:val="20"/>
        </w:rPr>
        <w:t xml:space="preserve">Membresías de organización, invitaciones, enlaces de perfil.</w:t>
      </w:r>
    </w:p>
    <w:p>
      <w:pPr>
        <w:pStyle w:val="ListParagraph"/>
        <w:numPr>
          <w:ilvl w:val="0"/>
          <w:numId w:val="2"/>
        </w:numPr>
        <w:spacing w:after="80"/>
      </w:pPr>
      <w:r>
        <w:rPr>
          <w:sz w:val="20"/>
          <w:szCs w:val="20"/>
        </w:rPr>
        <w:t xml:space="preserve">2FA, recuperación de contraseña, verificación de email, ciclo de vida de cuentas automatizado.</w:t>
      </w:r>
    </w:p>
    <w:p>
      <w:pPr>
        <w:pStyle w:val="ListParagraph"/>
        <w:numPr>
          <w:ilvl w:val="0"/>
          <w:numId w:val="2"/>
        </w:numPr>
        <w:spacing w:after="80"/>
      </w:pPr>
      <w:r>
        <w:rPr>
          <w:sz w:val="20"/>
          <w:szCs w:val="20"/>
        </w:rPr>
        <w:t xml:space="preserve">Panel de administración: auditoría, errores, estado del sistema, búsqueda global, exportación CSV, difusión de avisos, suplantación de usuario para soporte.</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Con tanta superficie de producto, el riesgo no es "qué falta" sino "qué se rompe silenciosamente" sin tests — ver categoría Testing.</w:t>
      </w:r>
    </w:p>
    <w:p>
      <w:pPr>
        <w:pStyle w:val="Heading2"/>
        <w:spacing w:after="120" w:before="280"/>
      </w:pPr>
      <w:r>
        <w:t xml:space="preserve">Observabilidad — 8.0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Panel de Estado del Sistema con comprobaciones en vivo (BD, SMTP, Sentry, Redis, rate limiting, adopción de 2FA/email verificado).</w:t>
      </w:r>
    </w:p>
    <w:p>
      <w:pPr>
        <w:pStyle w:val="ListParagraph"/>
        <w:numPr>
          <w:ilvl w:val="0"/>
          <w:numId w:val="2"/>
        </w:numPr>
        <w:spacing w:after="80"/>
      </w:pPr>
      <w:r>
        <w:rPr>
          <w:sz w:val="20"/>
          <w:szCs w:val="20"/>
        </w:rPr>
        <w:t xml:space="preserve">Registro de errores no controlados con traza completa, filtrable por tipo/ruta/fecha — sustituto propio de un monitor de errores de terceros.</w:t>
      </w:r>
    </w:p>
    <w:p>
      <w:pPr>
        <w:pStyle w:val="ListParagraph"/>
        <w:numPr>
          <w:ilvl w:val="0"/>
          <w:numId w:val="2"/>
        </w:numPr>
        <w:spacing w:after="80"/>
      </w:pPr>
      <w:r>
        <w:rPr>
          <w:sz w:val="20"/>
          <w:szCs w:val="20"/>
        </w:rPr>
        <w:t xml:space="preserve">Registro de auditoría para acciones administrativas.</w:t>
      </w:r>
    </w:p>
    <w:p>
      <w:pPr>
        <w:pStyle w:val="ListParagraph"/>
        <w:numPr>
          <w:ilvl w:val="0"/>
          <w:numId w:val="2"/>
        </w:numPr>
        <w:spacing w:after="80"/>
      </w:pPr>
      <w:r>
        <w:rPr>
          <w:sz w:val="20"/>
          <w:szCs w:val="20"/>
        </w:rPr>
        <w:t xml:space="preserve">Nueva tarjeta de resumen del ciclo de vida de cuentas con botón de ejecución manual.</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Todo es de "tirar para ver" — no hay alertado activo (email/Slack) si el registro de errores se dispara; hay que entrar al panel para enterarse.</w:t>
      </w:r>
    </w:p>
    <w:p>
      <w:pPr>
        <w:pStyle w:val="ListParagraph"/>
        <w:numPr>
          <w:ilvl w:val="0"/>
          <w:numId w:val="2"/>
        </w:numPr>
        <w:spacing w:after="80"/>
      </w:pPr>
      <w:r>
        <w:rPr>
          <w:sz w:val="20"/>
          <w:szCs w:val="20"/>
        </w:rPr>
        <w:t xml:space="preserve">Sentry y Redis, aunque integrados, siguen apagados por configuración.</w:t>
      </w:r>
    </w:p>
    <w:p>
      <w:pPr>
        <w:pStyle w:val="Heading2"/>
        <w:spacing w:after="120" w:before="280"/>
      </w:pPr>
      <w:r>
        <w:t xml:space="preserve">Internacionalización (i18n) — 9.5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1899 claves con paridad exacta EN/ES, verificada con un script automatizado en cada tanda de cambios de toda esta sesión, sin una sola desviación.</w:t>
      </w:r>
    </w:p>
    <w:p>
      <w:pPr>
        <w:pStyle w:val="ListParagraph"/>
        <w:numPr>
          <w:ilvl w:val="0"/>
          <w:numId w:val="2"/>
        </w:numPr>
        <w:spacing w:after="80"/>
      </w:pPr>
      <w:r>
        <w:rPr>
          <w:sz w:val="20"/>
          <w:szCs w:val="20"/>
        </w:rPr>
        <w:t xml:space="preserve">Patrón de interpolación consistente en todo el proyecto ({{variable}}) aplicado incluso en los mensajes de error más nuevos.</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Los correos transaccionales más antiguos (restablecer contraseña, verificar email) siguen siendo solo en español; los 4 correos nuevos del ciclo de vida de cuentas ya son bilingües tras el ajuste de hoy.</w:t>
      </w:r>
    </w:p>
    <w:p>
      <w:pPr>
        <w:pStyle w:val="Heading2"/>
        <w:spacing w:after="120" w:before="280"/>
      </w:pPr>
      <w:r>
        <w:t xml:space="preserve">Testing — 5.0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26 tests de backend cubren login, 2FA, RBAC, contexto de organización, compras y catálogo público.</w:t>
      </w:r>
    </w:p>
    <w:p>
      <w:pPr>
        <w:pStyle w:val="ListParagraph"/>
        <w:numPr>
          <w:ilvl w:val="0"/>
          <w:numId w:val="2"/>
        </w:numPr>
        <w:spacing w:after="80"/>
      </w:pPr>
      <w:r>
        <w:rPr>
          <w:sz w:val="20"/>
          <w:szCs w:val="20"/>
        </w:rPr>
        <w:t xml:space="preserve">Batería de verificación manual disciplinada en cada cambio: import limpio, migraciones en ambos sentidos, ruff, tsc, eslint, build — ha evitado regresiones durante toda la sesión.</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La suite de backend no se puede ejecutar contra una base de datos real desde este entorno (sin red a Supabase) — solo se ha verificado por colección + revisión manual de la lógica.</w:t>
      </w:r>
    </w:p>
    <w:p>
      <w:pPr>
        <w:pStyle w:val="ListParagraph"/>
        <w:numPr>
          <w:ilvl w:val="0"/>
          <w:numId w:val="2"/>
        </w:numPr>
        <w:spacing w:after="80"/>
      </w:pPr>
      <w:r>
        <w:rPr>
          <w:sz w:val="20"/>
          <w:szCs w:val="20"/>
        </w:rPr>
        <w:t xml:space="preserve">Funciones grandes y recientes sin ningún test: etiquetas de catálogo, selector de planes, registro de errores, ciclo de vida de cuentas.</w:t>
      </w:r>
    </w:p>
    <w:p>
      <w:pPr>
        <w:pStyle w:val="ListParagraph"/>
        <w:numPr>
          <w:ilvl w:val="0"/>
          <w:numId w:val="2"/>
        </w:numPr>
        <w:spacing w:after="80"/>
      </w:pPr>
      <w:r>
        <w:rPr>
          <w:sz w:val="20"/>
          <w:szCs w:val="20"/>
        </w:rPr>
        <w:t xml:space="preserve">Frontend: cero tests automatizados — cualquier regresión de UI depende de que alguien la note a simple vista.</w:t>
      </w:r>
    </w:p>
    <w:p>
      <w:pPr>
        <w:pStyle w:val="Heading2"/>
        <w:spacing w:after="120" w:before="280"/>
      </w:pPr>
      <w:r>
        <w:t xml:space="preserve">Rendimiento — 6.5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Backend ajustado al volumen real: patrones documentados como "aceptable a esta escala" en vez de sobre-ingeniería prematura.</w:t>
      </w:r>
    </w:p>
    <w:p>
      <w:pPr>
        <w:pStyle w:val="ListParagraph"/>
        <w:numPr>
          <w:ilvl w:val="0"/>
          <w:numId w:val="2"/>
        </w:numPr>
        <w:spacing w:after="80"/>
      </w:pPr>
      <w:r>
        <w:rPr>
          <w:sz w:val="20"/>
          <w:szCs w:val="20"/>
        </w:rPr>
        <w:t xml:space="preserve">Conexión a Supabase configurada correctamente para el pooler de transacciones (prepare_threshold desactivado) — detalle fácil de pasar por alto que evita errores intermitentes.</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Bundle único de ~1.5MB / 400KB comprimido, sin lazy-loading por ruta — con 42 páginas ya construidas, es buen momento para dividir el código antes de que sea más costoso.</w:t>
      </w:r>
    </w:p>
    <w:p>
      <w:pPr>
        <w:pStyle w:val="ListParagraph"/>
        <w:numPr>
          <w:ilvl w:val="0"/>
          <w:numId w:val="2"/>
        </w:numPr>
        <w:spacing w:after="80"/>
      </w:pPr>
      <w:r>
        <w:rPr>
          <w:sz w:val="20"/>
          <w:szCs w:val="20"/>
        </w:rPr>
        <w:t xml:space="preserve">Planificador de tareas y limitador de peticiones en un solo proceso — a vigilar si se despliega con varias réplicas.</w:t>
      </w:r>
    </w:p>
    <w:p>
      <w:pPr>
        <w:pStyle w:val="Heading2"/>
        <w:spacing w:after="120" w:before="280"/>
      </w:pPr>
      <w:r>
        <w:t xml:space="preserve">Preparación para producción — 7.5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.env.example completo y bien comentado; JWT_SECRET_KEY y contraseñas nunca con valores reales en el repo.</w:t>
      </w:r>
    </w:p>
    <w:p>
      <w:pPr>
        <w:pStyle w:val="ListParagraph"/>
        <w:numPr>
          <w:ilvl w:val="0"/>
          <w:numId w:val="2"/>
        </w:numPr>
        <w:spacing w:after="80"/>
      </w:pPr>
      <w:r>
        <w:rPr>
          <w:sz w:val="20"/>
          <w:szCs w:val="20"/>
        </w:rPr>
        <w:t xml:space="preserve">Disciplina de migraciones fuerte: cada una comprobada por colisión de revisión y verificada en ambos sentidos antes de aplicarse.</w:t>
      </w:r>
    </w:p>
    <w:p>
      <w:pPr>
        <w:pStyle w:val="ListParagraph"/>
        <w:numPr>
          <w:ilvl w:val="0"/>
          <w:numId w:val="2"/>
        </w:numPr>
        <w:spacing w:after="80"/>
      </w:pPr>
      <w:r>
        <w:rPr>
          <w:sz w:val="20"/>
          <w:szCs w:val="20"/>
        </w:rPr>
        <w:t xml:space="preserve">Interruptores de apagado explícitos para funciones nuevas (ACCOUNT_LIFECYCLE_SWEEP_ENABLED, SENTRY_DSN vacío, REDIS_URL vacío) — se puede desplegar sin activar todo de golpe.</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docs/DEPLOYMENT.md tiene 27 líneas y no menciona SMTP, Sentry, Redis, 2FA ni el nuevo planificador — quien despliegue desde cero no lo sabrá por la documentación.</w:t>
      </w:r>
    </w:p>
    <w:p>
      <w:pPr>
        <w:pStyle w:val="ListParagraph"/>
        <w:numPr>
          <w:ilvl w:val="0"/>
          <w:numId w:val="2"/>
        </w:numPr>
        <w:spacing w:after="80"/>
      </w:pPr>
      <w:r>
        <w:rPr>
          <w:sz w:val="20"/>
          <w:szCs w:val="20"/>
        </w:rPr>
        <w:t xml:space="preserve">No se ha encontrado configuración de CI/CD en esta copia local (puede existir en el GitHub real, no visible desde aquí) — conviene confirmarlo.</w:t>
      </w:r>
    </w:p>
    <w:p>
      <w:pPr>
        <w:pStyle w:val="Heading2"/>
        <w:spacing w:after="120" w:before="280"/>
      </w:pPr>
      <w:r>
        <w:t xml:space="preserve">UX / Diseño — 8.5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Sistema de diseño "premium" consistente (glassmorphism, degradados, chips con icono de check) aplicado por igual en el panel de admin y el sitio público.</w:t>
      </w:r>
    </w:p>
    <w:p>
      <w:pPr>
        <w:pStyle w:val="ListParagraph"/>
        <w:numPr>
          <w:ilvl w:val="0"/>
          <w:numId w:val="2"/>
        </w:numPr>
        <w:spacing w:after="80"/>
      </w:pPr>
      <w:r>
        <w:rPr>
          <w:sz w:val="20"/>
          <w:szCs w:val="20"/>
        </w:rPr>
        <w:t xml:space="preserve">Componentes reutilizados con criterio en vez de reinventados en cada pantalla nueva (por ejemplo, el mismo selector de catálogo en la creación y edición de planes).</w:t>
      </w:r>
    </w:p>
    <w:p>
      <w:pPr>
        <w:pStyle w:val="ListParagraph"/>
        <w:numPr>
          <w:ilvl w:val="0"/>
          <w:numId w:val="2"/>
        </w:numPr>
        <w:spacing w:after="80"/>
      </w:pPr>
      <w:r>
        <w:rPr>
          <w:sz w:val="20"/>
          <w:szCs w:val="20"/>
        </w:rPr>
        <w:t xml:space="preserve">Atención a los detalles de interacción: contadores de selección, estados vacíos, indicadores de carga consistentes.</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Evaluación basada en revisión de código, no en captura visual real — recomendable una revisión visual puntual antes de lanzar.</w:t>
      </w:r>
    </w:p>
    <w:p>
      <w:pPr>
        <w:pStyle w:val="Heading2"/>
        <w:spacing w:after="120" w:before="280"/>
      </w:pPr>
      <w:r>
        <w:t xml:space="preserve">Documentación — 6.0 / 10</w:t>
      </w:r>
    </w:p>
    <w:p>
      <w:pPr>
        <w:spacing w:after="60"/>
      </w:pPr>
      <w:r>
        <w:rPr>
          <w:b/>
          <w:bCs/>
          <w:color w:val="15803D"/>
          <w:sz w:val="20"/>
          <w:szCs w:val="20"/>
        </w:rPr>
        <w:t xml:space="preserve">Fortalezas</w:t>
      </w:r>
    </w:p>
    <w:p>
      <w:pPr>
        <w:pStyle w:val="ListParagraph"/>
        <w:numPr>
          <w:ilvl w:val="0"/>
          <w:numId w:val="2"/>
        </w:numPr>
        <w:spacing w:after="80"/>
      </w:pPr>
      <w:r>
        <w:rPr>
          <w:sz w:val="20"/>
          <w:szCs w:val="20"/>
        </w:rPr>
        <w:t xml:space="preserve">Carpeta docs/ con notas de despliegue, base de datos y arquitectura RBAC (esta última con buen nivel de detalle, 101 líneas).</w:t>
      </w:r>
    </w:p>
    <w:p>
      <w:pPr>
        <w:pStyle w:val="ListParagraph"/>
        <w:numPr>
          <w:ilvl w:val="0"/>
          <w:numId w:val="2"/>
        </w:numPr>
        <w:spacing w:after="80"/>
      </w:pPr>
      <w:r>
        <w:rPr>
          <w:sz w:val="20"/>
          <w:szCs w:val="20"/>
        </w:rPr>
        <w:t xml:space="preserve">READMEs por paquete (backend, frontend, scripts).</w:t>
      </w:r>
    </w:p>
    <w:p>
      <w:pPr>
        <w:spacing w:after="60" w:before="100"/>
      </w:pPr>
      <w:r>
        <w:rPr>
          <w:b/>
          <w:bCs/>
          <w:color w:val="B45309"/>
          <w:sz w:val="20"/>
          <w:szCs w:val="20"/>
        </w:rPr>
        <w:t xml:space="preserve">Áreas de mejora</w:t>
      </w:r>
    </w:p>
    <w:p>
      <w:pPr>
        <w:pStyle w:val="ListParagraph"/>
        <w:numPr>
          <w:ilvl w:val="0"/>
          <w:numId w:val="2"/>
        </w:numPr>
        <w:spacing w:after="80"/>
      </w:pPr>
      <w:r>
        <w:rPr>
          <w:sz w:val="20"/>
          <w:szCs w:val="20"/>
        </w:rPr>
        <w:t xml:space="preserve">Ninguno de los documentos existentes se ha actualizado para reflejar lo añadido en esta sesión (2FA, ciclo de vida de cuentas, registro de errores, SMTP, Sentry, Redis).</w:t>
      </w:r>
    </w:p>
    <w:p>
      <w:pPr>
        <w:pStyle w:val="ListParagraph"/>
        <w:numPr>
          <w:ilvl w:val="0"/>
          <w:numId w:val="2"/>
        </w:numPr>
        <w:spacing w:after="80"/>
      </w:pPr>
      <w:r>
        <w:rPr>
          <w:sz w:val="20"/>
          <w:szCs w:val="20"/>
        </w:rPr>
        <w:t xml:space="preserve">No existe un registro de decisiones de arquitectura fuera de esta conversación — vale la pena volcar los "porqués" más importantes a docs/ antes de que se pierdan.</w:t>
      </w:r>
    </w:p>
    <w:p>
      <w:pPr>
        <w:pStyle w:val="Heading1"/>
        <w:spacing w:after="160" w:before="360"/>
      </w:pPr>
      <w:r>
        <w:t xml:space="preserve">Recomendaciones priorizadas</w:t>
      </w:r>
    </w:p>
    <w:p>
      <w:pPr>
        <w:pStyle w:val="Heading2"/>
        <w:spacing w:after="120" w:before="280"/>
      </w:pPr>
      <w:r>
        <w:t xml:space="preserve">Esta semana (bajo esfuerzo, alto impacto)</w:t>
      </w:r>
    </w:p>
    <w:p>
      <w:pPr>
        <w:pStyle w:val="ListParagraph"/>
        <w:numPr>
          <w:ilvl w:val="0"/>
          <w:numId w:val="2"/>
        </w:numPr>
        <w:spacing w:after="80"/>
      </w:pPr>
      <w:r>
        <w:rPr>
          <w:sz w:val="20"/>
          <w:szCs w:val="20"/>
        </w:rPr>
        <w:t xml:space="preserve">Añadir cabeceras de seguridad HTTP (HSTS, X-Content-Type-Options, X-Frame-Options) — un middleware, una tarde.</w:t>
      </w:r>
    </w:p>
    <w:p>
      <w:pPr>
        <w:pStyle w:val="ListParagraph"/>
        <w:numPr>
          <w:ilvl w:val="0"/>
          <w:numId w:val="2"/>
        </w:numPr>
        <w:spacing w:after="80"/>
      </w:pPr>
      <w:r>
        <w:rPr>
          <w:sz w:val="20"/>
          <w:szCs w:val="20"/>
        </w:rPr>
        <w:t xml:space="preserve">Actualizar docs/DEPLOYMENT.md con las variables nuevas (SMTP, SENTRY_DSN, REDIS_URL, ACCOUNT_LIFECYCLE_*) y el paso de instalar apscheduler.</w:t>
      </w:r>
    </w:p>
    <w:p>
      <w:pPr>
        <w:pStyle w:val="ListParagraph"/>
        <w:numPr>
          <w:ilvl w:val="0"/>
          <w:numId w:val="2"/>
        </w:numPr>
        <w:spacing w:after="80"/>
      </w:pPr>
      <w:r>
        <w:rPr>
          <w:sz w:val="20"/>
          <w:szCs w:val="20"/>
        </w:rPr>
        <w:t xml:space="preserve">Configurar Sentry (tier gratuito) ahora que hay usuarios reales entrando — ya está integrado, solo falta el DSN.</w:t>
      </w:r>
    </w:p>
    <w:p>
      <w:pPr>
        <w:pStyle w:val="ListParagraph"/>
        <w:numPr>
          <w:ilvl w:val="0"/>
          <w:numId w:val="2"/>
        </w:numPr>
        <w:spacing w:after="80"/>
      </w:pPr>
      <w:r>
        <w:rPr>
          <w:sz w:val="20"/>
          <w:szCs w:val="20"/>
        </w:rPr>
        <w:t xml:space="preserve">Confirmar en el repositorio real de GitHub si existe CI (tests/lint automáticos en cada push); si no, es la protección más barata contra regresiones.</w:t>
      </w:r>
    </w:p>
    <w:p>
      <w:pPr>
        <w:pStyle w:val="Heading2"/>
        <w:spacing w:after="120" w:before="280"/>
      </w:pPr>
      <w:r>
        <w:t xml:space="preserve">Próximo trimestre (esfuerzo medio-alto, impacto estructural)</w:t>
      </w:r>
    </w:p>
    <w:p>
      <w:pPr>
        <w:pStyle w:val="ListParagraph"/>
        <w:numPr>
          <w:ilvl w:val="0"/>
          <w:numId w:val="2"/>
        </w:numPr>
        <w:spacing w:after="80"/>
      </w:pPr>
      <w:r>
        <w:rPr>
          <w:sz w:val="20"/>
          <w:szCs w:val="20"/>
        </w:rPr>
        <w:t xml:space="preserve">Introducir carga diferida por ruta (React.lazy + code splitting) antes de que el bundle único siga creciendo.</w:t>
      </w:r>
    </w:p>
    <w:p>
      <w:pPr>
        <w:pStyle w:val="ListParagraph"/>
        <w:numPr>
          <w:ilvl w:val="0"/>
          <w:numId w:val="2"/>
        </w:numPr>
        <w:spacing w:after="80"/>
      </w:pPr>
      <w:r>
        <w:rPr>
          <w:sz w:val="20"/>
          <w:szCs w:val="20"/>
        </w:rPr>
        <w:t xml:space="preserve">Escribir tests para las funciones construidas en las últimas sesiones (catálogo con etiquetas, selector de planes, ciclo de vida de cuentas) — son las que menos red de seguridad tienen.</w:t>
      </w:r>
    </w:p>
    <w:p>
      <w:pPr>
        <w:pStyle w:val="ListParagraph"/>
        <w:numPr>
          <w:ilvl w:val="0"/>
          <w:numId w:val="2"/>
        </w:numPr>
        <w:spacing w:after="80"/>
      </w:pPr>
      <w:r>
        <w:rPr>
          <w:sz w:val="20"/>
          <w:szCs w:val="20"/>
        </w:rPr>
        <w:t xml:space="preserve">Configurar Redis si se prevé más de una instancia del backend (el rate limiter y el planificador de tareas dependen de que hoy solo haya una).</w:t>
      </w:r>
    </w:p>
    <w:p>
      <w:pPr>
        <w:pStyle w:val="ListParagraph"/>
        <w:numPr>
          <w:ilvl w:val="0"/>
          <w:numId w:val="2"/>
        </w:numPr>
        <w:spacing w:after="80"/>
      </w:pPr>
      <w:r>
        <w:rPr>
          <w:sz w:val="20"/>
          <w:szCs w:val="20"/>
        </w:rPr>
        <w:t xml:space="preserve">Auditoría de accesibilidad con revisión manual (lector de pantalla, navegación por teclado) más allá del recuento automático de aria-label.</w:t>
      </w:r>
    </w:p>
    <w:p>
      <w:pPr>
        <w:pStyle w:val="ListParagraph"/>
        <w:numPr>
          <w:ilvl w:val="0"/>
          <w:numId w:val="2"/>
        </w:numPr>
        <w:spacing w:after="80"/>
      </w:pPr>
      <w:r>
        <w:rPr>
          <w:sz w:val="20"/>
          <w:szCs w:val="20"/>
        </w:rPr>
        <w:t xml:space="preserve">Definir un mecanismo de alertado (email/Slack) cuando el registro de errores supere un umbral, en vez de depender de que alguien mire el panel.</w:t>
      </w:r>
    </w:p>
    <w:p>
      <w:pPr>
        <w:pStyle w:val="Heading1"/>
        <w:spacing w:after="160" w:before="360"/>
      </w:pPr>
      <w:r>
        <w:t xml:space="preserve">Nota metodológica</w:t>
      </w:r>
    </w:p>
    <w:p>
      <w:pPr>
        <w:spacing w:after="160"/>
      </w:pPr>
      <w:r>
        <w:rPr>
          <w:i/>
          <w:iCs/>
          <w:color w:val="64748B"/>
          <w:sz w:val="18"/>
          <w:szCs w:val="18"/>
        </w:rPr>
        <w:t xml:space="preserve">Esta evaluación es una revisión estática del código en su estado actual (recuento de módulos, migraciones, tests, dependencias, configuración de seguridad, tamaño de bundle, cobertura de i18n) más el conocimiento acumulado de todo lo construido en esta sesión de trabajo. No incluye pruebas de penetración, pruebas de carga, ni una auditoría visual/de accesibilidad con herramientas dedicadas — donde la puntuación depende de algo que no se pudo verificar directamente (por ejemplo, si los tests de backend pasan contra una base de datos real, o si existe CI en el repositorio remoto), se ha señalado explícitamente en vez de asumirlo.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2026-08-12T16:18:53.487Z</dcterms:created>
  <dcterms:modified xsi:type="dcterms:W3CDTF">2026-08-12T16:18:53.487Z</dcterms:modified>
</cp:coreProperties>
</file>

<file path=docProps/custom.xml><?xml version="1.0" encoding="utf-8"?>
<Properties xmlns="http://schemas.openxmlformats.org/officeDocument/2006/custom-properties" xmlns:vt="http://schemas.openxmlformats.org/officeDocument/2006/docPropsVTypes"/>
</file>