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6F5E"/>
          <w:sz w:val="22"/>
          <w:szCs w:val="22"/>
        </w:rPr>
        <w:t xml:space="preserve">ARCE SABIN ENGINEERING</w:t>
      </w:r>
    </w:p>
    <w:p>
      <w:pPr>
        <w:spacing w:after="60"/>
      </w:pPr>
      <w:r>
        <w:rPr>
          <w:b/>
          <w:bCs/>
          <w:color w:val="1B3A5C"/>
          <w:sz w:val="40"/>
          <w:szCs w:val="40"/>
        </w:rPr>
        <w:t xml:space="preserve">Evaluación de la plataforma ASE — seguimiento</w:t>
      </w:r>
    </w:p>
    <w:p>
      <w:pPr>
        <w:spacing w:after="260"/>
      </w:pPr>
      <w:r>
        <w:rPr>
          <w:i/>
          <w:iCs/>
          <w:color w:val="666666"/>
          <w:sz w:val="20"/>
          <w:szCs w:val="20"/>
        </w:rPr>
        <w:t xml:space="preserve">13 de agosto de 2026 · Comparativa tras implementar los 8 puntos de la hoja de ruta acordada (blog, categorías de catálogo, cabeceras de seguridad, code splitting, tests, y documentación)</w:t>
      </w:r>
    </w:p>
    <w:p>
      <w:pPr>
        <w:spacing w:after="240"/>
      </w:pPr>
      <w:r>
        <w:rPr>
          <w:b/>
          <w:bCs/>
          <w:sz w:val="26"/>
          <w:szCs w:val="26"/>
        </w:rPr>
        <w:t xml:space="preserve">Puntuación global: </w:t>
      </w:r>
      <w:r>
        <w:rPr>
          <w:color w:val="666666"/>
          <w:sz w:val="26"/>
          <w:szCs w:val="26"/>
        </w:rPr>
        <w:t xml:space="preserve">7.6 → </w:t>
      </w:r>
      <w:r>
        <w:rPr>
          <w:b/>
          <w:bCs/>
          <w:color w:val="2E6F5E"/>
          <w:sz w:val="26"/>
          <w:szCs w:val="26"/>
        </w:rPr>
        <w:t xml:space="preserve">8.5 / 10</w:t>
      </w:r>
      <w:r>
        <w:rPr>
          <w:b/>
          <w:bCs/>
          <w:color w:val="1B6B3C"/>
          <w:sz w:val="18"/>
          <w:szCs w:val="18"/>
        </w:rPr>
        <w:t xml:space="preserve"> (+0.8)</w:t>
      </w:r>
      <w:r>
        <w:rPr>
          <w:i/>
          <w:iCs/>
          <w:color w:val="666666"/>
          <w:sz w:val="20"/>
          <w:szCs w:val="20"/>
        </w:rPr>
        <w:t xml:space="preserve">  (media simple de las 11 categorías, sin ponderar)</w:t>
      </w:r>
    </w:p>
    <w:p>
      <w:pPr>
        <w:pStyle w:val="Heading1"/>
        <w:spacing w:after="140" w:before="280"/>
      </w:pPr>
      <w:r>
        <w:t xml:space="preserve">Resumen ejecutivo</w:t>
      </w:r>
    </w:p>
    <w:p>
      <w:pPr>
        <w:spacing w:after="120"/>
      </w:pPr>
      <w:r>
        <w:t xml:space="preserve">La evaluación anterior (12 de agosto) cerraba con una nota global de 7.6/10 y señalaba dos huecos claros por encima del resto: testing (5.0) y documentación (6.0), además de una lista de recomendaciones priorizadas para "esta semana" — cabeceras de seguridad HTTP, actualizar DEPLOYMENT.md, y confirmar CI. En el intervalo se implementaron, en el orden acordado, los 8 puntos: blog público con gestión desde admin, categorías de catálogo dinámicas con cuestionario de campos, cabeceras de seguridad HTTP, code splitting del frontend, una base real de tests automatizados (backend y frontend), reescritura de docs/DEPLOYMENT.md, actualización del resto de la documentación, y un registro de decisiones de arquitectura (ADR).</w:t>
      </w:r>
    </w:p>
    <w:p>
      <w:pPr>
        <w:spacing w:after="120"/>
      </w:pPr>
      <w:r>
        <w:t xml:space="preserve">La nota global sube a 8.5/10. El salto no es parejo: Documentación (6.0→9.0) y Testing (5.0→7.0) — las dos categorías peor puntuadas — son las que más avanzan, precisamente porque eran el objetivo explícito de la mitad de la hoja de ruta. Rendimiento (6.5→8.0) y Preparación para producción (7.5→8.5) también mejoran de forma clara gracias al code splitting y a la reescritura de DEPLOYMENT.md respectivamente.</w:t>
      </w:r>
    </w:p>
    <w:p>
      <w:pPr>
        <w:spacing w:after="120"/>
      </w:pPr>
      <w:r>
        <w:t xml:space="preserve">Esta revisión también sacó a la luz dos hallazgos que no estaban documentados antes: (1) ya existía una suite de tests de backend previa a esta sesión, con un enfoque de aislamiento distinto al de la nueva (corre contra la base de datos real en vez de una desechable) — se confirmó que la nueva suite no la rompe, pero es una inconsistencia real que conviene resolver; y (2) una ejecución completa de ESLint sobre todo el proyecto —no solo sobre los archivos tocados en cada sesión— revela 22 errores en 14 archivos preexistentes, ninguno relacionado con el trabajo de esta tanda pero tampoco corregido. Ambos se han documentado explícitamente (ADR 0010 y en el detalle de Arquitectura frontend) en vez de omitirse.</w:t>
      </w:r>
    </w:p>
    <w:p>
      <w:pPr>
        <w:spacing w:after="120"/>
      </w:pPr>
      <w:r>
        <w:t xml:space="preserve">El perfil de riesgo de cara a producción cambia de forma correspondiente: los dos huecos "fáciles de cerrar" (cabeceras de seguridad, documentación de despliegue) ya no son un riesgo. Lo que queda pendiente es más estructural: activar Sentry/Redis (decisión operativa, no de código), confirmar si existe CI/CD real, consolidar las dos suites de tests de backend en una sola estrategia, y una pasada de limpieza de ESLint.</w:t>
      </w:r>
    </w:p>
    <w:p>
      <w:pPr>
        <w:pStyle w:val="Heading1"/>
        <w:spacing w:after="140" w:before="280"/>
      </w:pPr>
      <w:r>
        <w:t xml:space="preserve">Puntuación por categoría</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400"/>
      </w:tblGrid>
      <w:tr>
        <w:trPr>
          <w:tblHeader/>
        </w:trPr>
        <w:tc>
          <w:tcPr>
            <w:tcW w:type="dxa" w:w="4000"/>
            <w:shd w:fill="1B3A5C" w:val="clear"/>
            <w:tcMar>
              <w:top w:type="dxa" w:w="100"/>
              <w:left w:type="dxa" w:w="120"/>
              <w:bottom w:type="dxa" w:w="100"/>
              <w:right w:type="dxa" w:w="120"/>
            </w:tcMar>
          </w:tcPr>
          <w:p>
            <w:r>
              <w:rPr>
                <w:b/>
                <w:bCs/>
                <w:color w:val="FFFFFF"/>
                <w:sz w:val="20"/>
                <w:szCs w:val="20"/>
              </w:rPr>
              <w:t xml:space="preserve">Categoría</w:t>
            </w:r>
          </w:p>
        </w:tc>
        <w:tc>
          <w:tcPr>
            <w:tcW w:type="dxa" w:w="1400"/>
            <w:shd w:fill="1B3A5C" w:val="clear"/>
            <w:tcMar>
              <w:top w:type="dxa" w:w="100"/>
              <w:left w:type="dxa" w:w="120"/>
              <w:bottom w:type="dxa" w:w="100"/>
              <w:right w:type="dxa" w:w="120"/>
            </w:tcMar>
          </w:tcPr>
          <w:p>
            <w:r>
              <w:rPr>
                <w:b/>
                <w:bCs/>
                <w:color w:val="FFFFFF"/>
                <w:sz w:val="20"/>
                <w:szCs w:val="20"/>
              </w:rPr>
              <w:t xml:space="preserve">Antes</w:t>
            </w:r>
          </w:p>
        </w:tc>
        <w:tc>
          <w:tcPr>
            <w:tcW w:type="dxa" w:w="1400"/>
            <w:shd w:fill="1B3A5C" w:val="clear"/>
            <w:tcMar>
              <w:top w:type="dxa" w:w="100"/>
              <w:left w:type="dxa" w:w="120"/>
              <w:bottom w:type="dxa" w:w="100"/>
              <w:right w:type="dxa" w:w="120"/>
            </w:tcMar>
          </w:tcPr>
          <w:p>
            <w:r>
              <w:rPr>
                <w:b/>
                <w:bCs/>
                <w:color w:val="FFFFFF"/>
                <w:sz w:val="20"/>
                <w:szCs w:val="20"/>
              </w:rPr>
              <w:t xml:space="preserve">Ahora</w:t>
            </w:r>
          </w:p>
        </w:tc>
        <w:tc>
          <w:tcPr>
            <w:tcW w:type="dxa" w:w="1400"/>
            <w:shd w:fill="1B3A5C" w:val="clear"/>
            <w:tcMar>
              <w:top w:type="dxa" w:w="100"/>
              <w:left w:type="dxa" w:w="120"/>
              <w:bottom w:type="dxa" w:w="100"/>
              <w:right w:type="dxa" w:w="120"/>
            </w:tcMar>
          </w:tcPr>
          <w:p>
            <w:r>
              <w:rPr>
                <w:b/>
                <w:bCs/>
                <w:color w:val="FFFFFF"/>
                <w:sz w:val="20"/>
                <w:szCs w:val="20"/>
              </w:rPr>
              <w:t xml:space="preserve">Cambio</w:t>
            </w:r>
          </w:p>
        </w:tc>
      </w:tr>
      <w:tr>
        <w:tc>
          <w:tcPr>
            <w:tcW w:type="dxa" w:w="4000"/>
            <w:tcMar>
              <w:top w:type="dxa" w:w="90"/>
              <w:left w:type="dxa" w:w="120"/>
              <w:bottom w:type="dxa" w:w="90"/>
              <w:right w:type="dxa" w:w="120"/>
            </w:tcMar>
          </w:tcPr>
          <w:p>
            <w:r>
              <w:rPr>
                <w:b/>
                <w:bCs/>
                <w:sz w:val="20"/>
                <w:szCs w:val="20"/>
              </w:rPr>
              <w:t xml:space="preserve">Seguridad</w:t>
            </w:r>
          </w:p>
        </w:tc>
        <w:tc>
          <w:tcPr>
            <w:tcW w:type="dxa" w:w="1400"/>
            <w:tcMar>
              <w:top w:type="dxa" w:w="90"/>
              <w:left w:type="dxa" w:w="120"/>
              <w:bottom w:type="dxa" w:w="90"/>
              <w:right w:type="dxa" w:w="120"/>
            </w:tcMar>
          </w:tcPr>
          <w:p>
            <w:pPr>
              <w:jc w:val="center"/>
            </w:pPr>
            <w:r>
              <w:rPr>
                <w:color w:val="666666"/>
                <w:sz w:val="20"/>
                <w:szCs w:val="20"/>
              </w:rPr>
              <w:t xml:space="preserve">8.0</w:t>
            </w:r>
          </w:p>
        </w:tc>
        <w:tc>
          <w:tcPr>
            <w:tcW w:type="dxa" w:w="1400"/>
            <w:tcMar>
              <w:top w:type="dxa" w:w="90"/>
              <w:left w:type="dxa" w:w="120"/>
              <w:bottom w:type="dxa" w:w="90"/>
              <w:right w:type="dxa" w:w="120"/>
            </w:tcMar>
          </w:tcPr>
          <w:p>
            <w:pPr>
              <w:jc w:val="center"/>
            </w:pPr>
            <w:r>
              <w:rPr>
                <w:b/>
                <w:bCs/>
                <w:color w:val="2E6F5E"/>
                <w:sz w:val="20"/>
                <w:szCs w:val="20"/>
              </w:rPr>
              <w:t xml:space="preserve">8.5</w:t>
            </w:r>
          </w:p>
        </w:tc>
        <w:tc>
          <w:tcPr>
            <w:tcW w:type="dxa" w:w="1400"/>
            <w:tcMar>
              <w:top w:type="dxa" w:w="90"/>
              <w:left w:type="dxa" w:w="120"/>
              <w:bottom w:type="dxa" w:w="90"/>
              <w:right w:type="dxa" w:w="120"/>
            </w:tcMar>
          </w:tcPr>
          <w:p>
            <w:pPr>
              <w:jc w:val="center"/>
            </w:pPr>
            <w:r>
              <w:rPr>
                <w:b/>
                <w:bCs/>
                <w:color w:val="1B6B3C"/>
                <w:sz w:val="18"/>
                <w:szCs w:val="18"/>
              </w:rPr>
              <w:t xml:space="preserve"> (+0.5)</w:t>
            </w:r>
          </w:p>
        </w:tc>
      </w:tr>
      <w:tr>
        <w:tc>
          <w:tcPr>
            <w:tcW w:type="dxa" w:w="4000"/>
            <w:tcMar>
              <w:top w:type="dxa" w:w="90"/>
              <w:left w:type="dxa" w:w="120"/>
              <w:bottom w:type="dxa" w:w="90"/>
              <w:right w:type="dxa" w:w="120"/>
            </w:tcMar>
          </w:tcPr>
          <w:p>
            <w:r>
              <w:rPr>
                <w:b/>
                <w:bCs/>
                <w:sz w:val="20"/>
                <w:szCs w:val="20"/>
              </w:rPr>
              <w:t xml:space="preserve">Arquitectura backend</w:t>
            </w:r>
          </w:p>
        </w:tc>
        <w:tc>
          <w:tcPr>
            <w:tcW w:type="dxa" w:w="1400"/>
            <w:tcMar>
              <w:top w:type="dxa" w:w="90"/>
              <w:left w:type="dxa" w:w="120"/>
              <w:bottom w:type="dxa" w:w="90"/>
              <w:right w:type="dxa" w:w="120"/>
            </w:tcMar>
          </w:tcPr>
          <w:p>
            <w:pPr>
              <w:jc w:val="center"/>
            </w:pPr>
            <w:r>
              <w:rPr>
                <w:color w:val="666666"/>
                <w:sz w:val="20"/>
                <w:szCs w:val="20"/>
              </w:rPr>
              <w:t xml:space="preserve">8.5</w:t>
            </w:r>
          </w:p>
        </w:tc>
        <w:tc>
          <w:tcPr>
            <w:tcW w:type="dxa" w:w="1400"/>
            <w:tcMar>
              <w:top w:type="dxa" w:w="90"/>
              <w:left w:type="dxa" w:w="120"/>
              <w:bottom w:type="dxa" w:w="90"/>
              <w:right w:type="dxa" w:w="120"/>
            </w:tcMar>
          </w:tcPr>
          <w:p>
            <w:pPr>
              <w:jc w:val="center"/>
            </w:pPr>
            <w:r>
              <w:rPr>
                <w:b/>
                <w:bCs/>
                <w:color w:val="2E6F5E"/>
                <w:sz w:val="20"/>
                <w:szCs w:val="20"/>
              </w:rPr>
              <w:t xml:space="preserve">8.5</w:t>
            </w:r>
          </w:p>
        </w:tc>
        <w:tc>
          <w:tcPr>
            <w:tcW w:type="dxa" w:w="1400"/>
            <w:tcMar>
              <w:top w:type="dxa" w:w="90"/>
              <w:left w:type="dxa" w:w="120"/>
              <w:bottom w:type="dxa" w:w="90"/>
              <w:right w:type="dxa" w:w="120"/>
            </w:tcMar>
          </w:tcPr>
          <w:p>
            <w:pPr>
              <w:jc w:val="center"/>
            </w:pPr>
            <w:r>
              <w:rPr>
                <w:i/>
                <w:iCs/>
                <w:color w:val="666666"/>
                <w:sz w:val="18"/>
                <w:szCs w:val="18"/>
              </w:rPr>
              <w:t xml:space="preserve"> (=)</w:t>
            </w:r>
          </w:p>
        </w:tc>
      </w:tr>
      <w:tr>
        <w:tc>
          <w:tcPr>
            <w:tcW w:type="dxa" w:w="4000"/>
            <w:tcMar>
              <w:top w:type="dxa" w:w="90"/>
              <w:left w:type="dxa" w:w="120"/>
              <w:bottom w:type="dxa" w:w="90"/>
              <w:right w:type="dxa" w:w="120"/>
            </w:tcMar>
          </w:tcPr>
          <w:p>
            <w:r>
              <w:rPr>
                <w:b/>
                <w:bCs/>
                <w:sz w:val="20"/>
                <w:szCs w:val="20"/>
              </w:rPr>
              <w:t xml:space="preserve">Arquitectura frontend</w:t>
            </w:r>
          </w:p>
        </w:tc>
        <w:tc>
          <w:tcPr>
            <w:tcW w:type="dxa" w:w="1400"/>
            <w:tcMar>
              <w:top w:type="dxa" w:w="90"/>
              <w:left w:type="dxa" w:w="120"/>
              <w:bottom w:type="dxa" w:w="90"/>
              <w:right w:type="dxa" w:w="120"/>
            </w:tcMar>
          </w:tcPr>
          <w:p>
            <w:pPr>
              <w:jc w:val="center"/>
            </w:pPr>
            <w:r>
              <w:rPr>
                <w:color w:val="666666"/>
                <w:sz w:val="20"/>
                <w:szCs w:val="20"/>
              </w:rPr>
              <w:t xml:space="preserve">7.5</w:t>
            </w:r>
          </w:p>
        </w:tc>
        <w:tc>
          <w:tcPr>
            <w:tcW w:type="dxa" w:w="1400"/>
            <w:tcMar>
              <w:top w:type="dxa" w:w="90"/>
              <w:left w:type="dxa" w:w="120"/>
              <w:bottom w:type="dxa" w:w="90"/>
              <w:right w:type="dxa" w:w="120"/>
            </w:tcMar>
          </w:tcPr>
          <w:p>
            <w:pPr>
              <w:jc w:val="center"/>
            </w:pPr>
            <w:r>
              <w:rPr>
                <w:b/>
                <w:bCs/>
                <w:color w:val="2E6F5E"/>
                <w:sz w:val="20"/>
                <w:szCs w:val="20"/>
              </w:rPr>
              <w:t xml:space="preserve">8.3</w:t>
            </w:r>
          </w:p>
        </w:tc>
        <w:tc>
          <w:tcPr>
            <w:tcW w:type="dxa" w:w="1400"/>
            <w:tcMar>
              <w:top w:type="dxa" w:w="90"/>
              <w:left w:type="dxa" w:w="120"/>
              <w:bottom w:type="dxa" w:w="90"/>
              <w:right w:type="dxa" w:w="120"/>
            </w:tcMar>
          </w:tcPr>
          <w:p>
            <w:pPr>
              <w:jc w:val="center"/>
            </w:pPr>
            <w:r>
              <w:rPr>
                <w:b/>
                <w:bCs/>
                <w:color w:val="1B6B3C"/>
                <w:sz w:val="18"/>
                <w:szCs w:val="18"/>
              </w:rPr>
              <w:t xml:space="preserve"> (+0.8)</w:t>
            </w:r>
          </w:p>
        </w:tc>
      </w:tr>
      <w:tr>
        <w:tc>
          <w:tcPr>
            <w:tcW w:type="dxa" w:w="4000"/>
            <w:tcMar>
              <w:top w:type="dxa" w:w="90"/>
              <w:left w:type="dxa" w:w="120"/>
              <w:bottom w:type="dxa" w:w="90"/>
              <w:right w:type="dxa" w:w="120"/>
            </w:tcMar>
          </w:tcPr>
          <w:p>
            <w:r>
              <w:rPr>
                <w:b/>
                <w:bCs/>
                <w:sz w:val="20"/>
                <w:szCs w:val="20"/>
              </w:rPr>
              <w:t xml:space="preserve">Completitud funcional</w:t>
            </w:r>
          </w:p>
        </w:tc>
        <w:tc>
          <w:tcPr>
            <w:tcW w:type="dxa" w:w="1400"/>
            <w:tcMar>
              <w:top w:type="dxa" w:w="90"/>
              <w:left w:type="dxa" w:w="120"/>
              <w:bottom w:type="dxa" w:w="90"/>
              <w:right w:type="dxa" w:w="120"/>
            </w:tcMar>
          </w:tcPr>
          <w:p>
            <w:pPr>
              <w:jc w:val="center"/>
            </w:pPr>
            <w:r>
              <w:rPr>
                <w:color w:val="666666"/>
                <w:sz w:val="20"/>
                <w:szCs w:val="20"/>
              </w:rPr>
              <w:t xml:space="preserve">9.0</w:t>
            </w:r>
          </w:p>
        </w:tc>
        <w:tc>
          <w:tcPr>
            <w:tcW w:type="dxa" w:w="1400"/>
            <w:tcMar>
              <w:top w:type="dxa" w:w="90"/>
              <w:left w:type="dxa" w:w="120"/>
              <w:bottom w:type="dxa" w:w="90"/>
              <w:right w:type="dxa" w:w="120"/>
            </w:tcMar>
          </w:tcPr>
          <w:p>
            <w:pPr>
              <w:jc w:val="center"/>
            </w:pPr>
            <w:r>
              <w:rPr>
                <w:b/>
                <w:bCs/>
                <w:color w:val="1B6B3C"/>
                <w:sz w:val="20"/>
                <w:szCs w:val="20"/>
              </w:rPr>
              <w:t xml:space="preserve">9.3</w:t>
            </w:r>
          </w:p>
        </w:tc>
        <w:tc>
          <w:tcPr>
            <w:tcW w:type="dxa" w:w="1400"/>
            <w:tcMar>
              <w:top w:type="dxa" w:w="90"/>
              <w:left w:type="dxa" w:w="120"/>
              <w:bottom w:type="dxa" w:w="90"/>
              <w:right w:type="dxa" w:w="120"/>
            </w:tcMar>
          </w:tcPr>
          <w:p>
            <w:pPr>
              <w:jc w:val="center"/>
            </w:pPr>
            <w:r>
              <w:rPr>
                <w:b/>
                <w:bCs/>
                <w:color w:val="1B6B3C"/>
                <w:sz w:val="18"/>
                <w:szCs w:val="18"/>
              </w:rPr>
              <w:t xml:space="preserve"> (+0.3)</w:t>
            </w:r>
          </w:p>
        </w:tc>
      </w:tr>
      <w:tr>
        <w:tc>
          <w:tcPr>
            <w:tcW w:type="dxa" w:w="4000"/>
            <w:tcMar>
              <w:top w:type="dxa" w:w="90"/>
              <w:left w:type="dxa" w:w="120"/>
              <w:bottom w:type="dxa" w:w="90"/>
              <w:right w:type="dxa" w:w="120"/>
            </w:tcMar>
          </w:tcPr>
          <w:p>
            <w:r>
              <w:rPr>
                <w:b/>
                <w:bCs/>
                <w:sz w:val="20"/>
                <w:szCs w:val="20"/>
              </w:rPr>
              <w:t xml:space="preserve">Observabilidad</w:t>
            </w:r>
          </w:p>
        </w:tc>
        <w:tc>
          <w:tcPr>
            <w:tcW w:type="dxa" w:w="1400"/>
            <w:tcMar>
              <w:top w:type="dxa" w:w="90"/>
              <w:left w:type="dxa" w:w="120"/>
              <w:bottom w:type="dxa" w:w="90"/>
              <w:right w:type="dxa" w:w="120"/>
            </w:tcMar>
          </w:tcPr>
          <w:p>
            <w:pPr>
              <w:jc w:val="center"/>
            </w:pPr>
            <w:r>
              <w:rPr>
                <w:color w:val="666666"/>
                <w:sz w:val="20"/>
                <w:szCs w:val="20"/>
              </w:rPr>
              <w:t xml:space="preserve">8.0</w:t>
            </w:r>
          </w:p>
        </w:tc>
        <w:tc>
          <w:tcPr>
            <w:tcW w:type="dxa" w:w="1400"/>
            <w:tcMar>
              <w:top w:type="dxa" w:w="90"/>
              <w:left w:type="dxa" w:w="120"/>
              <w:bottom w:type="dxa" w:w="90"/>
              <w:right w:type="dxa" w:w="120"/>
            </w:tcMar>
          </w:tcPr>
          <w:p>
            <w:pPr>
              <w:jc w:val="center"/>
            </w:pPr>
            <w:r>
              <w:rPr>
                <w:b/>
                <w:bCs/>
                <w:color w:val="2E6F5E"/>
                <w:sz w:val="20"/>
                <w:szCs w:val="20"/>
              </w:rPr>
              <w:t xml:space="preserve">8.0</w:t>
            </w:r>
          </w:p>
        </w:tc>
        <w:tc>
          <w:tcPr>
            <w:tcW w:type="dxa" w:w="1400"/>
            <w:tcMar>
              <w:top w:type="dxa" w:w="90"/>
              <w:left w:type="dxa" w:w="120"/>
              <w:bottom w:type="dxa" w:w="90"/>
              <w:right w:type="dxa" w:w="120"/>
            </w:tcMar>
          </w:tcPr>
          <w:p>
            <w:pPr>
              <w:jc w:val="center"/>
            </w:pPr>
            <w:r>
              <w:rPr>
                <w:i/>
                <w:iCs/>
                <w:color w:val="666666"/>
                <w:sz w:val="18"/>
                <w:szCs w:val="18"/>
              </w:rPr>
              <w:t xml:space="preserve"> (=)</w:t>
            </w:r>
          </w:p>
        </w:tc>
      </w:tr>
      <w:tr>
        <w:tc>
          <w:tcPr>
            <w:tcW w:type="dxa" w:w="4000"/>
            <w:tcMar>
              <w:top w:type="dxa" w:w="90"/>
              <w:left w:type="dxa" w:w="120"/>
              <w:bottom w:type="dxa" w:w="90"/>
              <w:right w:type="dxa" w:w="120"/>
            </w:tcMar>
          </w:tcPr>
          <w:p>
            <w:r>
              <w:rPr>
                <w:b/>
                <w:bCs/>
                <w:sz w:val="20"/>
                <w:szCs w:val="20"/>
              </w:rPr>
              <w:t xml:space="preserve">Internacionalización (i18n)</w:t>
            </w:r>
          </w:p>
        </w:tc>
        <w:tc>
          <w:tcPr>
            <w:tcW w:type="dxa" w:w="1400"/>
            <w:tcMar>
              <w:top w:type="dxa" w:w="90"/>
              <w:left w:type="dxa" w:w="120"/>
              <w:bottom w:type="dxa" w:w="90"/>
              <w:right w:type="dxa" w:w="120"/>
            </w:tcMar>
          </w:tcPr>
          <w:p>
            <w:pPr>
              <w:jc w:val="center"/>
            </w:pPr>
            <w:r>
              <w:rPr>
                <w:color w:val="666666"/>
                <w:sz w:val="20"/>
                <w:szCs w:val="20"/>
              </w:rPr>
              <w:t xml:space="preserve">9.5</w:t>
            </w:r>
          </w:p>
        </w:tc>
        <w:tc>
          <w:tcPr>
            <w:tcW w:type="dxa" w:w="1400"/>
            <w:tcMar>
              <w:top w:type="dxa" w:w="90"/>
              <w:left w:type="dxa" w:w="120"/>
              <w:bottom w:type="dxa" w:w="90"/>
              <w:right w:type="dxa" w:w="120"/>
            </w:tcMar>
          </w:tcPr>
          <w:p>
            <w:pPr>
              <w:jc w:val="center"/>
            </w:pPr>
            <w:r>
              <w:rPr>
                <w:b/>
                <w:bCs/>
                <w:color w:val="1B6B3C"/>
                <w:sz w:val="20"/>
                <w:szCs w:val="20"/>
              </w:rPr>
              <w:t xml:space="preserve">9.5</w:t>
            </w:r>
          </w:p>
        </w:tc>
        <w:tc>
          <w:tcPr>
            <w:tcW w:type="dxa" w:w="1400"/>
            <w:tcMar>
              <w:top w:type="dxa" w:w="90"/>
              <w:left w:type="dxa" w:w="120"/>
              <w:bottom w:type="dxa" w:w="90"/>
              <w:right w:type="dxa" w:w="120"/>
            </w:tcMar>
          </w:tcPr>
          <w:p>
            <w:pPr>
              <w:jc w:val="center"/>
            </w:pPr>
            <w:r>
              <w:rPr>
                <w:i/>
                <w:iCs/>
                <w:color w:val="666666"/>
                <w:sz w:val="18"/>
                <w:szCs w:val="18"/>
              </w:rPr>
              <w:t xml:space="preserve"> (=)</w:t>
            </w:r>
          </w:p>
        </w:tc>
      </w:tr>
      <w:tr>
        <w:tc>
          <w:tcPr>
            <w:tcW w:type="dxa" w:w="4000"/>
            <w:tcMar>
              <w:top w:type="dxa" w:w="90"/>
              <w:left w:type="dxa" w:w="120"/>
              <w:bottom w:type="dxa" w:w="90"/>
              <w:right w:type="dxa" w:w="120"/>
            </w:tcMar>
          </w:tcPr>
          <w:p>
            <w:r>
              <w:rPr>
                <w:b/>
                <w:bCs/>
                <w:sz w:val="20"/>
                <w:szCs w:val="20"/>
              </w:rPr>
              <w:t xml:space="preserve">Testing</w:t>
            </w:r>
          </w:p>
        </w:tc>
        <w:tc>
          <w:tcPr>
            <w:tcW w:type="dxa" w:w="1400"/>
            <w:tcMar>
              <w:top w:type="dxa" w:w="90"/>
              <w:left w:type="dxa" w:w="120"/>
              <w:bottom w:type="dxa" w:w="90"/>
              <w:right w:type="dxa" w:w="120"/>
            </w:tcMar>
          </w:tcPr>
          <w:p>
            <w:pPr>
              <w:jc w:val="center"/>
            </w:pPr>
            <w:r>
              <w:rPr>
                <w:color w:val="666666"/>
                <w:sz w:val="20"/>
                <w:szCs w:val="20"/>
              </w:rPr>
              <w:t xml:space="preserve">5.0</w:t>
            </w:r>
          </w:p>
        </w:tc>
        <w:tc>
          <w:tcPr>
            <w:tcW w:type="dxa" w:w="1400"/>
            <w:tcMar>
              <w:top w:type="dxa" w:w="90"/>
              <w:left w:type="dxa" w:w="120"/>
              <w:bottom w:type="dxa" w:w="90"/>
              <w:right w:type="dxa" w:w="120"/>
            </w:tcMar>
          </w:tcPr>
          <w:p>
            <w:pPr>
              <w:jc w:val="center"/>
            </w:pPr>
            <w:r>
              <w:rPr>
                <w:b/>
                <w:bCs/>
                <w:color w:val="8A6D1D"/>
                <w:sz w:val="20"/>
                <w:szCs w:val="20"/>
              </w:rPr>
              <w:t xml:space="preserve">7.0</w:t>
            </w:r>
          </w:p>
        </w:tc>
        <w:tc>
          <w:tcPr>
            <w:tcW w:type="dxa" w:w="1400"/>
            <w:tcMar>
              <w:top w:type="dxa" w:w="90"/>
              <w:left w:type="dxa" w:w="120"/>
              <w:bottom w:type="dxa" w:w="90"/>
              <w:right w:type="dxa" w:w="120"/>
            </w:tcMar>
          </w:tcPr>
          <w:p>
            <w:pPr>
              <w:jc w:val="center"/>
            </w:pPr>
            <w:r>
              <w:rPr>
                <w:b/>
                <w:bCs/>
                <w:color w:val="1B6B3C"/>
                <w:sz w:val="18"/>
                <w:szCs w:val="18"/>
              </w:rPr>
              <w:t xml:space="preserve"> (+2.0)</w:t>
            </w:r>
          </w:p>
        </w:tc>
      </w:tr>
      <w:tr>
        <w:tc>
          <w:tcPr>
            <w:tcW w:type="dxa" w:w="4000"/>
            <w:tcMar>
              <w:top w:type="dxa" w:w="90"/>
              <w:left w:type="dxa" w:w="120"/>
              <w:bottom w:type="dxa" w:w="90"/>
              <w:right w:type="dxa" w:w="120"/>
            </w:tcMar>
          </w:tcPr>
          <w:p>
            <w:r>
              <w:rPr>
                <w:b/>
                <w:bCs/>
                <w:sz w:val="20"/>
                <w:szCs w:val="20"/>
              </w:rPr>
              <w:t xml:space="preserve">Rendimiento</w:t>
            </w:r>
          </w:p>
        </w:tc>
        <w:tc>
          <w:tcPr>
            <w:tcW w:type="dxa" w:w="1400"/>
            <w:tcMar>
              <w:top w:type="dxa" w:w="90"/>
              <w:left w:type="dxa" w:w="120"/>
              <w:bottom w:type="dxa" w:w="90"/>
              <w:right w:type="dxa" w:w="120"/>
            </w:tcMar>
          </w:tcPr>
          <w:p>
            <w:pPr>
              <w:jc w:val="center"/>
            </w:pPr>
            <w:r>
              <w:rPr>
                <w:color w:val="666666"/>
                <w:sz w:val="20"/>
                <w:szCs w:val="20"/>
              </w:rPr>
              <w:t xml:space="preserve">6.5</w:t>
            </w:r>
          </w:p>
        </w:tc>
        <w:tc>
          <w:tcPr>
            <w:tcW w:type="dxa" w:w="1400"/>
            <w:tcMar>
              <w:top w:type="dxa" w:w="90"/>
              <w:left w:type="dxa" w:w="120"/>
              <w:bottom w:type="dxa" w:w="90"/>
              <w:right w:type="dxa" w:w="120"/>
            </w:tcMar>
          </w:tcPr>
          <w:p>
            <w:pPr>
              <w:jc w:val="center"/>
            </w:pPr>
            <w:r>
              <w:rPr>
                <w:b/>
                <w:bCs/>
                <w:color w:val="2E6F5E"/>
                <w:sz w:val="20"/>
                <w:szCs w:val="20"/>
              </w:rPr>
              <w:t xml:space="preserve">8.0</w:t>
            </w:r>
          </w:p>
        </w:tc>
        <w:tc>
          <w:tcPr>
            <w:tcW w:type="dxa" w:w="1400"/>
            <w:tcMar>
              <w:top w:type="dxa" w:w="90"/>
              <w:left w:type="dxa" w:w="120"/>
              <w:bottom w:type="dxa" w:w="90"/>
              <w:right w:type="dxa" w:w="120"/>
            </w:tcMar>
          </w:tcPr>
          <w:p>
            <w:pPr>
              <w:jc w:val="center"/>
            </w:pPr>
            <w:r>
              <w:rPr>
                <w:b/>
                <w:bCs/>
                <w:color w:val="1B6B3C"/>
                <w:sz w:val="18"/>
                <w:szCs w:val="18"/>
              </w:rPr>
              <w:t xml:space="preserve"> (+1.5)</w:t>
            </w:r>
          </w:p>
        </w:tc>
      </w:tr>
      <w:tr>
        <w:tc>
          <w:tcPr>
            <w:tcW w:type="dxa" w:w="4000"/>
            <w:tcMar>
              <w:top w:type="dxa" w:w="90"/>
              <w:left w:type="dxa" w:w="120"/>
              <w:bottom w:type="dxa" w:w="90"/>
              <w:right w:type="dxa" w:w="120"/>
            </w:tcMar>
          </w:tcPr>
          <w:p>
            <w:r>
              <w:rPr>
                <w:b/>
                <w:bCs/>
                <w:sz w:val="20"/>
                <w:szCs w:val="20"/>
              </w:rPr>
              <w:t xml:space="preserve">Preparación para producción</w:t>
            </w:r>
          </w:p>
        </w:tc>
        <w:tc>
          <w:tcPr>
            <w:tcW w:type="dxa" w:w="1400"/>
            <w:tcMar>
              <w:top w:type="dxa" w:w="90"/>
              <w:left w:type="dxa" w:w="120"/>
              <w:bottom w:type="dxa" w:w="90"/>
              <w:right w:type="dxa" w:w="120"/>
            </w:tcMar>
          </w:tcPr>
          <w:p>
            <w:pPr>
              <w:jc w:val="center"/>
            </w:pPr>
            <w:r>
              <w:rPr>
                <w:color w:val="666666"/>
                <w:sz w:val="20"/>
                <w:szCs w:val="20"/>
              </w:rPr>
              <w:t xml:space="preserve">7.5</w:t>
            </w:r>
          </w:p>
        </w:tc>
        <w:tc>
          <w:tcPr>
            <w:tcW w:type="dxa" w:w="1400"/>
            <w:tcMar>
              <w:top w:type="dxa" w:w="90"/>
              <w:left w:type="dxa" w:w="120"/>
              <w:bottom w:type="dxa" w:w="90"/>
              <w:right w:type="dxa" w:w="120"/>
            </w:tcMar>
          </w:tcPr>
          <w:p>
            <w:pPr>
              <w:jc w:val="center"/>
            </w:pPr>
            <w:r>
              <w:rPr>
                <w:b/>
                <w:bCs/>
                <w:color w:val="2E6F5E"/>
                <w:sz w:val="20"/>
                <w:szCs w:val="20"/>
              </w:rPr>
              <w:t xml:space="preserve">8.5</w:t>
            </w:r>
          </w:p>
        </w:tc>
        <w:tc>
          <w:tcPr>
            <w:tcW w:type="dxa" w:w="1400"/>
            <w:tcMar>
              <w:top w:type="dxa" w:w="90"/>
              <w:left w:type="dxa" w:w="120"/>
              <w:bottom w:type="dxa" w:w="90"/>
              <w:right w:type="dxa" w:w="120"/>
            </w:tcMar>
          </w:tcPr>
          <w:p>
            <w:pPr>
              <w:jc w:val="center"/>
            </w:pPr>
            <w:r>
              <w:rPr>
                <w:b/>
                <w:bCs/>
                <w:color w:val="1B6B3C"/>
                <w:sz w:val="18"/>
                <w:szCs w:val="18"/>
              </w:rPr>
              <w:t xml:space="preserve"> (+1.0)</w:t>
            </w:r>
          </w:p>
        </w:tc>
      </w:tr>
      <w:tr>
        <w:tc>
          <w:tcPr>
            <w:tcW w:type="dxa" w:w="4000"/>
            <w:tcMar>
              <w:top w:type="dxa" w:w="90"/>
              <w:left w:type="dxa" w:w="120"/>
              <w:bottom w:type="dxa" w:w="90"/>
              <w:right w:type="dxa" w:w="120"/>
            </w:tcMar>
          </w:tcPr>
          <w:p>
            <w:r>
              <w:rPr>
                <w:b/>
                <w:bCs/>
                <w:sz w:val="20"/>
                <w:szCs w:val="20"/>
              </w:rPr>
              <w:t xml:space="preserve">UX / Diseño</w:t>
            </w:r>
          </w:p>
        </w:tc>
        <w:tc>
          <w:tcPr>
            <w:tcW w:type="dxa" w:w="1400"/>
            <w:tcMar>
              <w:top w:type="dxa" w:w="90"/>
              <w:left w:type="dxa" w:w="120"/>
              <w:bottom w:type="dxa" w:w="90"/>
              <w:right w:type="dxa" w:w="120"/>
            </w:tcMar>
          </w:tcPr>
          <w:p>
            <w:pPr>
              <w:jc w:val="center"/>
            </w:pPr>
            <w:r>
              <w:rPr>
                <w:color w:val="666666"/>
                <w:sz w:val="20"/>
                <w:szCs w:val="20"/>
              </w:rPr>
              <w:t xml:space="preserve">8.5</w:t>
            </w:r>
          </w:p>
        </w:tc>
        <w:tc>
          <w:tcPr>
            <w:tcW w:type="dxa" w:w="1400"/>
            <w:tcMar>
              <w:top w:type="dxa" w:w="90"/>
              <w:left w:type="dxa" w:w="120"/>
              <w:bottom w:type="dxa" w:w="90"/>
              <w:right w:type="dxa" w:w="120"/>
            </w:tcMar>
          </w:tcPr>
          <w:p>
            <w:pPr>
              <w:jc w:val="center"/>
            </w:pPr>
            <w:r>
              <w:rPr>
                <w:b/>
                <w:bCs/>
                <w:color w:val="2E6F5E"/>
                <w:sz w:val="20"/>
                <w:szCs w:val="20"/>
              </w:rPr>
              <w:t xml:space="preserve">8.5</w:t>
            </w:r>
          </w:p>
        </w:tc>
        <w:tc>
          <w:tcPr>
            <w:tcW w:type="dxa" w:w="1400"/>
            <w:tcMar>
              <w:top w:type="dxa" w:w="90"/>
              <w:left w:type="dxa" w:w="120"/>
              <w:bottom w:type="dxa" w:w="90"/>
              <w:right w:type="dxa" w:w="120"/>
            </w:tcMar>
          </w:tcPr>
          <w:p>
            <w:pPr>
              <w:jc w:val="center"/>
            </w:pPr>
            <w:r>
              <w:rPr>
                <w:i/>
                <w:iCs/>
                <w:color w:val="666666"/>
                <w:sz w:val="18"/>
                <w:szCs w:val="18"/>
              </w:rPr>
              <w:t xml:space="preserve"> (=)</w:t>
            </w:r>
          </w:p>
        </w:tc>
      </w:tr>
      <w:tr>
        <w:tc>
          <w:tcPr>
            <w:tcW w:type="dxa" w:w="4000"/>
            <w:tcMar>
              <w:top w:type="dxa" w:w="90"/>
              <w:left w:type="dxa" w:w="120"/>
              <w:bottom w:type="dxa" w:w="90"/>
              <w:right w:type="dxa" w:w="120"/>
            </w:tcMar>
          </w:tcPr>
          <w:p>
            <w:r>
              <w:rPr>
                <w:b/>
                <w:bCs/>
                <w:sz w:val="20"/>
                <w:szCs w:val="20"/>
              </w:rPr>
              <w:t xml:space="preserve">Documentación</w:t>
            </w:r>
          </w:p>
        </w:tc>
        <w:tc>
          <w:tcPr>
            <w:tcW w:type="dxa" w:w="1400"/>
            <w:tcMar>
              <w:top w:type="dxa" w:w="90"/>
              <w:left w:type="dxa" w:w="120"/>
              <w:bottom w:type="dxa" w:w="90"/>
              <w:right w:type="dxa" w:w="120"/>
            </w:tcMar>
          </w:tcPr>
          <w:p>
            <w:pPr>
              <w:jc w:val="center"/>
            </w:pPr>
            <w:r>
              <w:rPr>
                <w:color w:val="666666"/>
                <w:sz w:val="20"/>
                <w:szCs w:val="20"/>
              </w:rPr>
              <w:t xml:space="preserve">6.0</w:t>
            </w:r>
          </w:p>
        </w:tc>
        <w:tc>
          <w:tcPr>
            <w:tcW w:type="dxa" w:w="1400"/>
            <w:tcMar>
              <w:top w:type="dxa" w:w="90"/>
              <w:left w:type="dxa" w:w="120"/>
              <w:bottom w:type="dxa" w:w="90"/>
              <w:right w:type="dxa" w:w="120"/>
            </w:tcMar>
          </w:tcPr>
          <w:p>
            <w:pPr>
              <w:jc w:val="center"/>
            </w:pPr>
            <w:r>
              <w:rPr>
                <w:b/>
                <w:bCs/>
                <w:color w:val="1B6B3C"/>
                <w:sz w:val="20"/>
                <w:szCs w:val="20"/>
              </w:rPr>
              <w:t xml:space="preserve">9.0</w:t>
            </w:r>
          </w:p>
        </w:tc>
        <w:tc>
          <w:tcPr>
            <w:tcW w:type="dxa" w:w="1400"/>
            <w:tcMar>
              <w:top w:type="dxa" w:w="90"/>
              <w:left w:type="dxa" w:w="120"/>
              <w:bottom w:type="dxa" w:w="90"/>
              <w:right w:type="dxa" w:w="120"/>
            </w:tcMar>
          </w:tcPr>
          <w:p>
            <w:pPr>
              <w:jc w:val="center"/>
            </w:pPr>
            <w:r>
              <w:rPr>
                <w:b/>
                <w:bCs/>
                <w:color w:val="1B6B3C"/>
                <w:sz w:val="18"/>
                <w:szCs w:val="18"/>
              </w:rPr>
              <w:t xml:space="preserve"> (+3.0)</w:t>
            </w:r>
          </w:p>
        </w:tc>
      </w:tr>
    </w:tbl>
    <w:p>
      <w:pPr>
        <w:pStyle w:val="Heading1"/>
        <w:spacing w:after="140" w:before="280"/>
      </w:pPr>
      <w:r>
        <w:t xml:space="preserve">Detalle por categoría</w:t>
      </w:r>
    </w:p>
    <w:p>
      <w:pPr>
        <w:spacing w:after="80" w:before="320"/>
      </w:pPr>
      <w:r>
        <w:rPr>
          <w:b/>
          <w:bCs/>
          <w:color w:val="1B3A5C"/>
          <w:sz w:val="26"/>
          <w:szCs w:val="26"/>
        </w:rPr>
        <w:t xml:space="preserve">Seguridad</w:t>
      </w:r>
      <w:r>
        <w:rPr>
          <w:color w:val="666666"/>
          <w:sz w:val="22"/>
          <w:szCs w:val="22"/>
        </w:rPr>
        <w:t xml:space="preserve">  —  8.0 → </w:t>
      </w:r>
      <w:r>
        <w:rPr>
          <w:b/>
          <w:bCs/>
          <w:color w:val="2E6F5E"/>
          <w:sz w:val="22"/>
          <w:szCs w:val="22"/>
        </w:rPr>
        <w:t xml:space="preserve">8.5 / 10</w:t>
      </w:r>
      <w:r>
        <w:rPr>
          <w:b/>
          <w:bCs/>
          <w:color w:val="1B6B3C"/>
          <w:sz w:val="18"/>
          <w:szCs w:val="18"/>
        </w:rPr>
        <w:t xml:space="preserve"> (+0.5)</w:t>
      </w:r>
    </w:p>
    <w:p>
      <w:pPr>
        <w:spacing w:after="120"/>
      </w:pPr>
      <w:r>
        <w:rPr>
          <w:i/>
          <w:iCs/>
          <w:color w:val="333333"/>
          <w:sz w:val="20"/>
          <w:szCs w:val="20"/>
        </w:rPr>
        <w:t xml:space="preserve">El principal hueco señalado la vez anterior — ausencia de cabeceras HTTP de seguridad — ya está cerrado. El resto del perfil de seguridad no ha cambiado.</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Middleware de cabeceras de seguridad (X-Frame-Options, X-Content-Type-Options, Referrer-Policy, Permissions-Policy, Content-Security-Policy, HSTS condicionado a HTTPS) registrado como capa más externa, verificado con TestClient contra respuestas normales, /docs (exento de CSP) y detrás de un proxy con X-Forwarded-Proto.</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2FA por TOTP, bloqueo de cuenta por intentos fallidos independiente del rate limiting por IP, política de ciclo de vida de cuentas con excepción para super_admin.</w:t>
      </w:r>
    </w:p>
    <w:p>
      <w:pPr>
        <w:pStyle w:val="ListParagraph"/>
        <w:numPr>
          <w:ilvl w:val="0"/>
          <w:numId w:val="2"/>
        </w:numPr>
        <w:spacing w:after="80"/>
      </w:pPr>
      <w:r>
        <w:rPr>
          <w:sz w:val="20"/>
          <w:szCs w:val="20"/>
        </w:rPr>
        <w:t xml:space="preserve">RBAC granular, CORS con lista explícita de orígenes.</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El rate limiting sigue cubriendo solo las rutas de auth; catálogo público, blog público y compra no tienen límite propio.</w:t>
      </w:r>
    </w:p>
    <w:p>
      <w:pPr>
        <w:pStyle w:val="ListParagraph"/>
        <w:numPr>
          <w:ilvl w:val="0"/>
          <w:numId w:val="2"/>
        </w:numPr>
        <w:spacing w:after="80"/>
      </w:pPr>
      <w:r>
        <w:rPr>
          <w:sz w:val="20"/>
          <w:szCs w:val="20"/>
        </w:rPr>
        <w:t xml:space="preserve">Sentry y Redis siguen sin configurarse en el .env real (DSN y URL vacíos) — es una decisión operativa pendiente, no de código.</w:t>
      </w:r>
    </w:p>
    <w:p>
      <w:pPr>
        <w:spacing w:after="80" w:before="320"/>
      </w:pPr>
      <w:r>
        <w:rPr>
          <w:b/>
          <w:bCs/>
          <w:color w:val="1B3A5C"/>
          <w:sz w:val="26"/>
          <w:szCs w:val="26"/>
        </w:rPr>
        <w:t xml:space="preserve">Arquitectura backend</w:t>
      </w:r>
      <w:r>
        <w:rPr>
          <w:color w:val="666666"/>
          <w:sz w:val="22"/>
          <w:szCs w:val="22"/>
        </w:rPr>
        <w:t xml:space="preserve">  —  8.5 → </w:t>
      </w:r>
      <w:r>
        <w:rPr>
          <w:b/>
          <w:bCs/>
          <w:color w:val="2E6F5E"/>
          <w:sz w:val="22"/>
          <w:szCs w:val="22"/>
        </w:rPr>
        <w:t xml:space="preserve">8.5 / 10</w:t>
      </w:r>
      <w:r>
        <w:rPr>
          <w:i/>
          <w:iCs/>
          <w:color w:val="666666"/>
          <w:sz w:val="18"/>
          <w:szCs w:val="18"/>
        </w:rPr>
        <w:t xml:space="preserve"> (=)</w:t>
      </w:r>
    </w:p>
    <w:p>
      <w:pPr>
        <w:spacing w:after="120"/>
      </w:pPr>
      <w:r>
        <w:rPr>
          <w:i/>
          <w:iCs/>
          <w:color w:val="333333"/>
          <w:sz w:val="20"/>
          <w:szCs w:val="20"/>
        </w:rPr>
        <w:t xml:space="preserve">Los módulos y migraciones nuevos (blog, categorías) siguen el mismo patrón que el resto del backend con disciplina. Se mantiene la nota: el crecimiento fue ordenado, no hay señales de deuda estructural nueva.</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3 módulos nuevos (blog_admin, public_blog, catalog_categories) y 2 migraciones nuevas (blog_posts; catalog_categories + custom_fields_json), ambas verificadas con --sql en los dos sentidos antes de aplicarse.</w:t>
      </w:r>
    </w:p>
    <w:p>
      <w:pPr>
        <w:pStyle w:val="ListParagraph"/>
        <w:numPr>
          <w:ilvl w:val="0"/>
          <w:numId w:val="2"/>
        </w:numPr>
        <w:spacing w:after="80"/>
      </w:pPr>
      <w:r>
        <w:rPr>
          <w:sz w:val="20"/>
          <w:szCs w:val="20"/>
        </w:rPr>
        <w:t xml:space="preserve">39 módulos en total (antes 36), 35 migraciones (antes 33).</w:t>
      </w:r>
    </w:p>
    <w:p>
      <w:pPr>
        <w:pStyle w:val="ListParagraph"/>
        <w:numPr>
          <w:ilvl w:val="0"/>
          <w:numId w:val="2"/>
        </w:numPr>
        <w:spacing w:after="80"/>
      </w:pPr>
      <w:r>
        <w:rPr>
          <w:sz w:val="20"/>
          <w:szCs w:val="20"/>
        </w:rPr>
        <w:t xml:space="preserve">11 ADRs nuevos en docs/adr/ documentando los porqués de decisiones ya tomadas en sesiones anteriores (RBAC en modo MVP, ciclo de vida de cuentas, integraciones opcionales, rate limiting, cabeceras de seguridad, sanitización del blog, categorías de catálogo, code splitting, aislamiento de tests, scheduler in-process) — cierra el hueco de trazabilidad señalado la vez anterior.</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Patrón router → service → repository → schema consistente en los módulos nuevos.</w:t>
      </w:r>
    </w:p>
    <w:p>
      <w:pPr>
        <w:pStyle w:val="ListParagraph"/>
        <w:numPr>
          <w:ilvl w:val="0"/>
          <w:numId w:val="2"/>
        </w:numPr>
        <w:spacing w:after="80"/>
      </w:pPr>
      <w:r>
        <w:rPr>
          <w:sz w:val="20"/>
          <w:szCs w:val="20"/>
        </w:rPr>
        <w:t xml:space="preserve">Sanitización HTML del blog aplicada en el punto de escritura (no en el de lectura), evitando que cada futuro consumidor del contenido tenga que sanitizar por su cuenta.</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Se confirmó durante este trabajo que ya existía una suite de tests de backend previa a esta sesión, con un enfoque de aislamiento distinto (corre contra la DATABASE_URL real en vez de una base desechable) — no es un problema introducido ahora, pero es una inconsistencia arquitectónica de testing que conviene resolver (ver Testing).</w:t>
      </w:r>
    </w:p>
    <w:p>
      <w:pPr>
        <w:pStyle w:val="ListParagraph"/>
        <w:numPr>
          <w:ilvl w:val="0"/>
          <w:numId w:val="2"/>
        </w:numPr>
        <w:spacing w:after="80"/>
      </w:pPr>
      <w:r>
        <w:rPr>
          <w:sz w:val="20"/>
          <w:szCs w:val="20"/>
        </w:rPr>
        <w:t xml:space="preserve">Rate limiter y scheduler siguen asumiendo una sola instancia del backend — documentado explícitamente ahora en ADR 0005 y ADR 0011, pero sin resolver.</w:t>
      </w:r>
    </w:p>
    <w:p>
      <w:pPr>
        <w:spacing w:after="80" w:before="320"/>
      </w:pPr>
      <w:r>
        <w:rPr>
          <w:b/>
          <w:bCs/>
          <w:color w:val="1B3A5C"/>
          <w:sz w:val="26"/>
          <w:szCs w:val="26"/>
        </w:rPr>
        <w:t xml:space="preserve">Arquitectura frontend</w:t>
      </w:r>
      <w:r>
        <w:rPr>
          <w:color w:val="666666"/>
          <w:sz w:val="22"/>
          <w:szCs w:val="22"/>
        </w:rPr>
        <w:t xml:space="preserve">  —  7.5 → </w:t>
      </w:r>
      <w:r>
        <w:rPr>
          <w:b/>
          <w:bCs/>
          <w:color w:val="2E6F5E"/>
          <w:sz w:val="22"/>
          <w:szCs w:val="22"/>
        </w:rPr>
        <w:t xml:space="preserve">8.3 / 10</w:t>
      </w:r>
      <w:r>
        <w:rPr>
          <w:b/>
          <w:bCs/>
          <w:color w:val="1B6B3C"/>
          <w:sz w:val="18"/>
          <w:szCs w:val="18"/>
        </w:rPr>
        <w:t xml:space="preserve"> (+0.8)</w:t>
      </w:r>
    </w:p>
    <w:p>
      <w:pPr>
        <w:spacing w:after="120"/>
      </w:pPr>
      <w:r>
        <w:rPr>
          <w:i/>
          <w:iCs/>
          <w:color w:val="333333"/>
          <w:sz w:val="20"/>
          <w:szCs w:val="20"/>
        </w:rPr>
        <w:t xml:space="preserve">Los dos huecos que más pesaban en la nota anterior — bundle único sin dividir y cero tests — están resueltos. Al mismo tiempo, una revisión completa de ESLint (antes solo se había verificado en los archivos tocados en cada sesión) reveló deuda técnica preexistente que no estaba cuantificada.</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Code splitting por ruta: bundle principal de 613 KB (192 KB comprimido), frente a 1.5 MB (400 KB comprimido) — una reducción de más del 50% en lo que descarga un visitante nuevo. Páginas pesadas (editor de blog con TipTap, gráficos con Recharts) aisladas en sus propios chunks, cargadas solo al visitarlas.</w:t>
      </w:r>
    </w:p>
    <w:p>
      <w:pPr>
        <w:pStyle w:val="ListParagraph"/>
        <w:numPr>
          <w:ilvl w:val="0"/>
          <w:numId w:val="2"/>
        </w:numPr>
        <w:spacing w:after="80"/>
      </w:pPr>
      <w:r>
        <w:rPr>
          <w:sz w:val="20"/>
          <w:szCs w:val="20"/>
        </w:rPr>
        <w:t xml:space="preserve">Primeros tests automatizados del frontend: Vitest + React Testing Library, 3 archivos / 10 tests (utilidad de parseo de errores, componente de filtro, formulario de login), todos ejecutados y en verde en este entorno.</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TypeScript estricto sin errores (`npm run build` limpio).</w:t>
      </w:r>
    </w:p>
    <w:p>
      <w:pPr>
        <w:pStyle w:val="ListParagraph"/>
        <w:numPr>
          <w:ilvl w:val="0"/>
          <w:numId w:val="2"/>
        </w:numPr>
        <w:spacing w:after="80"/>
      </w:pPr>
      <w:r>
        <w:rPr>
          <w:sz w:val="20"/>
          <w:szCs w:val="20"/>
        </w:rPr>
        <w:t xml:space="preserve">React Query, componentes de UI reutilizables, patrones consistentes en las páginas nuevas de blog y categorías.</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`npm run lint` ejecutado sobre todo el proyecto reporta 22 errores y 24 avisos repartidos en 14 archivos preexistentes (AuthProvider, ProfilePage, useRbac, AdminCatalogItemModal, PlansPage, UsersPage, OrganizationsPage y otros) — ninguno en los archivos tocados por el blog, las categorías, el code splitting o los tests nuevos, pero tampoco corregidos hasta ahora. La evaluación anterior no dejó constancia de haber ejecutado un lint completo del proyecto; esta sí, y el resultado no es limpio. Merece una pasada de limpieza dedicada.</w:t>
      </w:r>
    </w:p>
    <w:p>
      <w:pPr>
        <w:pStyle w:val="ListParagraph"/>
        <w:numPr>
          <w:ilvl w:val="0"/>
          <w:numId w:val="2"/>
        </w:numPr>
        <w:spacing w:after="80"/>
      </w:pPr>
      <w:r>
        <w:rPr>
          <w:sz w:val="20"/>
          <w:szCs w:val="20"/>
        </w:rPr>
        <w:t xml:space="preserve">Solo 3 archivos de test — cobertura real, no exhaustiva. La mayoría de páginas y componentes siguen sin ningún test.</w:t>
      </w:r>
    </w:p>
    <w:p>
      <w:pPr>
        <w:spacing w:after="80" w:before="320"/>
      </w:pPr>
      <w:r>
        <w:rPr>
          <w:b/>
          <w:bCs/>
          <w:color w:val="1B3A5C"/>
          <w:sz w:val="26"/>
          <w:szCs w:val="26"/>
        </w:rPr>
        <w:t xml:space="preserve">Completitud funcional</w:t>
      </w:r>
      <w:r>
        <w:rPr>
          <w:color w:val="666666"/>
          <w:sz w:val="22"/>
          <w:szCs w:val="22"/>
        </w:rPr>
        <w:t xml:space="preserve">  —  9.0 → </w:t>
      </w:r>
      <w:r>
        <w:rPr>
          <w:b/>
          <w:bCs/>
          <w:color w:val="1B6B3C"/>
          <w:sz w:val="22"/>
          <w:szCs w:val="22"/>
        </w:rPr>
        <w:t xml:space="preserve">9.3 / 10</w:t>
      </w:r>
      <w:r>
        <w:rPr>
          <w:b/>
          <w:bCs/>
          <w:color w:val="1B6B3C"/>
          <w:sz w:val="18"/>
          <w:szCs w:val="18"/>
        </w:rPr>
        <w:t xml:space="preserve"> (+0.3)</w:t>
      </w:r>
    </w:p>
    <w:p>
      <w:pPr>
        <w:spacing w:after="120"/>
      </w:pPr>
      <w:r>
        <w:rPr>
          <w:i/>
          <w:iCs/>
          <w:color w:val="333333"/>
          <w:sz w:val="20"/>
          <w:szCs w:val="20"/>
        </w:rPr>
        <w:t xml:space="preserve">Dos funciones nuevas de cara al usuario, ambas terminadas de extremo a extremo (backend + frontend + i18n).</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Blog público con editor WYSIWYG (TipTap) en el panel de admin, contenido saneado en el servidor en cada escritura.</w:t>
      </w:r>
    </w:p>
    <w:p>
      <w:pPr>
        <w:pStyle w:val="ListParagraph"/>
        <w:numPr>
          <w:ilvl w:val="0"/>
          <w:numId w:val="2"/>
        </w:numPr>
        <w:spacing w:after="80"/>
      </w:pPr>
      <w:r>
        <w:rPr>
          <w:sz w:val="20"/>
          <w:szCs w:val="20"/>
        </w:rPr>
        <w:t xml:space="preserve">Categorías de catálogo dinámicas: el admin define categorías con su propio cuestionario de campos personalizados (texto, número, booleano, url, selección), y el formulario de creación/edición de items del catálogo renderiza ese cuestionario según la categoría elegida.</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Catálogo, planes, compras, favoritos, 2FA, ciclo de vida de cuentas, blog, categorías dinámicas — cobertura funcional muy amplia para esta etapa del producto.</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Con tanta superficie de producto y cobertura de tests todavía básica, el riesgo sigue siendo lo que se rompe silenciosamente sin que nadie lo note — ver Testing.</w:t>
      </w:r>
    </w:p>
    <w:p>
      <w:pPr>
        <w:spacing w:after="80" w:before="320"/>
      </w:pPr>
      <w:r>
        <w:rPr>
          <w:b/>
          <w:bCs/>
          <w:color w:val="1B3A5C"/>
          <w:sz w:val="26"/>
          <w:szCs w:val="26"/>
        </w:rPr>
        <w:t xml:space="preserve">Observabilidad</w:t>
      </w:r>
      <w:r>
        <w:rPr>
          <w:color w:val="666666"/>
          <w:sz w:val="22"/>
          <w:szCs w:val="22"/>
        </w:rPr>
        <w:t xml:space="preserve">  —  8.0 → </w:t>
      </w:r>
      <w:r>
        <w:rPr>
          <w:b/>
          <w:bCs/>
          <w:color w:val="2E6F5E"/>
          <w:sz w:val="22"/>
          <w:szCs w:val="22"/>
        </w:rPr>
        <w:t xml:space="preserve">8.0 / 10</w:t>
      </w:r>
      <w:r>
        <w:rPr>
          <w:i/>
          <w:iCs/>
          <w:color w:val="666666"/>
          <w:sz w:val="18"/>
          <w:szCs w:val="18"/>
        </w:rPr>
        <w:t xml:space="preserve"> (=)</w:t>
      </w:r>
    </w:p>
    <w:p>
      <w:pPr>
        <w:spacing w:after="120"/>
      </w:pPr>
      <w:r>
        <w:rPr>
          <w:i/>
          <w:iCs/>
          <w:color w:val="333333"/>
          <w:sz w:val="20"/>
          <w:szCs w:val="20"/>
        </w:rPr>
        <w:t xml:space="preserve">Sin cambios en esta tanda de trabajo — no formaba parte de los 8 puntos de la hoja de ruta.</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Panel de estado del sistema, log de errores propio, log de auditoría, resumen de ciclo de vida de cuentas.</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Sigue sin alertado activo (email/Slack); hay que entrar al panel para enterarse de un problema.</w:t>
      </w:r>
    </w:p>
    <w:p>
      <w:pPr>
        <w:pStyle w:val="ListParagraph"/>
        <w:numPr>
          <w:ilvl w:val="0"/>
          <w:numId w:val="2"/>
        </w:numPr>
        <w:spacing w:after="80"/>
      </w:pPr>
      <w:r>
        <w:rPr>
          <w:sz w:val="20"/>
          <w:szCs w:val="20"/>
        </w:rPr>
        <w:t xml:space="preserve">Sentry y Redis, aunque integrados en código, siguen sin activar por configuración.</w:t>
      </w:r>
    </w:p>
    <w:p>
      <w:pPr>
        <w:spacing w:after="80" w:before="320"/>
      </w:pPr>
      <w:r>
        <w:rPr>
          <w:b/>
          <w:bCs/>
          <w:color w:val="1B3A5C"/>
          <w:sz w:val="26"/>
          <w:szCs w:val="26"/>
        </w:rPr>
        <w:t xml:space="preserve">Internacionalización (i18n)</w:t>
      </w:r>
      <w:r>
        <w:rPr>
          <w:color w:val="666666"/>
          <w:sz w:val="22"/>
          <w:szCs w:val="22"/>
        </w:rPr>
        <w:t xml:space="preserve">  —  9.5 → </w:t>
      </w:r>
      <w:r>
        <w:rPr>
          <w:b/>
          <w:bCs/>
          <w:color w:val="1B6B3C"/>
          <w:sz w:val="22"/>
          <w:szCs w:val="22"/>
        </w:rPr>
        <w:t xml:space="preserve">9.5 / 10</w:t>
      </w:r>
      <w:r>
        <w:rPr>
          <w:i/>
          <w:iCs/>
          <w:color w:val="666666"/>
          <w:sz w:val="18"/>
          <w:szCs w:val="18"/>
        </w:rPr>
        <w:t xml:space="preserve"> (=)</w:t>
      </w:r>
    </w:p>
    <w:p>
      <w:pPr>
        <w:spacing w:after="120"/>
      </w:pPr>
      <w:r>
        <w:rPr>
          <w:i/>
          <w:iCs/>
          <w:color w:val="333333"/>
          <w:sz w:val="20"/>
          <w:szCs w:val="20"/>
        </w:rPr>
        <w:t xml:space="preserve">Se mantiene el nivel más alto de todo el proyecto — la disciplina de paridad EN/ES se sostuvo también en las dos funciones nuevas.</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Namespaces nuevos para blog (admin y público) y para categorías de catálogo, con la misma paridad EN/ES que el resto del proyecto.</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Patrón de interpolación consistente en todo el proyecto, incluidas las claves más nuevas.</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Sin cambios respecto a la evaluación anterior: algunos correos transaccionales más antiguos siguen solo en español.</w:t>
      </w:r>
    </w:p>
    <w:p>
      <w:pPr>
        <w:spacing w:after="80" w:before="320"/>
      </w:pPr>
      <w:r>
        <w:rPr>
          <w:b/>
          <w:bCs/>
          <w:color w:val="1B3A5C"/>
          <w:sz w:val="26"/>
          <w:szCs w:val="26"/>
        </w:rPr>
        <w:t xml:space="preserve">Testing</w:t>
      </w:r>
      <w:r>
        <w:rPr>
          <w:color w:val="666666"/>
          <w:sz w:val="22"/>
          <w:szCs w:val="22"/>
        </w:rPr>
        <w:t xml:space="preserve">  —  5.0 → </w:t>
      </w:r>
      <w:r>
        <w:rPr>
          <w:b/>
          <w:bCs/>
          <w:color w:val="8A6D1D"/>
          <w:sz w:val="22"/>
          <w:szCs w:val="22"/>
        </w:rPr>
        <w:t xml:space="preserve">7.0 / 10</w:t>
      </w:r>
      <w:r>
        <w:rPr>
          <w:b/>
          <w:bCs/>
          <w:color w:val="1B6B3C"/>
          <w:sz w:val="18"/>
          <w:szCs w:val="18"/>
        </w:rPr>
        <w:t xml:space="preserve"> (+2.0)</w:t>
      </w:r>
    </w:p>
    <w:p>
      <w:pPr>
        <w:spacing w:after="120"/>
      </w:pPr>
      <w:r>
        <w:rPr>
          <w:i/>
          <w:iCs/>
          <w:color w:val="333333"/>
          <w:sz w:val="20"/>
          <w:szCs w:val="20"/>
        </w:rPr>
        <w:t xml:space="preserve">La categoría peor puntuada de la evaluación anterior es la que más avanzó. Sigue sin ser cobertura exhaustiva — era el objetivo explícito acordado ("cobertura básica") — pero ya existe una base real donde antes no había casi ninguna, y el proceso de construirla sacó a la luz un hallazgo importante sobre el estado previo del proyecto.</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Backend: 5 archivos nuevos con 21 tests (auth, 2FA vía ciclo de vida de cuentas, catálogo, blog, categorías), con fixtures aisladas (`conftest.py`) que exigen una `TEST_DATABASE_URL` desechable y truncan las tablas antes de cada test — diseñadas para no poder ejecutarse jamás contra la base de datos real por accidente.</w:t>
      </w:r>
    </w:p>
    <w:p>
      <w:pPr>
        <w:pStyle w:val="ListParagraph"/>
        <w:numPr>
          <w:ilvl w:val="0"/>
          <w:numId w:val="2"/>
        </w:numPr>
        <w:spacing w:after="80"/>
      </w:pPr>
      <w:r>
        <w:rPr>
          <w:sz w:val="20"/>
          <w:szCs w:val="20"/>
        </w:rPr>
        <w:t xml:space="preserve">Frontend: 3 archivos nuevos con 10 tests (Vitest + React Testing Library), ejecutados en este entorno y en verde.</w:t>
      </w:r>
    </w:p>
    <w:p>
      <w:pPr>
        <w:pStyle w:val="ListParagraph"/>
        <w:numPr>
          <w:ilvl w:val="0"/>
          <w:numId w:val="2"/>
        </w:numPr>
        <w:spacing w:after="80"/>
      </w:pPr>
      <w:r>
        <w:rPr>
          <w:sz w:val="20"/>
          <w:szCs w:val="20"/>
        </w:rPr>
        <w:t xml:space="preserve">Hallazgo relevante: al verificar la nueva suite se descubrió que ya existía una suite de backend previa a esta sesión (10 archivos, 26 tests: auth, 2FA, onboarding, RBAC, compras, contexto de organización, etc.), con un diseño distinto — corre directamente contra la DATABASE_URL activa en vez de una base desechable. Se confirmó que no depende de las fixtures nuevas (no se rompió nada), pero es una inconsistencia real de la que no había constancia documentada hasta ahora. Registrado en ADR 0010 y en la documentación de despliegue.</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El total de tests de backend detectables por pytest pasó de 26 a 47.</w:t>
      </w:r>
    </w:p>
    <w:p>
      <w:pPr>
        <w:pStyle w:val="ListParagraph"/>
        <w:numPr>
          <w:ilvl w:val="0"/>
          <w:numId w:val="2"/>
        </w:numPr>
        <w:spacing w:after="80"/>
      </w:pPr>
      <w:r>
        <w:rPr>
          <w:sz w:val="20"/>
          <w:szCs w:val="20"/>
        </w:rPr>
        <w:t xml:space="preserve">Las fixtures nuevas están diseñadas para fallar de forma segura (se saltan, no corren) si no hay una base de datos de test configurada.</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Ninguna de las dos suites de backend se ha podido ejecutar de extremo a extremo en este entorno (no hay Postgres disponible en el sandbox) — la verificación se limitó a compilación y recolección de tests, no ejecución real contra una base de datos.</w:t>
      </w:r>
    </w:p>
    <w:p>
      <w:pPr>
        <w:pStyle w:val="ListParagraph"/>
        <w:numPr>
          <w:ilvl w:val="0"/>
          <w:numId w:val="2"/>
        </w:numPr>
        <w:spacing w:after="80"/>
      </w:pPr>
      <w:r>
        <w:rPr>
          <w:sz w:val="20"/>
          <w:szCs w:val="20"/>
        </w:rPr>
        <w:t xml:space="preserve">La suite antigua corre contra la base de datos real de configurarse `DATABASE_URL` — sigue siendo un riesgo si alguien la ejecuta sin darse cuenta en un entorno con datos reales.</w:t>
      </w:r>
    </w:p>
    <w:p>
      <w:pPr>
        <w:pStyle w:val="ListParagraph"/>
        <w:numPr>
          <w:ilvl w:val="0"/>
          <w:numId w:val="2"/>
        </w:numPr>
        <w:spacing w:after="80"/>
      </w:pPr>
      <w:r>
        <w:rPr>
          <w:sz w:val="20"/>
          <w:szCs w:val="20"/>
        </w:rPr>
        <w:t xml:space="preserve">Sigue siendo cobertura básica, no exhaustiva: gran parte de las páginas de frontend y de los flujos de backend más antiguos no tienen test propio.</w:t>
      </w:r>
    </w:p>
    <w:p>
      <w:pPr>
        <w:spacing w:after="80" w:before="320"/>
      </w:pPr>
      <w:r>
        <w:rPr>
          <w:b/>
          <w:bCs/>
          <w:color w:val="1B3A5C"/>
          <w:sz w:val="26"/>
          <w:szCs w:val="26"/>
        </w:rPr>
        <w:t xml:space="preserve">Rendimiento</w:t>
      </w:r>
      <w:r>
        <w:rPr>
          <w:color w:val="666666"/>
          <w:sz w:val="22"/>
          <w:szCs w:val="22"/>
        </w:rPr>
        <w:t xml:space="preserve">  —  6.5 → </w:t>
      </w:r>
      <w:r>
        <w:rPr>
          <w:b/>
          <w:bCs/>
          <w:color w:val="2E6F5E"/>
          <w:sz w:val="22"/>
          <w:szCs w:val="22"/>
        </w:rPr>
        <w:t xml:space="preserve">8.0 / 10</w:t>
      </w:r>
      <w:r>
        <w:rPr>
          <w:b/>
          <w:bCs/>
          <w:color w:val="1B6B3C"/>
          <w:sz w:val="18"/>
          <w:szCs w:val="18"/>
        </w:rPr>
        <w:t xml:space="preserve"> (+1.5)</w:t>
      </w:r>
    </w:p>
    <w:p>
      <w:pPr>
        <w:spacing w:after="120"/>
      </w:pPr>
      <w:r>
        <w:rPr>
          <w:i/>
          <w:iCs/>
          <w:color w:val="333333"/>
          <w:sz w:val="20"/>
          <w:szCs w:val="20"/>
        </w:rPr>
        <w:t xml:space="preserve">El problema más citado de la evaluación anterior — el bundle único de 1.5 MB — está resuelto.</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Code splitting por ruta: bundle principal 613 KB / 192 KB comprimido (antes 1.5 MB / 400 KB), páginas pesadas aisladas en chunks bajo demanda.</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Backend sigue bien ajustado al volumen actual; conexión a Supabase configurada correctamente para el pooler de transacciones.</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El planificador de tareas y el rate limiter en memoria siguen asumiendo una sola instancia del backend — sin cambios, documentado en los ADRs nuevos.</w:t>
      </w:r>
    </w:p>
    <w:p>
      <w:pPr>
        <w:spacing w:after="80" w:before="320"/>
      </w:pPr>
      <w:r>
        <w:rPr>
          <w:b/>
          <w:bCs/>
          <w:color w:val="1B3A5C"/>
          <w:sz w:val="26"/>
          <w:szCs w:val="26"/>
        </w:rPr>
        <w:t xml:space="preserve">Preparación para producción</w:t>
      </w:r>
      <w:r>
        <w:rPr>
          <w:color w:val="666666"/>
          <w:sz w:val="22"/>
          <w:szCs w:val="22"/>
        </w:rPr>
        <w:t xml:space="preserve">  —  7.5 → </w:t>
      </w:r>
      <w:r>
        <w:rPr>
          <w:b/>
          <w:bCs/>
          <w:color w:val="2E6F5E"/>
          <w:sz w:val="22"/>
          <w:szCs w:val="22"/>
        </w:rPr>
        <w:t xml:space="preserve">8.5 / 10</w:t>
      </w:r>
      <w:r>
        <w:rPr>
          <w:b/>
          <w:bCs/>
          <w:color w:val="1B6B3C"/>
          <w:sz w:val="18"/>
          <w:szCs w:val="18"/>
        </w:rPr>
        <w:t xml:space="preserve"> (+1.0)</w:t>
      </w:r>
    </w:p>
    <w:p>
      <w:pPr>
        <w:spacing w:after="120"/>
      </w:pPr>
      <w:r>
        <w:rPr>
          <w:i/>
          <w:iCs/>
          <w:color w:val="333333"/>
          <w:sz w:val="20"/>
          <w:szCs w:val="20"/>
        </w:rPr>
        <w:t xml:space="preserve">El segundo hueco más citado — documentación de despliegue desactualizada — está resuelto con una reescritura completa.</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docs/DEPLOYMENT.md reescrito de 27 líneas a una guía completa: variables de entorno con qué ocurre si se dejan vacías (SMTP, Sentry, Redis, ciclo de vida de cuentas, 2FA, lockout), migraciones, build de frontend, CORS, cabeceras de seguridad, tests, stack sugerido, checklist de pre-producción de 10 puntos.</w:t>
      </w:r>
    </w:p>
    <w:p>
      <w:pPr>
        <w:pStyle w:val="ListParagraph"/>
        <w:numPr>
          <w:ilvl w:val="0"/>
          <w:numId w:val="2"/>
        </w:numPr>
        <w:spacing w:after="80"/>
      </w:pPr>
      <w:r>
        <w:rPr>
          <w:sz w:val="20"/>
          <w:szCs w:val="20"/>
        </w:rPr>
        <w:t xml:space="preserve">Cabeceras de seguridad HTTP añadidas (ver Seguridad).</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Interruptores de apagado explícitos para funciones nuevas; .env.example bien comentado.</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Sigue sin encontrarse configuración de CI/CD en esta copia local — no se ha podido confirmar si existe en el repositorio remoto de GitHub.</w:t>
      </w:r>
    </w:p>
    <w:p>
      <w:pPr>
        <w:pStyle w:val="ListParagraph"/>
        <w:numPr>
          <w:ilvl w:val="0"/>
          <w:numId w:val="2"/>
        </w:numPr>
        <w:spacing w:after="80"/>
      </w:pPr>
      <w:r>
        <w:rPr>
          <w:sz w:val="20"/>
          <w:szCs w:val="20"/>
        </w:rPr>
        <w:t xml:space="preserve">Sentry, Redis y las cuentas SMTP siguen siendo decisiones operativas del despliegue real, no de este trabajo de código.</w:t>
      </w:r>
    </w:p>
    <w:p>
      <w:pPr>
        <w:spacing w:after="80" w:before="320"/>
      </w:pPr>
      <w:r>
        <w:rPr>
          <w:b/>
          <w:bCs/>
          <w:color w:val="1B3A5C"/>
          <w:sz w:val="26"/>
          <w:szCs w:val="26"/>
        </w:rPr>
        <w:t xml:space="preserve">UX / Diseño</w:t>
      </w:r>
      <w:r>
        <w:rPr>
          <w:color w:val="666666"/>
          <w:sz w:val="22"/>
          <w:szCs w:val="22"/>
        </w:rPr>
        <w:t xml:space="preserve">  —  8.5 → </w:t>
      </w:r>
      <w:r>
        <w:rPr>
          <w:b/>
          <w:bCs/>
          <w:color w:val="2E6F5E"/>
          <w:sz w:val="22"/>
          <w:szCs w:val="22"/>
        </w:rPr>
        <w:t xml:space="preserve">8.5 / 10</w:t>
      </w:r>
      <w:r>
        <w:rPr>
          <w:i/>
          <w:iCs/>
          <w:color w:val="666666"/>
          <w:sz w:val="18"/>
          <w:szCs w:val="18"/>
        </w:rPr>
        <w:t xml:space="preserve"> (=)</w:t>
      </w:r>
    </w:p>
    <w:p>
      <w:pPr>
        <w:spacing w:after="120"/>
      </w:pPr>
      <w:r>
        <w:rPr>
          <w:i/>
          <w:iCs/>
          <w:color w:val="333333"/>
          <w:sz w:val="20"/>
          <w:szCs w:val="20"/>
        </w:rPr>
        <w:t xml:space="preserve">Sin cambios de fondo — las páginas nuevas de blog y categorías siguen el mismo sistema de diseño premium ya establecido, pero no se realizó una auditoría visual dedicada en esta tanda.</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Consistencia visual mantenida en las dos funciones nuevas (mismo lenguaje de tarjetas, badges, modales, estados vacíos que el resto del panel de admin).</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Sigue pendiente una revisión visual real (no solo de código) antes de un lanzamiento.</w:t>
      </w:r>
    </w:p>
    <w:p>
      <w:pPr>
        <w:spacing w:after="80" w:before="320"/>
      </w:pPr>
      <w:r>
        <w:rPr>
          <w:b/>
          <w:bCs/>
          <w:color w:val="1B3A5C"/>
          <w:sz w:val="26"/>
          <w:szCs w:val="26"/>
        </w:rPr>
        <w:t xml:space="preserve">Documentación</w:t>
      </w:r>
      <w:r>
        <w:rPr>
          <w:color w:val="666666"/>
          <w:sz w:val="22"/>
          <w:szCs w:val="22"/>
        </w:rPr>
        <w:t xml:space="preserve">  —  6.0 → </w:t>
      </w:r>
      <w:r>
        <w:rPr>
          <w:b/>
          <w:bCs/>
          <w:color w:val="1B6B3C"/>
          <w:sz w:val="22"/>
          <w:szCs w:val="22"/>
        </w:rPr>
        <w:t xml:space="preserve">9.0 / 10</w:t>
      </w:r>
      <w:r>
        <w:rPr>
          <w:b/>
          <w:bCs/>
          <w:color w:val="1B6B3C"/>
          <w:sz w:val="18"/>
          <w:szCs w:val="18"/>
        </w:rPr>
        <w:t xml:space="preserve"> (+3.0)</w:t>
      </w:r>
    </w:p>
    <w:p>
      <w:pPr>
        <w:spacing w:after="120"/>
      </w:pPr>
      <w:r>
        <w:rPr>
          <w:i/>
          <w:iCs/>
          <w:color w:val="333333"/>
          <w:sz w:val="20"/>
          <w:szCs w:val="20"/>
        </w:rPr>
        <w:t xml:space="preserve">La categoría con el salto más grande. Los dos huecos señalados explícitamente la vez anterior — documentos no actualizados y ausencia de un registro de decisiones — están cerrados.</w:t>
      </w:r>
    </w:p>
    <w:p>
      <w:pPr>
        <w:spacing w:after="40" w:before="100"/>
      </w:pPr>
      <w:r>
        <w:rPr>
          <w:b/>
          <w:bCs/>
          <w:color w:val="2E6F5E"/>
          <w:sz w:val="20"/>
          <w:szCs w:val="20"/>
        </w:rPr>
        <w:t xml:space="preserve">Qué cambió desde la última evaluación</w:t>
      </w:r>
    </w:p>
    <w:p>
      <w:pPr>
        <w:pStyle w:val="ListParagraph"/>
        <w:numPr>
          <w:ilvl w:val="0"/>
          <w:numId w:val="2"/>
        </w:numPr>
        <w:spacing w:after="80"/>
      </w:pPr>
      <w:r>
        <w:rPr>
          <w:sz w:val="20"/>
          <w:szCs w:val="20"/>
        </w:rPr>
        <w:t xml:space="preserve">docs/DEPLOYMENT.md, docs/DATABASE.md, docs/rbac-architecture.md, README raíz, backend/README.md y los READMEs de scripts, todos revisados y puestos al día — incluyendo la corrección de rutas obsoletas (ase_backend/ase_frontend) que arrastraban desde una renombración de carpetas anterior.</w:t>
      </w:r>
    </w:p>
    <w:p>
      <w:pPr>
        <w:pStyle w:val="ListParagraph"/>
        <w:numPr>
          <w:ilvl w:val="0"/>
          <w:numId w:val="2"/>
        </w:numPr>
        <w:spacing w:after="80"/>
      </w:pPr>
      <w:r>
        <w:rPr>
          <w:sz w:val="20"/>
          <w:szCs w:val="20"/>
        </w:rPr>
        <w:t xml:space="preserve">docs/adr/ nuevo: 11 Architecture Decision Records más un índice, documentando el porqué de decisiones ya tomadas (RBAC en modo MVP, ciclo de vida de cuentas, integraciones opcionales, log de errores propio, rate limiting, cabeceras de seguridad, sanitización del blog, categorías de catálogo, code splitting, aislamiento de tests, scheduler in-process) antes de que se perdieran fuera de esta conversación.</w:t>
      </w:r>
    </w:p>
    <w:p>
      <w:pPr>
        <w:spacing w:after="40" w:before="100"/>
      </w:pPr>
      <w:r>
        <w:rPr>
          <w:b/>
          <w:bCs/>
          <w:sz w:val="20"/>
          <w:szCs w:val="20"/>
        </w:rPr>
        <w:t xml:space="preserve">Fortalezas</w:t>
      </w:r>
    </w:p>
    <w:p>
      <w:pPr>
        <w:pStyle w:val="ListParagraph"/>
        <w:numPr>
          <w:ilvl w:val="0"/>
          <w:numId w:val="2"/>
        </w:numPr>
        <w:spacing w:after="80"/>
      </w:pPr>
      <w:r>
        <w:rPr>
          <w:sz w:val="20"/>
          <w:szCs w:val="20"/>
        </w:rPr>
        <w:t xml:space="preserve">Cada documento ahora referencia a los demás (README → DEPLOYMENT → ADRs) en vez de vivir de forma aislada.</w:t>
      </w:r>
    </w:p>
    <w:p>
      <w:pPr>
        <w:spacing w:after="40" w:before="100"/>
      </w:pPr>
      <w:r>
        <w:rPr>
          <w:b/>
          <w:bCs/>
          <w:sz w:val="20"/>
          <w:szCs w:val="20"/>
        </w:rPr>
        <w:t xml:space="preserve">Áreas de mejora</w:t>
      </w:r>
    </w:p>
    <w:p>
      <w:pPr>
        <w:pStyle w:val="ListParagraph"/>
        <w:numPr>
          <w:ilvl w:val="0"/>
          <w:numId w:val="2"/>
        </w:numPr>
        <w:spacing w:after="80"/>
      </w:pPr>
      <w:r>
        <w:rPr>
          <w:sz w:val="20"/>
          <w:szCs w:val="20"/>
        </w:rPr>
        <w:t xml:space="preserve">El README de scripts/database y los README genéricos de frontend (plantilla de Vite) no se tocaron por no ser específicos del proyecto — bajo impacto.</w:t>
      </w:r>
    </w:p>
    <w:p>
      <w:pPr>
        <w:pStyle w:val="Heading1"/>
        <w:spacing w:after="140" w:before="280"/>
      </w:pPr>
      <w:r>
        <w:t xml:space="preserve">Recomendaciones priorizadas</w:t>
      </w:r>
    </w:p>
    <w:p>
      <w:pPr>
        <w:spacing w:after="100" w:before="160"/>
      </w:pPr>
      <w:r>
        <w:rPr>
          <w:b/>
          <w:bCs/>
          <w:color w:val="2E6F5E"/>
          <w:sz w:val="22"/>
          <w:szCs w:val="22"/>
        </w:rPr>
        <w:t xml:space="preserve">Esta semana (bajo esfuerzo, alto impacto)</w:t>
      </w:r>
    </w:p>
    <w:p>
      <w:pPr>
        <w:pStyle w:val="ListParagraph"/>
        <w:numPr>
          <w:ilvl w:val="0"/>
          <w:numId w:val="2"/>
        </w:numPr>
        <w:spacing w:after="80"/>
      </w:pPr>
      <w:r>
        <w:t xml:space="preserve">Ejecutar `npm run lint` con foco de limpieza sobre los 14 archivos con errores (AuthProvider, ProfilePage, useRbac, AdminCatalogItemModal, PlansPage, UsersPage, OrganizationsPage, entre otros) — ninguno es del trabajo reciente, pero ya están cuantificados y localizados.</w:t>
      </w:r>
    </w:p>
    <w:p>
      <w:pPr>
        <w:pStyle w:val="ListParagraph"/>
        <w:numPr>
          <w:ilvl w:val="0"/>
          <w:numId w:val="2"/>
        </w:numPr>
        <w:spacing w:after="80"/>
      </w:pPr>
      <w:r>
        <w:t xml:space="preserve">Decidir si la suite de tests de backend previa a esta sesión se migra al patrón de TEST_DATABASE_URL o se retira — hoy conviven dos estrategias de aislamiento distintas y solo una es segura de ejecutar sin pensarlo dos veces.</w:t>
      </w:r>
    </w:p>
    <w:p>
      <w:pPr>
        <w:pStyle w:val="ListParagraph"/>
        <w:numPr>
          <w:ilvl w:val="0"/>
          <w:numId w:val="2"/>
        </w:numPr>
        <w:spacing w:after="80"/>
      </w:pPr>
      <w:r>
        <w:t xml:space="preserve">Configurar SENTRY_DSN (ya está integrado en código, backend y frontend) — el mismo pendiente que ya se señalaba la vez anterior.</w:t>
      </w:r>
    </w:p>
    <w:p>
      <w:pPr>
        <w:pStyle w:val="ListParagraph"/>
        <w:numPr>
          <w:ilvl w:val="0"/>
          <w:numId w:val="2"/>
        </w:numPr>
        <w:spacing w:after="80"/>
      </w:pPr>
      <w:r>
        <w:t xml:space="preserve">Confirmar en el repositorio remoto de GitHub si existe CI (tests/lint automáticos en cada push); si no, es la protección más barata contra regresiones — sobre todo ahora que ya hay una suite de tests real que ejecutar en cada push.</w:t>
      </w:r>
    </w:p>
    <w:p>
      <w:pPr>
        <w:spacing w:after="100" w:before="200"/>
      </w:pPr>
      <w:r>
        <w:rPr>
          <w:b/>
          <w:bCs/>
          <w:color w:val="2E6F5E"/>
          <w:sz w:val="22"/>
          <w:szCs w:val="22"/>
        </w:rPr>
        <w:t xml:space="preserve">Próximo trimestre (esfuerzo medio-alto, impacto estructural)</w:t>
      </w:r>
    </w:p>
    <w:p>
      <w:pPr>
        <w:pStyle w:val="ListParagraph"/>
        <w:numPr>
          <w:ilvl w:val="0"/>
          <w:numId w:val="2"/>
        </w:numPr>
        <w:spacing w:after="80"/>
      </w:pPr>
      <w:r>
        <w:t xml:space="preserve">Ampliar la cobertura de tests más allá de la base básica actual — especialmente en el frontend, donde solo 3 de decenas de páginas tienen test propio.</w:t>
      </w:r>
    </w:p>
    <w:p>
      <w:pPr>
        <w:pStyle w:val="ListParagraph"/>
        <w:numPr>
          <w:ilvl w:val="0"/>
          <w:numId w:val="2"/>
        </w:numPr>
        <w:spacing w:after="80"/>
      </w:pPr>
      <w:r>
        <w:t xml:space="preserve">Configurar Redis si se prevé más de una instancia del backend — sigue siendo la misma dependencia entre el rate limiter y el planificador de tareas que ya se señalaba antes.</w:t>
      </w:r>
    </w:p>
    <w:p>
      <w:pPr>
        <w:pStyle w:val="ListParagraph"/>
        <w:numPr>
          <w:ilvl w:val="0"/>
          <w:numId w:val="2"/>
        </w:numPr>
        <w:spacing w:after="80"/>
      </w:pPr>
      <w:r>
        <w:t xml:space="preserve">Auditoría de accesibilidad con revisión manual (lector de pantalla, navegación por teclado), más allá del recuento automático de aria-label.</w:t>
      </w:r>
    </w:p>
    <w:p>
      <w:pPr>
        <w:pStyle w:val="ListParagraph"/>
        <w:numPr>
          <w:ilvl w:val="0"/>
          <w:numId w:val="2"/>
        </w:numPr>
        <w:spacing w:after="80"/>
      </w:pPr>
      <w:r>
        <w:t xml:space="preserve">Definir un mecanismo de alertado (email/Slack) cuando el registro de errores supere un umbral.</w:t>
      </w:r>
    </w:p>
    <w:p>
      <w:pPr>
        <w:pStyle w:val="ListParagraph"/>
        <w:numPr>
          <w:ilvl w:val="0"/>
          <w:numId w:val="2"/>
        </w:numPr>
        <w:spacing w:after="80"/>
      </w:pPr>
      <w:r>
        <w:t xml:space="preserve">Revisión visual real (no solo de código) antes de un lanzamiento — sigue pendiente desde la evaluación anterior.</w:t>
      </w:r>
    </w:p>
    <w:p>
      <w:pPr>
        <w:pStyle w:val="Heading1"/>
        <w:spacing w:after="140" w:before="280"/>
      </w:pPr>
      <w:r>
        <w:t xml:space="preserve">Nota metodológica</w:t>
      </w:r>
    </w:p>
    <w:p>
      <w:pPr>
        <w:spacing w:after="120"/>
      </w:pPr>
      <w:r>
        <w:rPr>
          <w:i/>
          <w:iCs/>
          <w:color w:val="444444"/>
        </w:rPr>
        <w:t xml:space="preserve">Esta evaluación combina una revisión estática del código en su estado actual (recuento de módulos, migraciones, tests, tamaño de bundle, cabeceras HTTP verificadas con TestClient, variables de entorno) con la ejecución real de las herramientas de verificación disponibles en este entorno: `npm run build`, `npm run lint` (proyecto completo, no solo los archivos nuevos), y recolección de tests de backend (`pytest --collect-only`, sin poder ejecutarlos contra una base de datos real por no haber Postgres disponible en este entorno). Donde la puntuación depende de algo que no se pudo verificar directamente — por ejemplo, si los tests de backend pasan de verdad contra una base de datos real, o si existe CI en el repositorio remoto — se ha señalado explícitamente en vez de asumirlo, igual que en la evaluación anterior.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2026-08-13T07:58:15.768Z</dcterms:created>
  <dcterms:modified xsi:type="dcterms:W3CDTF">2026-08-13T07:58:15.768Z</dcterms:modified>
</cp:coreProperties>
</file>

<file path=docProps/custom.xml><?xml version="1.0" encoding="utf-8"?>
<Properties xmlns="http://schemas.openxmlformats.org/officeDocument/2006/custom-properties" xmlns:vt="http://schemas.openxmlformats.org/officeDocument/2006/docPropsVTypes"/>
</file>