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i w:val="false"/>
          <w:iCs w:val="false"/>
          <w:caps/>
          <w:color w:val="3E6FA5"/>
          <w:sz w:val="22"/>
          <w:szCs w:val="22"/>
        </w:rPr>
        <w:t xml:space="preserve">UGENCE LABS</w:t>
      </w:r>
    </w:p>
    <w:p>
      <w:pPr>
        <w:pBdr>
          <w:bottom w:val="single" w:color="14294A" w:sz="18" w:space="10"/>
        </w:pBdr>
        <w:spacing w:after="0" w:before="40"/>
      </w:pPr>
      <w:r>
        <w:rPr>
          <w:rFonts w:ascii="Calibri" w:cs="Calibri" w:eastAsia="Calibri" w:hAnsi="Calibri"/>
          <w:b w:val="false"/>
          <w:bCs w:val="false"/>
          <w:i w:val="false"/>
          <w:iCs w:val="false"/>
          <w:caps w:val="false"/>
          <w:color w:val="1A2330"/>
          <w:sz w:val="8"/>
          <w:szCs w:val="8"/>
        </w:rPr>
        <w:t xml:space="preserve"/>
      </w:r>
    </w:p>
    <w:p>
      <w:pPr>
        <w:spacing w:after="0" w:before="300"/>
      </w:pPr>
      <w:r>
        <w:rPr>
          <w:rFonts w:ascii="Calibri" w:cs="Calibri" w:eastAsia="Calibri" w:hAnsi="Calibri"/>
          <w:b/>
          <w:bCs/>
          <w:i w:val="false"/>
          <w:iCs w:val="false"/>
          <w:caps w:val="false"/>
          <w:color w:val="14294A"/>
          <w:sz w:val="60"/>
          <w:szCs w:val="60"/>
        </w:rPr>
        <w:t xml:space="preserve">Ugence AI Control Plane</w:t>
      </w:r>
    </w:p>
    <w:p>
      <w:pPr>
        <w:spacing w:after="200" w:before="60"/>
      </w:pPr>
      <w:r>
        <w:rPr>
          <w:rFonts w:ascii="Calibri" w:cs="Calibri" w:eastAsia="Calibri" w:hAnsi="Calibri"/>
          <w:b w:val="false"/>
          <w:bCs w:val="false"/>
          <w:i w:val="false"/>
          <w:iCs w:val="false"/>
          <w:caps w:val="false"/>
          <w:color w:val="2E5A88"/>
          <w:sz w:val="34"/>
          <w:szCs w:val="34"/>
        </w:rPr>
        <w:t xml:space="preserve">Productization and Unified Console Plan</w:t>
      </w:r>
    </w:p>
    <w:tbl>
      <w:tblPr>
        <w:tblW w:type="dxa" w:w="10080"/>
        <w:tblBorders>
          <w:top w:val="single" w:color="EAF0F7" w:sz="2"/>
          <w:left w:val="single" w:color="3E6FA5" w:sz="28"/>
          <w:bottom w:val="single" w:color="EAF0F7" w:sz="2"/>
          <w:right w:val="single" w:color="EAF0F7" w:sz="2"/>
          <w:insideH w:val="none"/>
          <w:insideV w:val="none"/>
        </w:tblBorders>
      </w:tblPr>
      <w:tblGrid>
        <w:gridCol w:w="10080"/>
      </w:tblGrid>
      <w:tr>
        <w:tc>
          <w:tcPr>
            <w:tcW w:type="dxa" w:w="10080"/>
            <w:shd w:fill="EAF0F7" w:color="auto" w:val="clear"/>
            <w:tcMar>
              <w:top w:type="dxa" w:w="120"/>
              <w:left w:type="dxa" w:w="200"/>
              <w:bottom w:type="dxa" w:w="120"/>
              <w:right w:type="dxa" w:w="160"/>
            </w:tcMar>
          </w:tcPr>
          <w:p>
            <w:pPr>
              <w:spacing w:after="0" w:line="276"/>
            </w:pPr>
            <w:r>
              <w:rPr>
                <w:rFonts w:ascii="Calibri" w:cs="Calibri" w:eastAsia="Calibri" w:hAnsi="Calibri"/>
                <w:b w:val="false"/>
                <w:bCs w:val="false"/>
                <w:i/>
                <w:iCs/>
                <w:caps w:val="false"/>
                <w:color w:val="1F3A5F"/>
                <w:sz w:val="26"/>
                <w:szCs w:val="26"/>
              </w:rPr>
              <w:t xml:space="preserve">Consolidating implemented governance technologies into one enterprise-deployable product</w:t>
            </w:r>
          </w:p>
        </w:tc>
      </w:tr>
    </w:tbl>
    <w:p>
      <w:pPr>
        <w:spacing w:after="0" w:before="2600"/>
      </w:pPr>
      <w:r>
        <w:rPr>
          <w:rFonts w:ascii="Calibri" w:cs="Calibri" w:eastAsia="Calibri" w:hAnsi="Calibri"/>
          <w:b/>
          <w:bCs/>
          <w:i w:val="false"/>
          <w:iCs w:val="false"/>
          <w:caps w:val="false"/>
          <w:color w:val="1F3A5F"/>
          <w:sz w:val="20"/>
          <w:szCs w:val="20"/>
        </w:rPr>
        <w:t xml:space="preserve">Confidential — shared for investor and design-partner evaluation</w:t>
      </w:r>
    </w:p>
    <w:p>
      <w:pPr>
        <w:spacing w:after="0" w:before="40"/>
      </w:pPr>
      <w:r>
        <w:rPr>
          <w:rFonts w:ascii="Calibri" w:cs="Calibri" w:eastAsia="Calibri" w:hAnsi="Calibri"/>
          <w:b w:val="false"/>
          <w:bCs w:val="false"/>
          <w:i w:val="false"/>
          <w:iCs w:val="false"/>
          <w:caps w:val="false"/>
          <w:color w:val="5A6B7B"/>
          <w:sz w:val="18"/>
          <w:szCs w:val="18"/>
        </w:rPr>
        <w:t xml:space="preserve">Prepared by Ugence Labs · Contact: Rakesh Mohan</w:t>
      </w:r>
    </w:p>
    <w:p>
      <w:r>
        <w:br w:type="page"/>
      </w:r>
    </w:p>
    <w:p>
      <w:pPr>
        <w:pBdr>
          <w:bottom w:val="single" w:color="3E6FA5" w:sz="12" w:space="4"/>
        </w:pBdr>
        <w:spacing w:after="60" w:before="320"/>
      </w:pPr>
      <w:r>
        <w:rPr>
          <w:rFonts w:ascii="Calibri" w:cs="Calibri" w:eastAsia="Calibri" w:hAnsi="Calibri"/>
          <w:b/>
          <w:bCs/>
          <w:i w:val="false"/>
          <w:iCs w:val="false"/>
          <w:caps w:val="false"/>
          <w:color w:val="14294A"/>
          <w:sz w:val="30"/>
          <w:szCs w:val="30"/>
        </w:rPr>
        <w:t xml:space="preserve">Executive summary</w:t>
      </w:r>
    </w:p>
    <w:tbl>
      <w:tblPr>
        <w:tblW w:type="dxa" w:w="10080"/>
        <w:tblBorders>
          <w:top w:val="single" w:color="E9F0F8" w:sz="2"/>
          <w:left w:val="single" w:color="2E5A88" w:sz="28"/>
          <w:bottom w:val="single" w:color="E9F0F8" w:sz="2"/>
          <w:right w:val="single" w:color="E9F0F8" w:sz="2"/>
          <w:insideH w:val="none"/>
          <w:insideV w:val="none"/>
        </w:tblBorders>
      </w:tblPr>
      <w:tblGrid>
        <w:gridCol w:w="10080"/>
      </w:tblGrid>
      <w:tr>
        <w:tc>
          <w:tcPr>
            <w:tcW w:type="dxa" w:w="10080"/>
            <w:shd w:fill="E9F0F8" w:color="auto" w:val="clear"/>
            <w:tcMar>
              <w:top w:type="dxa" w:w="120"/>
              <w:left w:type="dxa" w:w="200"/>
              <w:bottom w:type="dxa" w:w="120"/>
              <w:right w:type="dxa" w:w="160"/>
            </w:tcMar>
          </w:tcPr>
          <w:p>
            <w:pPr>
              <w:spacing w:after="0" w:line="276"/>
            </w:pPr>
            <w:r>
              <w:rPr>
                <w:rFonts w:ascii="Calibri" w:cs="Calibri" w:eastAsia="Calibri" w:hAnsi="Calibri"/>
                <w:b w:val="false"/>
                <w:bCs w:val="false"/>
                <w:i/>
                <w:iCs/>
                <w:caps w:val="false"/>
                <w:color w:val="1F3A5F"/>
                <w:sz w:val="22"/>
                <w:szCs w:val="22"/>
              </w:rPr>
              <w:t xml:space="preserve">Agent runtimes determine what an AI wants to do. Ugence governs whether that exact proposed action may proceed — under evidence, policy, human authority, and current operational state.</w:t>
            </w:r>
          </w:p>
        </w:tc>
      </w:tr>
    </w:tbl>
    <w:p>
      <w:pPr>
        <w:spacing w:after="100" w:line="270"/>
      </w:pPr>
      <w:r>
        <w:rPr>
          <w:rFonts w:ascii="Calibri" w:cs="Calibri" w:eastAsia="Calibri" w:hAnsi="Calibri"/>
          <w:b/>
          <w:bCs/>
          <w:i w:val="false"/>
          <w:iCs w:val="false"/>
          <w:caps w:val="false"/>
          <w:color w:val="14294A"/>
          <w:sz w:val="21"/>
          <w:szCs w:val="21"/>
        </w:rPr>
        <w:t xml:space="preserve">What Ugence is building.</w:t>
      </w:r>
      <w:r>
        <w:rPr>
          <w:rFonts w:ascii="Calibri" w:cs="Calibri" w:eastAsia="Calibri" w:hAnsi="Calibri"/>
          <w:b w:val="false"/>
          <w:bCs w:val="false"/>
          <w:i w:val="false"/>
          <w:iCs w:val="false"/>
          <w:caps w:val="false"/>
          <w:color w:val="1A2330"/>
          <w:sz w:val="21"/>
          <w:szCs w:val="21"/>
        </w:rPr>
        <w:t xml:space="preserve"> One enterprise-deployable product — the Ugence AI Control Plane — that governs what enterprise AI agents may claim, recommend, decide, and do. It is not fourteen separate research modules; it is a single governed-execution layer with a unified console, stable APIs, enterprise connectors, durable audit, human review, and controlled enforcement.</w:t>
      </w:r>
    </w:p>
    <w:p>
      <w:pPr>
        <w:spacing w:after="100" w:line="270"/>
      </w:pPr>
      <w:r>
        <w:rPr>
          <w:rFonts w:ascii="Calibri" w:cs="Calibri" w:eastAsia="Calibri" w:hAnsi="Calibri"/>
          <w:b/>
          <w:bCs/>
          <w:i w:val="false"/>
          <w:iCs w:val="false"/>
          <w:caps w:val="false"/>
          <w:color w:val="14294A"/>
          <w:sz w:val="21"/>
          <w:szCs w:val="21"/>
        </w:rPr>
        <w:t xml:space="preserve">The problem it solves.</w:t>
      </w:r>
      <w:r>
        <w:rPr>
          <w:rFonts w:ascii="Calibri" w:cs="Calibri" w:eastAsia="Calibri" w:hAnsi="Calibri"/>
          <w:b w:val="false"/>
          <w:bCs w:val="false"/>
          <w:i w:val="false"/>
          <w:iCs w:val="false"/>
          <w:caps w:val="false"/>
          <w:color w:val="1A2330"/>
          <w:sz w:val="21"/>
          <w:szCs w:val="21"/>
        </w:rPr>
        <w:t xml:space="preserve"> Enterprises can build an AI agent in an afternoon but cannot let it act on a payment system, a production database, or a Kubernetes cluster with confidence. The runtime that proposes an action should not also be the authority that approves it.</w:t>
      </w:r>
    </w:p>
    <w:p>
      <w:pPr>
        <w:spacing w:after="100" w:line="270"/>
      </w:pPr>
      <w:r>
        <w:rPr>
          <w:rFonts w:ascii="Calibri" w:cs="Calibri" w:eastAsia="Calibri" w:hAnsi="Calibri"/>
          <w:b/>
          <w:bCs/>
          <w:i w:val="false"/>
          <w:iCs w:val="false"/>
          <w:caps w:val="false"/>
          <w:color w:val="14294A"/>
          <w:sz w:val="21"/>
          <w:szCs w:val="21"/>
        </w:rPr>
        <w:t xml:space="preserve">What exists today.</w:t>
      </w:r>
      <w:r>
        <w:rPr>
          <w:rFonts w:ascii="Calibri" w:cs="Calibri" w:eastAsia="Calibri" w:hAnsi="Calibri"/>
          <w:b w:val="false"/>
          <w:bCs w:val="false"/>
          <w:i w:val="false"/>
          <w:iCs w:val="false"/>
          <w:caps w:val="false"/>
          <w:color w:val="1A2330"/>
          <w:sz w:val="21"/>
          <w:szCs w:val="21"/>
        </w:rPr>
        <w:t xml:space="preserve"> Implemented governance kernels and runtime contracts, controlled internal evidence, and a working action-control vertical slice: a dedicated backend service and a separate console app that run a proposed Kubernetes action through verification, authorization, and operational clearance — threaded end-to-end and recorded for reconstruction.</w:t>
      </w:r>
    </w:p>
    <w:p>
      <w:pPr>
        <w:spacing w:after="100" w:line="270"/>
      </w:pPr>
      <w:r>
        <w:rPr>
          <w:rFonts w:ascii="Calibri" w:cs="Calibri" w:eastAsia="Calibri" w:hAnsi="Calibri"/>
          <w:b/>
          <w:bCs/>
          <w:i w:val="false"/>
          <w:iCs w:val="false"/>
          <w:caps w:val="false"/>
          <w:color w:val="14294A"/>
          <w:sz w:val="21"/>
          <w:szCs w:val="21"/>
        </w:rPr>
        <w:t xml:space="preserve">What the prototype demonstrates.</w:t>
      </w:r>
      <w:r>
        <w:rPr>
          <w:rFonts w:ascii="Calibri" w:cs="Calibri" w:eastAsia="Calibri" w:hAnsi="Calibri"/>
          <w:b w:val="false"/>
          <w:bCs w:val="false"/>
          <w:i w:val="false"/>
          <w:iCs w:val="false"/>
          <w:caps w:val="false"/>
          <w:color w:val="1A2330"/>
          <w:sz w:val="21"/>
          <w:szCs w:val="21"/>
        </w:rPr>
        <w:t xml:space="preserve"> That the governance modules compose into one governed loop with a single auditable trail, and that the loop is fail-closed and non-compensatory — a clean authorization cannot buy back an unsupported assertion or an operational hold.</w:t>
      </w:r>
    </w:p>
    <w:p>
      <w:pPr>
        <w:spacing w:after="100" w:line="270"/>
      </w:pPr>
      <w:r>
        <w:rPr>
          <w:rFonts w:ascii="Calibri" w:cs="Calibri" w:eastAsia="Calibri" w:hAnsi="Calibri"/>
          <w:b/>
          <w:bCs/>
          <w:i w:val="false"/>
          <w:iCs w:val="false"/>
          <w:caps w:val="false"/>
          <w:color w:val="14294A"/>
          <w:sz w:val="21"/>
          <w:szCs w:val="21"/>
        </w:rPr>
        <w:t xml:space="preserve">What Phase 1 is — and is not.</w:t>
      </w:r>
      <w:r>
        <w:rPr>
          <w:rFonts w:ascii="Calibri" w:cs="Calibri" w:eastAsia="Calibri" w:hAnsi="Calibri"/>
          <w:b w:val="false"/>
          <w:bCs w:val="false"/>
          <w:i w:val="false"/>
          <w:iCs w:val="false"/>
          <w:caps w:val="false"/>
          <w:color w:val="1A2330"/>
          <w:sz w:val="21"/>
          <w:szCs w:val="21"/>
        </w:rPr>
        <w:t xml:space="preserve"> Phase 1 is an action-control vertical slice, not the complete production product. It evaluates and records; it does not yet carry multi-tenant identity, human authority binding, durable audit, live execution, or reconciliation.</w:t>
      </w:r>
    </w:p>
    <w:p>
      <w:pPr>
        <w:spacing w:after="100" w:line="270"/>
      </w:pPr>
      <w:r>
        <w:rPr>
          <w:rFonts w:ascii="Calibri" w:cs="Calibri" w:eastAsia="Calibri" w:hAnsi="Calibri"/>
          <w:b/>
          <w:bCs/>
          <w:i w:val="false"/>
          <w:iCs w:val="false"/>
          <w:caps w:val="false"/>
          <w:color w:val="14294A"/>
          <w:sz w:val="21"/>
          <w:szCs w:val="21"/>
        </w:rPr>
        <w:t xml:space="preserve">What remains to be productized.</w:t>
      </w:r>
      <w:r>
        <w:rPr>
          <w:rFonts w:ascii="Calibri" w:cs="Calibri" w:eastAsia="Calibri" w:hAnsi="Calibri"/>
          <w:b w:val="false"/>
          <w:bCs w:val="false"/>
          <w:i w:val="false"/>
          <w:iCs w:val="false"/>
          <w:caps w:val="false"/>
          <w:color w:val="1A2330"/>
          <w:sz w:val="21"/>
          <w:szCs w:val="21"/>
        </w:rPr>
        <w:t xml:space="preserve"> The connective tissue that makes modules one product: tenant identity and isolation, policy and authority services, durable tamper-evident audit, a human review queue, runtime and execution connectors, controlled enforcement, and reconciliation.</w:t>
      </w:r>
    </w:p>
    <w:p>
      <w:pPr>
        <w:spacing w:after="100" w:line="270"/>
      </w:pPr>
      <w:r>
        <w:rPr>
          <w:rFonts w:ascii="Calibri" w:cs="Calibri" w:eastAsia="Calibri" w:hAnsi="Calibri"/>
          <w:b/>
          <w:bCs/>
          <w:i w:val="false"/>
          <w:iCs w:val="false"/>
          <w:caps w:val="false"/>
          <w:color w:val="14294A"/>
          <w:sz w:val="21"/>
          <w:szCs w:val="21"/>
        </w:rPr>
        <w:t xml:space="preserve">What the pre-seed funds.</w:t>
      </w:r>
      <w:r>
        <w:rPr>
          <w:rFonts w:ascii="Calibri" w:cs="Calibri" w:eastAsia="Calibri" w:hAnsi="Calibri"/>
          <w:b w:val="false"/>
          <w:bCs w:val="false"/>
          <w:i w:val="false"/>
          <w:iCs w:val="false"/>
          <w:caps w:val="false"/>
          <w:color w:val="1A2330"/>
          <w:sz w:val="21"/>
          <w:szCs w:val="21"/>
        </w:rPr>
        <w:t xml:space="preserve"> Building that connective tissue into one secure, repeatable, enterprise-deployable v1, and running a paid design-partner pilot on the Kubernetes infrastructure-agent wedge.</w:t>
      </w:r>
    </w:p>
    <w:p>
      <w:pPr>
        <w:spacing w:after="100" w:line="270"/>
      </w:pPr>
      <w:r>
        <w:rPr>
          <w:rFonts w:ascii="Calibri" w:cs="Calibri" w:eastAsia="Calibri" w:hAnsi="Calibri"/>
          <w:b/>
          <w:bCs/>
          <w:i w:val="false"/>
          <w:iCs w:val="false"/>
          <w:caps w:val="false"/>
          <w:color w:val="14294A"/>
          <w:sz w:val="21"/>
          <w:szCs w:val="21"/>
        </w:rPr>
        <w:t xml:space="preserve">The milestone the round achieves.</w:t>
      </w:r>
      <w:r>
        <w:rPr>
          <w:rFonts w:ascii="Calibri" w:cs="Calibri" w:eastAsia="Calibri" w:hAnsi="Calibri"/>
          <w:b w:val="false"/>
          <w:bCs w:val="false"/>
          <w:i w:val="false"/>
          <w:iCs w:val="false"/>
          <w:caps w:val="false"/>
          <w:color w:val="1A2330"/>
          <w:sz w:val="21"/>
          <w:szCs w:val="21"/>
        </w:rPr>
        <w:t xml:space="preserve"> A first enterprise Ugence Agent Control Pilot progressing from shadow to selected controlled enforcement, with preregistered success criteria and a complete, reconstructable audit trail.</w:t>
      </w:r>
    </w:p>
    <w:p>
      <w:r>
        <w:br w:type="page"/>
      </w:r>
    </w:p>
    <w:p>
      <w:pPr>
        <w:pBdr>
          <w:bottom w:val="single" w:color="3E6FA5" w:sz="12" w:space="4"/>
        </w:pBdr>
        <w:spacing w:after="60" w:before="320"/>
      </w:pPr>
      <w:r>
        <w:rPr>
          <w:rFonts w:ascii="Calibri" w:cs="Calibri" w:eastAsia="Calibri" w:hAnsi="Calibri"/>
          <w:b/>
          <w:bCs/>
          <w:i w:val="false"/>
          <w:iCs w:val="false"/>
          <w:caps w:val="false"/>
          <w:color w:val="14294A"/>
          <w:sz w:val="30"/>
          <w:szCs w:val="30"/>
        </w:rPr>
        <w:t xml:space="preserve">1 · The problem and positioning</w:t>
      </w:r>
    </w:p>
    <w:p>
      <w:pPr>
        <w:spacing w:after="120" w:before="0" w:line="276"/>
      </w:pPr>
      <w:r>
        <w:rPr>
          <w:rFonts w:ascii="Calibri" w:cs="Calibri" w:eastAsia="Calibri" w:hAnsi="Calibri"/>
          <w:b w:val="false"/>
          <w:bCs w:val="false"/>
          <w:i w:val="false"/>
          <w:iCs w:val="false"/>
          <w:caps w:val="false"/>
          <w:color w:val="1A2330"/>
          <w:sz w:val="21"/>
          <w:szCs w:val="21"/>
        </w:rPr>
        <w:t xml:space="preserve">Modern AI has excellent parts and a missing middle. Foundation models reason; orchestration frameworks wire; clouds host. None of them governs execution, and none supervises it independently of the runtime that proposes it.</w:t>
      </w:r>
    </w:p>
    <w:p>
      <w:pPr>
        <w:spacing w:after="120" w:before="0" w:line="276"/>
      </w:pPr>
      <w:r>
        <w:rPr>
          <w:rFonts w:ascii="Calibri" w:cs="Calibri" w:eastAsia="Calibri" w:hAnsi="Calibri"/>
          <w:b w:val="false"/>
          <w:bCs w:val="false"/>
          <w:i w:val="false"/>
          <w:iCs w:val="false"/>
          <w:caps w:val="false"/>
          <w:color w:val="1A2330"/>
          <w:sz w:val="21"/>
          <w:szCs w:val="21"/>
        </w:rPr>
        <w:t xml:space="preserve">Security systems determine who may access a system. Agent runtimes determine what an AI wants to do. Ugence governs whether that exact proposed action may proceed — under evidence, policy, human authority, and current operational state — and records a reconstructable decision trail. Monitoring tools report what an agent did, after the fact, and hold no authority to stop it. Ugence sits before commit and can allow, constrain, escalate, or deny.</w:t>
      </w:r>
    </w:p>
    <w:p>
      <w:pPr>
        <w:spacing w:after="120" w:before="0" w:line="276"/>
      </w:pPr>
      <w:r>
        <w:rPr>
          <w:rFonts w:ascii="Calibri" w:cs="Calibri" w:eastAsia="Calibri" w:hAnsi="Calibri"/>
          <w:b w:val="false"/>
          <w:bCs w:val="false"/>
          <w:i w:val="false"/>
          <w:iCs w:val="false"/>
          <w:caps w:val="false"/>
          <w:color w:val="1A2330"/>
          <w:sz w:val="21"/>
          <w:szCs w:val="21"/>
        </w:rPr>
        <w:t xml:space="preserve">The risk enterprises now face has shifted from output quality to enterprise consequence: a wrong database write, an unauthorized payment, a deleted resource, an unsupported claim presented as fact. That is the risk Ugence is built to govern.</w:t>
      </w:r>
    </w:p>
    <w:p>
      <w:pPr>
        <w:pBdr>
          <w:bottom w:val="single" w:color="3E6FA5" w:sz="12" w:space="4"/>
        </w:pBdr>
        <w:spacing w:after="60" w:before="320"/>
      </w:pPr>
      <w:r>
        <w:rPr>
          <w:rFonts w:ascii="Calibri" w:cs="Calibri" w:eastAsia="Calibri" w:hAnsi="Calibri"/>
          <w:b/>
          <w:bCs/>
          <w:i w:val="false"/>
          <w:iCs w:val="false"/>
          <w:caps w:val="false"/>
          <w:color w:val="14294A"/>
          <w:sz w:val="30"/>
          <w:szCs w:val="30"/>
        </w:rPr>
        <w:t xml:space="preserve">2 · What exists today</w:t>
      </w:r>
    </w:p>
    <w:p>
      <w:pPr>
        <w:spacing w:after="120" w:before="0" w:line="276"/>
      </w:pPr>
      <w:r>
        <w:rPr>
          <w:rFonts w:ascii="Calibri" w:cs="Calibri" w:eastAsia="Calibri" w:hAnsi="Calibri"/>
          <w:b w:val="false"/>
          <w:bCs w:val="false"/>
          <w:i w:val="false"/>
          <w:iCs w:val="false"/>
          <w:caps w:val="false"/>
          <w:color w:val="1A2330"/>
          <w:sz w:val="21"/>
          <w:szCs w:val="21"/>
        </w:rPr>
        <w:t xml:space="preserve">Ugence has substantial software proof today; the round buys business proof. Two things are true at once and are kept distinct throughout this document:</w:t>
      </w:r>
    </w:p>
    <w:p>
      <w:pPr>
        <w:pStyle w:val="ListParagraph"/>
        <w:numPr>
          <w:ilvl w:val="0"/>
          <w:numId w:val="1"/>
        </w:numPr>
        <w:spacing w:after="70" w:line="268"/>
      </w:pPr>
      <w:r>
        <w:rPr>
          <w:rFonts w:ascii="Calibri" w:cs="Calibri" w:eastAsia="Calibri" w:hAnsi="Calibri"/>
          <w:b/>
          <w:bCs/>
          <w:i w:val="false"/>
          <w:iCs w:val="false"/>
          <w:caps w:val="false"/>
          <w:color w:val="14294A"/>
          <w:sz w:val="21"/>
          <w:szCs w:val="21"/>
        </w:rPr>
        <w:t xml:space="preserve">The governance mechanisms exist. </w:t>
      </w:r>
      <w:r>
        <w:rPr>
          <w:rFonts w:ascii="Calibri" w:cs="Calibri" w:eastAsia="Calibri" w:hAnsi="Calibri"/>
          <w:b w:val="false"/>
          <w:bCs w:val="false"/>
          <w:i w:val="false"/>
          <w:iCs w:val="false"/>
          <w:caps w:val="false"/>
          <w:color w:val="1A2330"/>
          <w:sz w:val="21"/>
          <w:szCs w:val="21"/>
        </w:rPr>
        <w:t xml:space="preserve">Implemented governance kernels (action authorization, assertion verification, operational clearance), runtime contracts (the Canonical Execution Request), and controlled internal evidence.</w:t>
      </w:r>
    </w:p>
    <w:p>
      <w:pPr>
        <w:pStyle w:val="ListParagraph"/>
        <w:numPr>
          <w:ilvl w:val="0"/>
          <w:numId w:val="1"/>
        </w:numPr>
        <w:spacing w:after="70" w:line="268"/>
      </w:pPr>
      <w:r>
        <w:rPr>
          <w:rFonts w:ascii="Calibri" w:cs="Calibri" w:eastAsia="Calibri" w:hAnsi="Calibri"/>
          <w:b/>
          <w:bCs/>
          <w:i w:val="false"/>
          <w:iCs w:val="false"/>
          <w:caps w:val="false"/>
          <w:color w:val="14294A"/>
          <w:sz w:val="21"/>
          <w:szCs w:val="21"/>
        </w:rPr>
        <w:t xml:space="preserve">The product does not yet exist. </w:t>
      </w:r>
      <w:r>
        <w:rPr>
          <w:rFonts w:ascii="Calibri" w:cs="Calibri" w:eastAsia="Calibri" w:hAnsi="Calibri"/>
          <w:b w:val="false"/>
          <w:bCs w:val="false"/>
          <w:i w:val="false"/>
          <w:iCs w:val="false"/>
          <w:caps w:val="false"/>
          <w:color w:val="1A2330"/>
          <w:sz w:val="21"/>
          <w:szCs w:val="21"/>
        </w:rPr>
        <w:t xml:space="preserve">There is no multi-tenant identity, no durable audit, no live execution against customer systems, and no external pilot result.</w:t>
      </w:r>
    </w:p>
    <w:p>
      <w:pPr>
        <w:spacing w:after="120" w:before="0" w:line="276"/>
      </w:pPr>
      <w:r>
        <w:rPr>
          <w:rFonts w:ascii="Calibri" w:cs="Calibri" w:eastAsia="Calibri" w:hAnsi="Calibri"/>
          <w:b w:val="false"/>
          <w:bCs w:val="false"/>
          <w:i w:val="false"/>
          <w:iCs w:val="false"/>
          <w:caps w:val="false"/>
          <w:color w:val="1A2330"/>
          <w:sz w:val="21"/>
          <w:szCs w:val="21"/>
        </w:rPr>
        <w:t xml:space="preserve">The current prototype — the action-control vertical slice — is the first proof that the mechanisms compose into one operable loop. It runs the platform’s primary commercial wedge, an enterprise Kubernetes / infrastructure-agent action, through verification, authorization, and operational clearance in shadow mode, and records the chain for reconstruction.</w:t>
      </w:r>
    </w:p>
    <w:tbl>
      <w:tblPr>
        <w:tblW w:type="dxa" w:w="10080"/>
        <w:tblBorders>
          <w:top w:val="single" w:color="EAF0F7" w:sz="2"/>
          <w:left w:val="single" w:color="3E6FA5" w:sz="28"/>
          <w:bottom w:val="single" w:color="EAF0F7" w:sz="2"/>
          <w:right w:val="single" w:color="EAF0F7" w:sz="2"/>
          <w:insideH w:val="none"/>
          <w:insideV w:val="none"/>
        </w:tblBorders>
      </w:tblPr>
      <w:tblGrid>
        <w:gridCol w:w="10080"/>
      </w:tblGrid>
      <w:tr>
        <w:tc>
          <w:tcPr>
            <w:tcW w:type="dxa" w:w="10080"/>
            <w:shd w:fill="EAF0F7" w:color="auto" w:val="clear"/>
            <w:tcMar>
              <w:top w:type="dxa" w:w="120"/>
              <w:left w:type="dxa" w:w="200"/>
              <w:bottom w:type="dxa" w:w="120"/>
              <w:right w:type="dxa" w:w="160"/>
            </w:tcMar>
          </w:tcPr>
          <w:p>
            <w:pPr>
              <w:spacing w:after="0" w:line="276"/>
            </w:pPr>
            <w:r>
              <w:rPr>
                <w:rFonts w:ascii="Calibri" w:cs="Calibri" w:eastAsia="Calibri" w:hAnsi="Calibri"/>
                <w:b w:val="false"/>
                <w:bCs w:val="false"/>
                <w:i/>
                <w:iCs/>
                <w:caps w:val="false"/>
                <w:color w:val="1F3A5F"/>
                <w:sz w:val="21"/>
                <w:szCs w:val="21"/>
              </w:rPr>
              <w:t xml:space="preserve">Stage discipline. No capability in this document is claimed as production-validated. Metrics that exist today are from internal repositories and synthetic or internally-authored scenarios. That gap — from repository-proven to pilot-proven — is precisely what the round closes.</w:t>
            </w:r>
          </w:p>
        </w:tc>
      </w:tr>
    </w:tbl>
    <w:p>
      <w:pPr>
        <w:spacing w:after="60" w:before="220"/>
      </w:pPr>
      <w:r>
        <w:rPr>
          <w:rFonts w:ascii="Calibri" w:cs="Calibri" w:eastAsia="Calibri" w:hAnsi="Calibri"/>
          <w:b/>
          <w:bCs/>
          <w:i w:val="false"/>
          <w:iCs w:val="false"/>
          <w:caps w:val="false"/>
          <w:color w:val="1F3A5F"/>
          <w:sz w:val="24"/>
          <w:szCs w:val="24"/>
        </w:rPr>
        <w:t xml:space="preserve">Today → Productization → Commercial outcome</w:t>
      </w:r>
    </w:p>
    <w:tbl>
      <w:tblPr>
        <w:tblW w:type="dxa" w:w="10080"/>
        <w:tblBorders>
          <w:top w:val="none"/>
          <w:left w:val="none"/>
          <w:bottom w:val="none"/>
          <w:right w:val="none"/>
          <w:insideH w:val="none"/>
          <w:insideV w:val="none"/>
        </w:tblBorders>
      </w:tblPr>
      <w:tblGrid>
        <w:gridCol w:w="3360"/>
        <w:gridCol w:w="3360"/>
        <w:gridCol w:w="3360"/>
      </w:tblGrid>
      <w:tr>
        <w:tc>
          <w:tcPr>
            <w:tcW w:type="dxa" w:w="3360"/>
            <w:tcBorders>
              <w:top w:val="single" w:color="FFFFFF" w:sz="6"/>
              <w:left w:val="single" w:color="FFFFFF" w:sz="6"/>
              <w:bottom w:val="single" w:color="FFFFFF" w:sz="6"/>
              <w:right w:val="single" w:color="FFFFFF" w:sz="6"/>
            </w:tcBorders>
            <w:tcMar>
              <w:top w:type="dxa" w:w="0"/>
              <w:left w:type="dxa" w:w="0"/>
              <w:bottom w:type="dxa" w:w="0"/>
              <w:right w:type="dxa" w:w="0"/>
            </w:tcMar>
            <w:vAlign w:val="top"/>
          </w:tcPr>
          <w:p>
            <w:pPr>
              <w:shd w:fill="5A6B7B" w:color="auto" w:val="clear"/>
              <w:spacing w:after="0" w:before="0" w:line="240"/>
              <w:jc w:val="center"/>
            </w:pPr>
            <w:r>
              <w:rPr>
                <w:rFonts w:ascii="Calibri" w:cs="Calibri" w:eastAsia="Calibri" w:hAnsi="Calibri"/>
                <w:b/>
                <w:bCs/>
                <w:i w:val="false"/>
                <w:iCs w:val="false"/>
                <w:caps/>
                <w:color w:val="FFFFFF"/>
                <w:sz w:val="18"/>
                <w:szCs w:val="18"/>
              </w:rPr>
              <w:t xml:space="preserve">Today</w:t>
            </w:r>
          </w:p>
          <w:p>
            <w:pPr>
              <w:shd w:fill="F5F8FC" w:color="auto" w:val="clear"/>
              <w:spacing w:after="40" w:before="60" w:line="250"/>
              <w:ind w:left="120" w:right="100"/>
            </w:pPr>
            <w:r>
              <w:rPr>
                <w:rFonts w:ascii="Calibri" w:cs="Calibri" w:eastAsia="Calibri" w:hAnsi="Calibri"/>
                <w:b w:val="false"/>
                <w:bCs w:val="false"/>
                <w:i w:val="false"/>
                <w:iCs w:val="false"/>
                <w:caps w:val="false"/>
                <w:color w:val="1A2330"/>
                <w:sz w:val="17"/>
                <w:szCs w:val="17"/>
              </w:rPr>
              <w:t xml:space="preserve">•  Implemented governance kernels</w:t>
            </w:r>
          </w:p>
          <w:p>
            <w:pPr>
              <w:shd w:fill="F5F8FC" w:color="auto" w:val="clear"/>
              <w:spacing w:after="40" w:before="60" w:line="250"/>
              <w:ind w:left="120" w:right="100"/>
            </w:pPr>
            <w:r>
              <w:rPr>
                <w:rFonts w:ascii="Calibri" w:cs="Calibri" w:eastAsia="Calibri" w:hAnsi="Calibri"/>
                <w:b w:val="false"/>
                <w:bCs w:val="false"/>
                <w:i w:val="false"/>
                <w:iCs w:val="false"/>
                <w:caps w:val="false"/>
                <w:color w:val="1A2330"/>
                <w:sz w:val="17"/>
                <w:szCs w:val="17"/>
              </w:rPr>
              <w:t xml:space="preserve">•  Runtime contracts (CER)</w:t>
            </w:r>
          </w:p>
          <w:p>
            <w:pPr>
              <w:shd w:fill="F5F8FC" w:color="auto" w:val="clear"/>
              <w:spacing w:after="40" w:before="60" w:line="250"/>
              <w:ind w:left="120" w:right="100"/>
            </w:pPr>
            <w:r>
              <w:rPr>
                <w:rFonts w:ascii="Calibri" w:cs="Calibri" w:eastAsia="Calibri" w:hAnsi="Calibri"/>
                <w:b w:val="false"/>
                <w:bCs w:val="false"/>
                <w:i w:val="false"/>
                <w:iCs w:val="false"/>
                <w:caps w:val="false"/>
                <w:color w:val="1A2330"/>
                <w:sz w:val="17"/>
                <w:szCs w:val="17"/>
              </w:rPr>
              <w:t xml:space="preserve">•  Controlled internal evidence</w:t>
            </w:r>
          </w:p>
          <w:p>
            <w:pPr>
              <w:shd w:fill="F5F8FC" w:color="auto" w:val="clear"/>
              <w:spacing w:after="40" w:before="60" w:line="250"/>
              <w:ind w:left="120" w:right="100"/>
            </w:pPr>
            <w:r>
              <w:rPr>
                <w:rFonts w:ascii="Calibri" w:cs="Calibri" w:eastAsia="Calibri" w:hAnsi="Calibri"/>
                <w:b w:val="false"/>
                <w:bCs w:val="false"/>
                <w:i w:val="false"/>
                <w:iCs w:val="false"/>
                <w:caps w:val="false"/>
                <w:color w:val="1A2330"/>
                <w:sz w:val="17"/>
                <w:szCs w:val="17"/>
              </w:rPr>
              <w:t xml:space="preserve">•  Action-control vertical slice</w:t>
            </w:r>
          </w:p>
          <w:p>
            <w:pPr>
              <w:shd w:fill="F5F8FC" w:color="auto" w:val="clear"/>
              <w:spacing w:after="0" w:before="0"/>
            </w:pPr>
            <w:r>
              <w:rPr>
                <w:rFonts w:ascii="Calibri" w:cs="Calibri" w:eastAsia="Calibri" w:hAnsi="Calibri"/>
                <w:b w:val="false"/>
                <w:bCs w:val="false"/>
                <w:i w:val="false"/>
                <w:iCs w:val="false"/>
                <w:caps w:val="false"/>
                <w:color w:val="1A2330"/>
                <w:sz w:val="8"/>
                <w:szCs w:val="8"/>
              </w:rPr>
              <w:t xml:space="preserve"> </w:t>
            </w:r>
          </w:p>
        </w:tc>
        <w:tc>
          <w:tcPr>
            <w:tcW w:type="dxa" w:w="3360"/>
            <w:tcBorders>
              <w:top w:val="single" w:color="FFFFFF" w:sz="6"/>
              <w:left w:val="single" w:color="FFFFFF" w:sz="6"/>
              <w:bottom w:val="single" w:color="FFFFFF" w:sz="6"/>
              <w:right w:val="single" w:color="FFFFFF" w:sz="6"/>
            </w:tcBorders>
            <w:tcMar>
              <w:top w:type="dxa" w:w="0"/>
              <w:left w:type="dxa" w:w="0"/>
              <w:bottom w:type="dxa" w:w="0"/>
              <w:right w:type="dxa" w:w="0"/>
            </w:tcMar>
            <w:vAlign w:val="top"/>
          </w:tcPr>
          <w:p>
            <w:pPr>
              <w:shd w:fill="2E5A88" w:color="auto" w:val="clear"/>
              <w:spacing w:after="0" w:before="0" w:line="240"/>
              <w:jc w:val="center"/>
            </w:pPr>
            <w:r>
              <w:rPr>
                <w:rFonts w:ascii="Calibri" w:cs="Calibri" w:eastAsia="Calibri" w:hAnsi="Calibri"/>
                <w:b/>
                <w:bCs/>
                <w:i w:val="false"/>
                <w:iCs w:val="false"/>
                <w:caps/>
                <w:color w:val="FFFFFF"/>
                <w:sz w:val="18"/>
                <w:szCs w:val="18"/>
              </w:rPr>
              <w:t xml:space="preserve">After the pre-seed round</w:t>
            </w:r>
          </w:p>
          <w:p>
            <w:pPr>
              <w:shd w:fill="EAF0F7" w:color="auto" w:val="clear"/>
              <w:spacing w:after="40" w:before="60" w:line="250"/>
              <w:ind w:left="120" w:right="100"/>
            </w:pPr>
            <w:r>
              <w:rPr>
                <w:rFonts w:ascii="Calibri" w:cs="Calibri" w:eastAsia="Calibri" w:hAnsi="Calibri"/>
                <w:b w:val="false"/>
                <w:bCs w:val="false"/>
                <w:i w:val="false"/>
                <w:iCs w:val="false"/>
                <w:caps w:val="false"/>
                <w:color w:val="1A2330"/>
                <w:sz w:val="17"/>
                <w:szCs w:val="17"/>
              </w:rPr>
              <w:t xml:space="preserve">•  Unified enterprise console</w:t>
            </w:r>
          </w:p>
          <w:p>
            <w:pPr>
              <w:shd w:fill="EAF0F7" w:color="auto" w:val="clear"/>
              <w:spacing w:after="40" w:before="60" w:line="250"/>
              <w:ind w:left="120" w:right="100"/>
            </w:pPr>
            <w:r>
              <w:rPr>
                <w:rFonts w:ascii="Calibri" w:cs="Calibri" w:eastAsia="Calibri" w:hAnsi="Calibri"/>
                <w:b w:val="false"/>
                <w:bCs w:val="false"/>
                <w:i w:val="false"/>
                <w:iCs w:val="false"/>
                <w:caps w:val="false"/>
                <w:color w:val="1A2330"/>
                <w:sz w:val="17"/>
                <w:szCs w:val="17"/>
              </w:rPr>
              <w:t xml:space="preserve">•  Stable, versioned APIs</w:t>
            </w:r>
          </w:p>
          <w:p>
            <w:pPr>
              <w:shd w:fill="EAF0F7" w:color="auto" w:val="clear"/>
              <w:spacing w:after="40" w:before="60" w:line="250"/>
              <w:ind w:left="120" w:right="100"/>
            </w:pPr>
            <w:r>
              <w:rPr>
                <w:rFonts w:ascii="Calibri" w:cs="Calibri" w:eastAsia="Calibri" w:hAnsi="Calibri"/>
                <w:b w:val="false"/>
                <w:bCs w:val="false"/>
                <w:i w:val="false"/>
                <w:iCs w:val="false"/>
                <w:caps w:val="false"/>
                <w:color w:val="1A2330"/>
                <w:sz w:val="17"/>
                <w:szCs w:val="17"/>
              </w:rPr>
              <w:t xml:space="preserve">•  Enterprise connectors</w:t>
            </w:r>
          </w:p>
          <w:p>
            <w:pPr>
              <w:shd w:fill="EAF0F7" w:color="auto" w:val="clear"/>
              <w:spacing w:after="40" w:before="60" w:line="250"/>
              <w:ind w:left="120" w:right="100"/>
            </w:pPr>
            <w:r>
              <w:rPr>
                <w:rFonts w:ascii="Calibri" w:cs="Calibri" w:eastAsia="Calibri" w:hAnsi="Calibri"/>
                <w:b w:val="false"/>
                <w:bCs w:val="false"/>
                <w:i w:val="false"/>
                <w:iCs w:val="false"/>
                <w:caps w:val="false"/>
                <w:color w:val="1A2330"/>
                <w:sz w:val="17"/>
                <w:szCs w:val="17"/>
              </w:rPr>
              <w:t xml:space="preserve">•  Durable audit + human review</w:t>
            </w:r>
          </w:p>
          <w:p>
            <w:pPr>
              <w:shd w:fill="EAF0F7" w:color="auto" w:val="clear"/>
              <w:spacing w:after="40" w:before="60" w:line="250"/>
              <w:ind w:left="120" w:right="100"/>
            </w:pPr>
            <w:r>
              <w:rPr>
                <w:rFonts w:ascii="Calibri" w:cs="Calibri" w:eastAsia="Calibri" w:hAnsi="Calibri"/>
                <w:b w:val="false"/>
                <w:bCs w:val="false"/>
                <w:i w:val="false"/>
                <w:iCs w:val="false"/>
                <w:caps w:val="false"/>
                <w:color w:val="1A2330"/>
                <w:sz w:val="17"/>
                <w:szCs w:val="17"/>
              </w:rPr>
              <w:t xml:space="preserve">•  Controlled enforcement</w:t>
            </w:r>
          </w:p>
          <w:p>
            <w:pPr>
              <w:shd w:fill="EAF0F7" w:color="auto" w:val="clear"/>
              <w:spacing w:after="0" w:before="0"/>
            </w:pPr>
            <w:r>
              <w:rPr>
                <w:rFonts w:ascii="Calibri" w:cs="Calibri" w:eastAsia="Calibri" w:hAnsi="Calibri"/>
                <w:b w:val="false"/>
                <w:bCs w:val="false"/>
                <w:i w:val="false"/>
                <w:iCs w:val="false"/>
                <w:caps w:val="false"/>
                <w:color w:val="1A2330"/>
                <w:sz w:val="8"/>
                <w:szCs w:val="8"/>
              </w:rPr>
              <w:t xml:space="preserve"> </w:t>
            </w:r>
          </w:p>
        </w:tc>
        <w:tc>
          <w:tcPr>
            <w:tcW w:type="dxa" w:w="3360"/>
            <w:tcBorders>
              <w:top w:val="single" w:color="FFFFFF" w:sz="6"/>
              <w:left w:val="single" w:color="FFFFFF" w:sz="6"/>
              <w:bottom w:val="single" w:color="FFFFFF" w:sz="6"/>
              <w:right w:val="single" w:color="FFFFFF" w:sz="6"/>
            </w:tcBorders>
            <w:tcMar>
              <w:top w:type="dxa" w:w="0"/>
              <w:left w:type="dxa" w:w="0"/>
              <w:bottom w:type="dxa" w:w="0"/>
              <w:right w:type="dxa" w:w="0"/>
            </w:tcMar>
            <w:vAlign w:val="top"/>
          </w:tcPr>
          <w:p>
            <w:pPr>
              <w:shd w:fill="1E7A46" w:color="auto" w:val="clear"/>
              <w:spacing w:after="0" w:before="0" w:line="240"/>
              <w:jc w:val="center"/>
            </w:pPr>
            <w:r>
              <w:rPr>
                <w:rFonts w:ascii="Calibri" w:cs="Calibri" w:eastAsia="Calibri" w:hAnsi="Calibri"/>
                <w:b/>
                <w:bCs/>
                <w:i w:val="false"/>
                <w:iCs w:val="false"/>
                <w:caps/>
                <w:color w:val="FFFFFF"/>
                <w:sz w:val="18"/>
                <w:szCs w:val="18"/>
              </w:rPr>
              <w:t xml:space="preserve">Commercial outcome</w:t>
            </w:r>
          </w:p>
          <w:p>
            <w:pPr>
              <w:shd w:fill="E7F0E8" w:color="auto" w:val="clear"/>
              <w:spacing w:after="40" w:before="60" w:line="250"/>
              <w:ind w:left="120" w:right="100"/>
            </w:pPr>
            <w:r>
              <w:rPr>
                <w:rFonts w:ascii="Calibri" w:cs="Calibri" w:eastAsia="Calibri" w:hAnsi="Calibri"/>
                <w:b w:val="false"/>
                <w:bCs w:val="false"/>
                <w:i w:val="false"/>
                <w:iCs w:val="false"/>
                <w:caps w:val="false"/>
                <w:color w:val="1A2330"/>
                <w:sz w:val="17"/>
                <w:szCs w:val="17"/>
              </w:rPr>
              <w:t xml:space="preserve">•  First paid design-partner pilot</w:t>
            </w:r>
          </w:p>
          <w:p>
            <w:pPr>
              <w:shd w:fill="E7F0E8" w:color="auto" w:val="clear"/>
              <w:spacing w:after="40" w:before="60" w:line="250"/>
              <w:ind w:left="120" w:right="100"/>
            </w:pPr>
            <w:r>
              <w:rPr>
                <w:rFonts w:ascii="Calibri" w:cs="Calibri" w:eastAsia="Calibri" w:hAnsi="Calibri"/>
                <w:b w:val="false"/>
                <w:bCs w:val="false"/>
                <w:i w:val="false"/>
                <w:iCs w:val="false"/>
                <w:caps w:val="false"/>
                <w:color w:val="1A2330"/>
                <w:sz w:val="17"/>
                <w:szCs w:val="17"/>
              </w:rPr>
              <w:t xml:space="preserve">•  Shadow → selected enforcement</w:t>
            </w:r>
          </w:p>
          <w:p>
            <w:pPr>
              <w:shd w:fill="E7F0E8" w:color="auto" w:val="clear"/>
              <w:spacing w:after="40" w:before="60" w:line="250"/>
              <w:ind w:left="120" w:right="100"/>
            </w:pPr>
            <w:r>
              <w:rPr>
                <w:rFonts w:ascii="Calibri" w:cs="Calibri" w:eastAsia="Calibri" w:hAnsi="Calibri"/>
                <w:b w:val="false"/>
                <w:bCs w:val="false"/>
                <w:i w:val="false"/>
                <w:iCs w:val="false"/>
                <w:caps w:val="false"/>
                <w:color w:val="1A2330"/>
                <w:sz w:val="17"/>
                <w:szCs w:val="17"/>
              </w:rPr>
              <w:t xml:space="preserve">•  Preregistered success criteria</w:t>
            </w:r>
          </w:p>
          <w:p>
            <w:pPr>
              <w:shd w:fill="E7F0E8" w:color="auto" w:val="clear"/>
              <w:spacing w:after="40" w:before="60" w:line="250"/>
              <w:ind w:left="120" w:right="100"/>
            </w:pPr>
            <w:r>
              <w:rPr>
                <w:rFonts w:ascii="Calibri" w:cs="Calibri" w:eastAsia="Calibri" w:hAnsi="Calibri"/>
                <w:b w:val="false"/>
                <w:bCs w:val="false"/>
                <w:i w:val="false"/>
                <w:iCs w:val="false"/>
                <w:caps w:val="false"/>
                <w:color w:val="1A2330"/>
                <w:sz w:val="17"/>
                <w:szCs w:val="17"/>
              </w:rPr>
              <w:t xml:space="preserve">•  Reconstructable audit trail</w:t>
            </w:r>
          </w:p>
          <w:p>
            <w:pPr>
              <w:shd w:fill="E7F0E8" w:color="auto" w:val="clear"/>
              <w:spacing w:after="0" w:before="0"/>
            </w:pPr>
            <w:r>
              <w:rPr>
                <w:rFonts w:ascii="Calibri" w:cs="Calibri" w:eastAsia="Calibri" w:hAnsi="Calibri"/>
                <w:b w:val="false"/>
                <w:bCs w:val="false"/>
                <w:i w:val="false"/>
                <w:iCs w:val="false"/>
                <w:caps w:val="false"/>
                <w:color w:val="1A2330"/>
                <w:sz w:val="8"/>
                <w:szCs w:val="8"/>
              </w:rPr>
              <w:t xml:space="preserve"> </w:t>
            </w:r>
          </w:p>
        </w:tc>
      </w:tr>
    </w:tbl>
    <w:p>
      <w:r>
        <w:br w:type="page"/>
      </w:r>
    </w:p>
    <w:p>
      <w:pPr>
        <w:pBdr>
          <w:bottom w:val="single" w:color="3E6FA5" w:sz="12" w:space="4"/>
        </w:pBdr>
        <w:spacing w:after="60" w:before="320"/>
      </w:pPr>
      <w:r>
        <w:rPr>
          <w:rFonts w:ascii="Calibri" w:cs="Calibri" w:eastAsia="Calibri" w:hAnsi="Calibri"/>
          <w:b/>
          <w:bCs/>
          <w:i w:val="false"/>
          <w:iCs w:val="false"/>
          <w:caps w:val="false"/>
          <w:color w:val="14294A"/>
          <w:sz w:val="30"/>
          <w:szCs w:val="30"/>
        </w:rPr>
        <w:t xml:space="preserve">3 · Product scope — one product, not fourteen</w:t>
      </w:r>
    </w:p>
    <w:p>
      <w:pPr>
        <w:spacing w:after="120" w:before="0" w:line="276"/>
      </w:pPr>
      <w:r>
        <w:rPr>
          <w:rFonts w:ascii="Calibri" w:cs="Calibri" w:eastAsia="Calibri" w:hAnsi="Calibri"/>
          <w:b w:val="false"/>
          <w:bCs w:val="false"/>
          <w:i w:val="false"/>
          <w:iCs w:val="false"/>
          <w:caps w:val="false"/>
          <w:color w:val="1A2330"/>
          <w:sz w:val="21"/>
          <w:szCs w:val="21"/>
        </w:rPr>
        <w:t xml:space="preserve">The enterprise buys one platform. Beneath it, a defined set of components covers the “what AI says, recommends, decides, and does” boundary. Adjacent research and infrastructure assets exist but are not customer-facing v1 surfaces.</w:t>
      </w:r>
    </w:p>
    <w:p>
      <w:pPr>
        <w:spacing w:after="60" w:before="220"/>
      </w:pPr>
      <w:r>
        <w:rPr>
          <w:rFonts w:ascii="Calibri" w:cs="Calibri" w:eastAsia="Calibri" w:hAnsi="Calibri"/>
          <w:b/>
          <w:bCs/>
          <w:i w:val="false"/>
          <w:iCs w:val="false"/>
          <w:caps w:val="false"/>
          <w:color w:val="1F3A5F"/>
          <w:sz w:val="24"/>
          <w:szCs w:val="24"/>
        </w:rPr>
        <w:t xml:space="preserve">Live v1 product components</w:t>
      </w:r>
    </w:p>
    <w:tbl>
      <w:tblPr>
        <w:tblW w:type="dxa" w:w="10080"/>
        <w:tblBorders>
          <w:top w:val="single" w:color="C7D3E2" w:sz="4"/>
          <w:left w:val="single" w:color="C7D3E2" w:sz="4"/>
          <w:bottom w:val="single" w:color="C7D3E2" w:sz="4"/>
          <w:right w:val="single" w:color="C7D3E2" w:sz="4"/>
          <w:insideH w:val="single" w:color="C7D3E2" w:sz="2"/>
          <w:insideV w:val="single" w:color="C7D3E2" w:sz="2"/>
        </w:tblBorders>
      </w:tblPr>
      <w:tblGrid>
        <w:gridCol w:w="3600"/>
        <w:gridCol w:w="6480"/>
      </w:tblGrid>
      <w:tr>
        <w:trPr>
          <w:tblHeader/>
        </w:trPr>
        <w:tc>
          <w:tcPr>
            <w:tcW w:type="dxa" w:w="360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Component</w:t>
            </w:r>
          </w:p>
        </w:tc>
        <w:tc>
          <w:tcPr>
            <w:tcW w:type="dxa" w:w="648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Role in the product</w:t>
            </w:r>
          </w:p>
        </w:tc>
      </w:tr>
      <w:tr>
        <w:tc>
          <w:tcPr>
            <w:tcW w:type="dxa" w:w="36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Agent Runtime / runtime connector layer</w:t>
            </w:r>
          </w:p>
        </w:tc>
        <w:tc>
          <w:tcPr>
            <w:tcW w:type="dxa" w:w="648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Supervised proposal of actions as a governable request</w:t>
            </w:r>
          </w:p>
        </w:tc>
      </w:tr>
      <w:tr>
        <w:tc>
          <w:tcPr>
            <w:tcW w:type="dxa" w:w="36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Truth Assurance Platform (TAP)</w:t>
            </w:r>
          </w:p>
        </w:tc>
        <w:tc>
          <w:tcPr>
            <w:tcW w:type="dxa" w:w="648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Verify whether an assertion is supported by evidence</w:t>
            </w:r>
          </w:p>
        </w:tc>
      </w:tr>
      <w:tr>
        <w:tc>
          <w:tcPr>
            <w:tcW w:type="dxa" w:w="36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Decision Governance</w:t>
            </w:r>
          </w:p>
        </w:tc>
        <w:tc>
          <w:tcPr>
            <w:tcW w:type="dxa" w:w="648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Confirm who holds binding authority to decide</w:t>
            </w:r>
          </w:p>
        </w:tc>
      </w:tr>
      <w:tr>
        <w:tc>
          <w:tcPr>
            <w:tcW w:type="dxa" w:w="36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ActionGate</w:t>
            </w:r>
          </w:p>
        </w:tc>
        <w:tc>
          <w:tcPr>
            <w:tcW w:type="dxa" w:w="648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Authorize whether this exact action may execute</w:t>
            </w:r>
          </w:p>
        </w:tc>
      </w:tr>
      <w:tr>
        <w:tc>
          <w:tcPr>
            <w:tcW w:type="dxa" w:w="36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Autonomous Control Plane (operational clearance)</w:t>
            </w:r>
          </w:p>
        </w:tc>
        <w:tc>
          <w:tcPr>
            <w:tcW w:type="dxa" w:w="648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Confirm the authorized action is operationally safe now</w:t>
            </w:r>
          </w:p>
        </w:tc>
      </w:tr>
      <w:tr>
        <w:tc>
          <w:tcPr>
            <w:tcW w:type="dxa" w:w="36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Audit and Reconstruction</w:t>
            </w:r>
          </w:p>
        </w:tc>
        <w:tc>
          <w:tcPr>
            <w:tcW w:type="dxa" w:w="648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Preserve the complete, replayable decision chain</w:t>
            </w:r>
          </w:p>
        </w:tc>
      </w:tr>
    </w:tbl>
    <w:p>
      <w:pPr>
        <w:spacing w:after="60" w:before="220"/>
      </w:pPr>
      <w:r>
        <w:rPr>
          <w:rFonts w:ascii="Calibri" w:cs="Calibri" w:eastAsia="Calibri" w:hAnsi="Calibri"/>
          <w:b/>
          <w:bCs/>
          <w:i w:val="false"/>
          <w:iCs w:val="false"/>
          <w:caps w:val="false"/>
          <w:color w:val="1F3A5F"/>
          <w:sz w:val="24"/>
          <w:szCs w:val="24"/>
        </w:rPr>
        <w:t xml:space="preserve">Optional product accelerators</w:t>
      </w:r>
    </w:p>
    <w:tbl>
      <w:tblPr>
        <w:tblW w:type="dxa" w:w="10080"/>
        <w:tblBorders>
          <w:top w:val="single" w:color="C7D3E2" w:sz="4"/>
          <w:left w:val="single" w:color="C7D3E2" w:sz="4"/>
          <w:bottom w:val="single" w:color="C7D3E2" w:sz="4"/>
          <w:right w:val="single" w:color="C7D3E2" w:sz="4"/>
          <w:insideH w:val="single" w:color="C7D3E2" w:sz="2"/>
          <w:insideV w:val="single" w:color="C7D3E2" w:sz="2"/>
        </w:tblBorders>
      </w:tblPr>
      <w:tblGrid>
        <w:gridCol w:w="3600"/>
        <w:gridCol w:w="6480"/>
      </w:tblGrid>
      <w:tr>
        <w:trPr>
          <w:tblHeader/>
        </w:trPr>
        <w:tc>
          <w:tcPr>
            <w:tcW w:type="dxa" w:w="360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Accelerator</w:t>
            </w:r>
          </w:p>
        </w:tc>
        <w:tc>
          <w:tcPr>
            <w:tcW w:type="dxa" w:w="648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Role</w:t>
            </w:r>
          </w:p>
        </w:tc>
      </w:tr>
      <w:tr>
        <w:tc>
          <w:tcPr>
            <w:tcW w:type="dxa" w:w="36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Context Minimization</w:t>
            </w:r>
          </w:p>
        </w:tc>
        <w:tc>
          <w:tcPr>
            <w:tcW w:type="dxa" w:w="648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Reduce and normalize admitted context without changing authorization</w:t>
            </w:r>
          </w:p>
        </w:tc>
      </w:tr>
      <w:tr>
        <w:tc>
          <w:tcPr>
            <w:tcW w:type="dxa" w:w="36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Governed Model Selection</w:t>
            </w:r>
          </w:p>
        </w:tc>
        <w:tc>
          <w:tcPr>
            <w:tcW w:type="dxa" w:w="648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Choose an eligible model under policy and evidence obligation</w:t>
            </w:r>
          </w:p>
        </w:tc>
      </w:tr>
    </w:tbl>
    <w:p>
      <w:pPr>
        <w:spacing w:after="60" w:before="220"/>
      </w:pPr>
      <w:r>
        <w:rPr>
          <w:rFonts w:ascii="Calibri" w:cs="Calibri" w:eastAsia="Calibri" w:hAnsi="Calibri"/>
          <w:b/>
          <w:bCs/>
          <w:i w:val="false"/>
          <w:iCs w:val="false"/>
          <w:caps w:val="false"/>
          <w:color w:val="1F3A5F"/>
          <w:sz w:val="24"/>
          <w:szCs w:val="24"/>
        </w:rPr>
        <w:t xml:space="preserve">Excluded from customer-facing v1</w:t>
      </w:r>
    </w:p>
    <w:p>
      <w:pPr>
        <w:spacing w:after="120" w:before="0" w:line="276"/>
      </w:pPr>
      <w:r>
        <w:rPr>
          <w:rFonts w:ascii="Calibri" w:cs="Calibri" w:eastAsia="Calibri" w:hAnsi="Calibri"/>
          <w:b/>
          <w:bCs/>
          <w:i w:val="false"/>
          <w:iCs w:val="false"/>
          <w:caps w:val="false"/>
          <w:color w:val="14294A"/>
          <w:sz w:val="21"/>
          <w:szCs w:val="21"/>
        </w:rPr>
        <w:t xml:space="preserve">Adjacent IP · infrastructure · future accelerators: </w:t>
      </w:r>
      <w:r>
        <w:rPr>
          <w:rFonts w:ascii="Calibri" w:cs="Calibri" w:eastAsia="Calibri" w:hAnsi="Calibri"/>
          <w:b w:val="false"/>
          <w:bCs w:val="false"/>
          <w:i w:val="false"/>
          <w:iCs w:val="false"/>
          <w:caps w:val="false"/>
          <w:color w:val="1A2330"/>
          <w:sz w:val="21"/>
          <w:szCs w:val="21"/>
        </w:rPr>
        <w:t xml:space="preserve">Hybrid LLM (research interface) · LLM Steering (research interface) · BCVF physical-autonomy runtime · KVPro · CTM+/PCAM · Cloud Scaling Controller · PSE. These are valuable IP and infrastructure assets. They are not primary console navigation items and are not part of the v1 commercial boundary.</w:t>
      </w:r>
    </w:p>
    <w:tbl>
      <w:tblPr>
        <w:tblW w:type="dxa" w:w="10080"/>
        <w:tblBorders>
          <w:top w:val="single" w:color="EAF0F7" w:sz="2"/>
          <w:left w:val="single" w:color="3E6FA5" w:sz="28"/>
          <w:bottom w:val="single" w:color="EAF0F7" w:sz="2"/>
          <w:right w:val="single" w:color="EAF0F7" w:sz="2"/>
          <w:insideH w:val="none"/>
          <w:insideV w:val="none"/>
        </w:tblBorders>
      </w:tblPr>
      <w:tblGrid>
        <w:gridCol w:w="10080"/>
      </w:tblGrid>
      <w:tr>
        <w:tc>
          <w:tcPr>
            <w:tcW w:type="dxa" w:w="10080"/>
            <w:shd w:fill="EAF0F7" w:color="auto" w:val="clear"/>
            <w:tcMar>
              <w:top w:type="dxa" w:w="120"/>
              <w:left w:type="dxa" w:w="200"/>
              <w:bottom w:type="dxa" w:w="120"/>
              <w:right w:type="dxa" w:w="160"/>
            </w:tcMar>
          </w:tcPr>
          <w:p>
            <w:pPr>
              <w:spacing w:after="0" w:line="276"/>
            </w:pPr>
            <w:r>
              <w:rPr>
                <w:rFonts w:ascii="Calibri" w:cs="Calibri" w:eastAsia="Calibri" w:hAnsi="Calibri"/>
                <w:b w:val="false"/>
                <w:bCs w:val="false"/>
                <w:i/>
                <w:iCs/>
                <w:caps w:val="false"/>
                <w:color w:val="1F3A5F"/>
                <w:sz w:val="21"/>
                <w:szCs w:val="21"/>
              </w:rPr>
              <w:t xml:space="preserve">The Autonomous Control Plane (operational clearance) is in v1; the BCVF physical-autonomy runtime is not. They are different components with different roles.</w:t>
            </w:r>
          </w:p>
        </w:tc>
      </w:tr>
    </w:tbl>
    <w:p>
      <w:pPr>
        <w:pBdr>
          <w:bottom w:val="single" w:color="3E6FA5" w:sz="12" w:space="4"/>
        </w:pBdr>
        <w:spacing w:after="60" w:before="320"/>
      </w:pPr>
      <w:r>
        <w:rPr>
          <w:rFonts w:ascii="Calibri" w:cs="Calibri" w:eastAsia="Calibri" w:hAnsi="Calibri"/>
          <w:b/>
          <w:bCs/>
          <w:i w:val="false"/>
          <w:iCs w:val="false"/>
          <w:caps w:val="false"/>
          <w:color w:val="14294A"/>
          <w:sz w:val="30"/>
          <w:szCs w:val="30"/>
        </w:rPr>
        <w:t xml:space="preserve">4 · The governed product lifecycle</w:t>
      </w:r>
    </w:p>
    <w:p>
      <w:pPr>
        <w:spacing w:after="120" w:before="0" w:line="276"/>
      </w:pPr>
      <w:r>
        <w:rPr>
          <w:rFonts w:ascii="Calibri" w:cs="Calibri" w:eastAsia="Calibri" w:hAnsi="Calibri"/>
          <w:b w:val="false"/>
          <w:bCs w:val="false"/>
          <w:i w:val="false"/>
          <w:iCs w:val="false"/>
          <w:caps w:val="false"/>
          <w:color w:val="1A2330"/>
          <w:sz w:val="21"/>
          <w:szCs w:val="21"/>
        </w:rPr>
        <w:t xml:space="preserve">The current prototype demonstrates a simplified loop. The productized lifecycle is longer and more explicit:</w:t>
      </w:r>
    </w:p>
    <w:tbl>
      <w:tblPr>
        <w:tblW w:type="dxa" w:w="10080"/>
        <w:tblBorders>
          <w:top w:val="single" w:color="EAF0F7" w:sz="2"/>
          <w:left w:val="single" w:color="2E5A88" w:sz="28"/>
          <w:bottom w:val="single" w:color="EAF0F7" w:sz="2"/>
          <w:right w:val="single" w:color="EAF0F7" w:sz="2"/>
          <w:insideH w:val="none"/>
          <w:insideV w:val="none"/>
        </w:tblBorders>
      </w:tblPr>
      <w:tblGrid>
        <w:gridCol w:w="10080"/>
      </w:tblGrid>
      <w:tr>
        <w:tc>
          <w:tcPr>
            <w:tcW w:type="dxa" w:w="10080"/>
            <w:shd w:fill="EAF0F7" w:color="auto" w:val="clear"/>
            <w:tcMar>
              <w:top w:type="dxa" w:w="120"/>
              <w:left w:type="dxa" w:w="200"/>
              <w:bottom w:type="dxa" w:w="120"/>
              <w:right w:type="dxa" w:w="160"/>
            </w:tcMar>
          </w:tcPr>
          <w:p>
            <w:pPr>
              <w:spacing w:after="0" w:line="276"/>
            </w:pPr>
            <w:r>
              <w:rPr>
                <w:rFonts w:ascii="Calibri" w:cs="Calibri" w:eastAsia="Calibri" w:hAnsi="Calibri"/>
                <w:b/>
                <w:bCs/>
                <w:i w:val="false"/>
                <w:iCs w:val="false"/>
                <w:caps w:val="false"/>
                <w:color w:val="14294A"/>
                <w:sz w:val="22"/>
                <w:szCs w:val="22"/>
              </w:rPr>
              <w:t xml:space="preserve">Propose → Intake → Verify → Decide → Canonicalize → Authorize → Clear → Execute → Reconcile → Record</w:t>
            </w:r>
          </w:p>
        </w:tc>
      </w:tr>
    </w:tbl>
    <w:p>
      <w:pPr>
        <w:spacing w:after="100"/>
      </w:pPr>
      <w:r>
        <w:rPr>
          <w:rFonts w:ascii="Calibri" w:cs="Calibri" w:eastAsia="Calibri" w:hAnsi="Calibri"/>
          <w:b w:val="false"/>
          <w:bCs w:val="false"/>
          <w:i w:val="false"/>
          <w:iCs w:val="false"/>
          <w:caps w:val="false"/>
          <w:color w:val="1A2330"/>
          <w:sz w:val="2"/>
          <w:szCs w:val="2"/>
        </w:rPr>
        <w:t xml:space="preserve"/>
      </w:r>
    </w:p>
    <w:tbl>
      <w:tblPr>
        <w:tblW w:type="dxa" w:w="10080"/>
        <w:tblBorders>
          <w:top w:val="none"/>
          <w:left w:val="none"/>
          <w:bottom w:val="none"/>
          <w:right w:val="none"/>
          <w:insideH w:val="none"/>
          <w:insideV w:val="none"/>
        </w:tblBorders>
      </w:tblPr>
      <w:tblGrid>
        <w:gridCol w:w="2016"/>
        <w:gridCol w:w="2016"/>
        <w:gridCol w:w="2016"/>
        <w:gridCol w:w="2016"/>
        <w:gridCol w:w="2016"/>
      </w:tblGrid>
      <w:tr>
        <w:tc>
          <w:tcPr>
            <w:tcW w:type="dxa" w:w="2016"/>
            <w:tcBorders>
              <w:top w:val="single" w:color="FFFFFF" w:sz="4"/>
              <w:left w:val="single" w:color="FFFFFF" w:sz="4"/>
              <w:bottom w:val="single" w:color="FFFFFF" w:sz="4"/>
              <w:right w:val="single" w:color="FFFFFF" w:sz="4"/>
            </w:tcBorders>
            <w:shd w:fill="EAF0F7" w:color="auto" w:val="clear"/>
            <w:tcMar>
              <w:top w:type="dxa" w:w="80"/>
              <w:left w:type="dxa" w:w="70"/>
              <w:bottom w:type="dxa" w:w="80"/>
              <w:right w:type="dxa" w:w="70"/>
            </w:tcMar>
            <w:vAlign w:val="center"/>
          </w:tcPr>
          <w:p>
            <w:pPr>
              <w:spacing w:after="20"/>
              <w:jc w:val="center"/>
            </w:pPr>
            <w:r>
              <w:rPr>
                <w:rFonts w:ascii="Calibri" w:cs="Calibri" w:eastAsia="Calibri" w:hAnsi="Calibri"/>
                <w:b/>
                <w:bCs/>
                <w:i w:val="false"/>
                <w:iCs w:val="false"/>
                <w:caps w:val="false"/>
                <w:color w:val="3E6FA5"/>
                <w:sz w:val="16"/>
                <w:szCs w:val="16"/>
              </w:rPr>
              <w:t xml:space="preserve">1</w:t>
            </w:r>
          </w:p>
          <w:p>
            <w:pPr>
              <w:spacing w:after="10"/>
              <w:jc w:val="center"/>
            </w:pPr>
            <w:r>
              <w:rPr>
                <w:rFonts w:ascii="Calibri" w:cs="Calibri" w:eastAsia="Calibri" w:hAnsi="Calibri"/>
                <w:b/>
                <w:bCs/>
                <w:i w:val="false"/>
                <w:iCs w:val="false"/>
                <w:caps w:val="false"/>
                <w:color w:val="14294A"/>
                <w:sz w:val="19"/>
                <w:szCs w:val="19"/>
              </w:rPr>
              <w:t xml:space="preserve">Propose</w:t>
            </w:r>
          </w:p>
          <w:p>
            <w:pPr>
              <w:spacing w:after="0"/>
              <w:jc w:val="center"/>
            </w:pPr>
            <w:r>
              <w:rPr>
                <w:rFonts w:ascii="Calibri" w:cs="Calibri" w:eastAsia="Calibri" w:hAnsi="Calibri"/>
                <w:b w:val="false"/>
                <w:bCs w:val="false"/>
                <w:i w:val="false"/>
                <w:iCs w:val="false"/>
                <w:caps w:val="false"/>
                <w:color w:val="5A6B7B"/>
                <w:sz w:val="15"/>
                <w:szCs w:val="15"/>
              </w:rPr>
              <w:t xml:space="preserve">Agent / runtime</w:t>
            </w:r>
          </w:p>
        </w:tc>
        <w:tc>
          <w:tcPr>
            <w:tcW w:type="dxa" w:w="2016"/>
            <w:tcBorders>
              <w:top w:val="single" w:color="FFFFFF" w:sz="4"/>
              <w:left w:val="single" w:color="FFFFFF" w:sz="4"/>
              <w:bottom w:val="single" w:color="FFFFFF" w:sz="4"/>
              <w:right w:val="single" w:color="FFFFFF" w:sz="4"/>
            </w:tcBorders>
            <w:shd w:fill="EAF0F7" w:color="auto" w:val="clear"/>
            <w:tcMar>
              <w:top w:type="dxa" w:w="80"/>
              <w:left w:type="dxa" w:w="70"/>
              <w:bottom w:type="dxa" w:w="80"/>
              <w:right w:type="dxa" w:w="70"/>
            </w:tcMar>
            <w:vAlign w:val="center"/>
          </w:tcPr>
          <w:p>
            <w:pPr>
              <w:spacing w:after="20"/>
              <w:jc w:val="center"/>
            </w:pPr>
            <w:r>
              <w:rPr>
                <w:rFonts w:ascii="Calibri" w:cs="Calibri" w:eastAsia="Calibri" w:hAnsi="Calibri"/>
                <w:b/>
                <w:bCs/>
                <w:i w:val="false"/>
                <w:iCs w:val="false"/>
                <w:caps w:val="false"/>
                <w:color w:val="3E6FA5"/>
                <w:sz w:val="16"/>
                <w:szCs w:val="16"/>
              </w:rPr>
              <w:t xml:space="preserve">2</w:t>
            </w:r>
          </w:p>
          <w:p>
            <w:pPr>
              <w:spacing w:after="10"/>
              <w:jc w:val="center"/>
            </w:pPr>
            <w:r>
              <w:rPr>
                <w:rFonts w:ascii="Calibri" w:cs="Calibri" w:eastAsia="Calibri" w:hAnsi="Calibri"/>
                <w:b/>
                <w:bCs/>
                <w:i w:val="false"/>
                <w:iCs w:val="false"/>
                <w:caps w:val="false"/>
                <w:color w:val="14294A"/>
                <w:sz w:val="19"/>
                <w:szCs w:val="19"/>
              </w:rPr>
              <w:t xml:space="preserve">Intake</w:t>
            </w:r>
          </w:p>
          <w:p>
            <w:pPr>
              <w:spacing w:after="0"/>
              <w:jc w:val="center"/>
            </w:pPr>
            <w:r>
              <w:rPr>
                <w:rFonts w:ascii="Calibri" w:cs="Calibri" w:eastAsia="Calibri" w:hAnsi="Calibri"/>
                <w:b w:val="false"/>
                <w:bCs w:val="false"/>
                <w:i w:val="false"/>
                <w:iCs w:val="false"/>
                <w:caps w:val="false"/>
                <w:color w:val="5A6B7B"/>
                <w:sz w:val="15"/>
                <w:szCs w:val="15"/>
              </w:rPr>
              <w:t xml:space="preserve">Gateway</w:t>
            </w:r>
          </w:p>
        </w:tc>
        <w:tc>
          <w:tcPr>
            <w:tcW w:type="dxa" w:w="2016"/>
            <w:tcBorders>
              <w:top w:val="single" w:color="FFFFFF" w:sz="4"/>
              <w:left w:val="single" w:color="FFFFFF" w:sz="4"/>
              <w:bottom w:val="single" w:color="FFFFFF" w:sz="4"/>
              <w:right w:val="single" w:color="FFFFFF" w:sz="4"/>
            </w:tcBorders>
            <w:shd w:fill="EAF0F7" w:color="auto" w:val="clear"/>
            <w:tcMar>
              <w:top w:type="dxa" w:w="80"/>
              <w:left w:type="dxa" w:w="70"/>
              <w:bottom w:type="dxa" w:w="80"/>
              <w:right w:type="dxa" w:w="70"/>
            </w:tcMar>
            <w:vAlign w:val="center"/>
          </w:tcPr>
          <w:p>
            <w:pPr>
              <w:spacing w:after="20"/>
              <w:jc w:val="center"/>
            </w:pPr>
            <w:r>
              <w:rPr>
                <w:rFonts w:ascii="Calibri" w:cs="Calibri" w:eastAsia="Calibri" w:hAnsi="Calibri"/>
                <w:b/>
                <w:bCs/>
                <w:i w:val="false"/>
                <w:iCs w:val="false"/>
                <w:caps w:val="false"/>
                <w:color w:val="3E6FA5"/>
                <w:sz w:val="16"/>
                <w:szCs w:val="16"/>
              </w:rPr>
              <w:t xml:space="preserve">3</w:t>
            </w:r>
          </w:p>
          <w:p>
            <w:pPr>
              <w:spacing w:after="10"/>
              <w:jc w:val="center"/>
            </w:pPr>
            <w:r>
              <w:rPr>
                <w:rFonts w:ascii="Calibri" w:cs="Calibri" w:eastAsia="Calibri" w:hAnsi="Calibri"/>
                <w:b/>
                <w:bCs/>
                <w:i w:val="false"/>
                <w:iCs w:val="false"/>
                <w:caps w:val="false"/>
                <w:color w:val="14294A"/>
                <w:sz w:val="19"/>
                <w:szCs w:val="19"/>
              </w:rPr>
              <w:t xml:space="preserve">Verify</w:t>
            </w:r>
          </w:p>
          <w:p>
            <w:pPr>
              <w:spacing w:after="0"/>
              <w:jc w:val="center"/>
            </w:pPr>
            <w:r>
              <w:rPr>
                <w:rFonts w:ascii="Calibri" w:cs="Calibri" w:eastAsia="Calibri" w:hAnsi="Calibri"/>
                <w:b w:val="false"/>
                <w:bCs w:val="false"/>
                <w:i w:val="false"/>
                <w:iCs w:val="false"/>
                <w:caps w:val="false"/>
                <w:color w:val="5A6B7B"/>
                <w:sz w:val="15"/>
                <w:szCs w:val="15"/>
              </w:rPr>
              <w:t xml:space="preserve">TAP</w:t>
            </w:r>
          </w:p>
        </w:tc>
        <w:tc>
          <w:tcPr>
            <w:tcW w:type="dxa" w:w="2016"/>
            <w:tcBorders>
              <w:top w:val="single" w:color="FFFFFF" w:sz="4"/>
              <w:left w:val="single" w:color="FFFFFF" w:sz="4"/>
              <w:bottom w:val="single" w:color="FFFFFF" w:sz="4"/>
              <w:right w:val="single" w:color="FFFFFF" w:sz="4"/>
            </w:tcBorders>
            <w:shd w:fill="EAF0F7" w:color="auto" w:val="clear"/>
            <w:tcMar>
              <w:top w:type="dxa" w:w="80"/>
              <w:left w:type="dxa" w:w="70"/>
              <w:bottom w:type="dxa" w:w="80"/>
              <w:right w:type="dxa" w:w="70"/>
            </w:tcMar>
            <w:vAlign w:val="center"/>
          </w:tcPr>
          <w:p>
            <w:pPr>
              <w:spacing w:after="20"/>
              <w:jc w:val="center"/>
            </w:pPr>
            <w:r>
              <w:rPr>
                <w:rFonts w:ascii="Calibri" w:cs="Calibri" w:eastAsia="Calibri" w:hAnsi="Calibri"/>
                <w:b/>
                <w:bCs/>
                <w:i w:val="false"/>
                <w:iCs w:val="false"/>
                <w:caps w:val="false"/>
                <w:color w:val="3E6FA5"/>
                <w:sz w:val="16"/>
                <w:szCs w:val="16"/>
              </w:rPr>
              <w:t xml:space="preserve">4</w:t>
            </w:r>
          </w:p>
          <w:p>
            <w:pPr>
              <w:spacing w:after="10"/>
              <w:jc w:val="center"/>
            </w:pPr>
            <w:r>
              <w:rPr>
                <w:rFonts w:ascii="Calibri" w:cs="Calibri" w:eastAsia="Calibri" w:hAnsi="Calibri"/>
                <w:b/>
                <w:bCs/>
                <w:i w:val="false"/>
                <w:iCs w:val="false"/>
                <w:caps w:val="false"/>
                <w:color w:val="14294A"/>
                <w:sz w:val="19"/>
                <w:szCs w:val="19"/>
              </w:rPr>
              <w:t xml:space="preserve">Decide</w:t>
            </w:r>
          </w:p>
          <w:p>
            <w:pPr>
              <w:spacing w:after="0"/>
              <w:jc w:val="center"/>
            </w:pPr>
            <w:r>
              <w:rPr>
                <w:rFonts w:ascii="Calibri" w:cs="Calibri" w:eastAsia="Calibri" w:hAnsi="Calibri"/>
                <w:b w:val="false"/>
                <w:bCs w:val="false"/>
                <w:i w:val="false"/>
                <w:iCs w:val="false"/>
                <w:caps w:val="false"/>
                <w:color w:val="5A6B7B"/>
                <w:sz w:val="15"/>
                <w:szCs w:val="15"/>
              </w:rPr>
              <w:t xml:space="preserve">Decision Governance</w:t>
            </w:r>
          </w:p>
        </w:tc>
        <w:tc>
          <w:tcPr>
            <w:tcW w:type="dxa" w:w="2016"/>
            <w:tcBorders>
              <w:top w:val="single" w:color="FFFFFF" w:sz="4"/>
              <w:left w:val="single" w:color="FFFFFF" w:sz="4"/>
              <w:bottom w:val="single" w:color="FFFFFF" w:sz="4"/>
              <w:right w:val="single" w:color="FFFFFF" w:sz="4"/>
            </w:tcBorders>
            <w:shd w:fill="EAF0F7" w:color="auto" w:val="clear"/>
            <w:tcMar>
              <w:top w:type="dxa" w:w="80"/>
              <w:left w:type="dxa" w:w="70"/>
              <w:bottom w:type="dxa" w:w="80"/>
              <w:right w:type="dxa" w:w="70"/>
            </w:tcMar>
            <w:vAlign w:val="center"/>
          </w:tcPr>
          <w:p>
            <w:pPr>
              <w:spacing w:after="20"/>
              <w:jc w:val="center"/>
            </w:pPr>
            <w:r>
              <w:rPr>
                <w:rFonts w:ascii="Calibri" w:cs="Calibri" w:eastAsia="Calibri" w:hAnsi="Calibri"/>
                <w:b/>
                <w:bCs/>
                <w:i w:val="false"/>
                <w:iCs w:val="false"/>
                <w:caps w:val="false"/>
                <w:color w:val="3E6FA5"/>
                <w:sz w:val="16"/>
                <w:szCs w:val="16"/>
              </w:rPr>
              <w:t xml:space="preserve">5</w:t>
            </w:r>
          </w:p>
          <w:p>
            <w:pPr>
              <w:spacing w:after="10"/>
              <w:jc w:val="center"/>
            </w:pPr>
            <w:r>
              <w:rPr>
                <w:rFonts w:ascii="Calibri" w:cs="Calibri" w:eastAsia="Calibri" w:hAnsi="Calibri"/>
                <w:b/>
                <w:bCs/>
                <w:i w:val="false"/>
                <w:iCs w:val="false"/>
                <w:caps w:val="false"/>
                <w:color w:val="14294A"/>
                <w:sz w:val="19"/>
                <w:szCs w:val="19"/>
              </w:rPr>
              <w:t xml:space="preserve">Canonicalize</w:t>
            </w:r>
          </w:p>
          <w:p>
            <w:pPr>
              <w:spacing w:after="0"/>
              <w:jc w:val="center"/>
            </w:pPr>
            <w:r>
              <w:rPr>
                <w:rFonts w:ascii="Calibri" w:cs="Calibri" w:eastAsia="Calibri" w:hAnsi="Calibri"/>
                <w:b w:val="false"/>
                <w:bCs w:val="false"/>
                <w:i w:val="false"/>
                <w:iCs w:val="false"/>
                <w:caps w:val="false"/>
                <w:color w:val="5A6B7B"/>
                <w:sz w:val="15"/>
                <w:szCs w:val="15"/>
              </w:rPr>
              <w:t xml:space="preserve">Control plane (CER)</w:t>
            </w:r>
          </w:p>
        </w:tc>
      </w:tr>
      <w:tr>
        <w:tc>
          <w:tcPr>
            <w:tcW w:type="dxa" w:w="2016"/>
            <w:tcBorders>
              <w:top w:val="single" w:color="FFFFFF" w:sz="4"/>
              <w:left w:val="single" w:color="FFFFFF" w:sz="4"/>
              <w:bottom w:val="single" w:color="FFFFFF" w:sz="4"/>
              <w:right w:val="single" w:color="FFFFFF" w:sz="4"/>
            </w:tcBorders>
            <w:shd w:fill="EAF0F7" w:color="auto" w:val="clear"/>
            <w:tcMar>
              <w:top w:type="dxa" w:w="80"/>
              <w:left w:type="dxa" w:w="70"/>
              <w:bottom w:type="dxa" w:w="80"/>
              <w:right w:type="dxa" w:w="70"/>
            </w:tcMar>
            <w:vAlign w:val="center"/>
          </w:tcPr>
          <w:p>
            <w:pPr>
              <w:spacing w:after="20"/>
              <w:jc w:val="center"/>
            </w:pPr>
            <w:r>
              <w:rPr>
                <w:rFonts w:ascii="Calibri" w:cs="Calibri" w:eastAsia="Calibri" w:hAnsi="Calibri"/>
                <w:b/>
                <w:bCs/>
                <w:i w:val="false"/>
                <w:iCs w:val="false"/>
                <w:caps w:val="false"/>
                <w:color w:val="3E6FA5"/>
                <w:sz w:val="16"/>
                <w:szCs w:val="16"/>
              </w:rPr>
              <w:t xml:space="preserve">6</w:t>
            </w:r>
          </w:p>
          <w:p>
            <w:pPr>
              <w:spacing w:after="10"/>
              <w:jc w:val="center"/>
            </w:pPr>
            <w:r>
              <w:rPr>
                <w:rFonts w:ascii="Calibri" w:cs="Calibri" w:eastAsia="Calibri" w:hAnsi="Calibri"/>
                <w:b/>
                <w:bCs/>
                <w:i w:val="false"/>
                <w:iCs w:val="false"/>
                <w:caps w:val="false"/>
                <w:color w:val="14294A"/>
                <w:sz w:val="19"/>
                <w:szCs w:val="19"/>
              </w:rPr>
              <w:t xml:space="preserve">Authorize</w:t>
            </w:r>
          </w:p>
          <w:p>
            <w:pPr>
              <w:spacing w:after="0"/>
              <w:jc w:val="center"/>
            </w:pPr>
            <w:r>
              <w:rPr>
                <w:rFonts w:ascii="Calibri" w:cs="Calibri" w:eastAsia="Calibri" w:hAnsi="Calibri"/>
                <w:b w:val="false"/>
                <w:bCs w:val="false"/>
                <w:i w:val="false"/>
                <w:iCs w:val="false"/>
                <w:caps w:val="false"/>
                <w:color w:val="5A6B7B"/>
                <w:sz w:val="15"/>
                <w:szCs w:val="15"/>
              </w:rPr>
              <w:t xml:space="preserve">ActionGate</w:t>
            </w:r>
          </w:p>
        </w:tc>
        <w:tc>
          <w:tcPr>
            <w:tcW w:type="dxa" w:w="2016"/>
            <w:tcBorders>
              <w:top w:val="single" w:color="FFFFFF" w:sz="4"/>
              <w:left w:val="single" w:color="FFFFFF" w:sz="4"/>
              <w:bottom w:val="single" w:color="FFFFFF" w:sz="4"/>
              <w:right w:val="single" w:color="FFFFFF" w:sz="4"/>
            </w:tcBorders>
            <w:shd w:fill="EAF0F7" w:color="auto" w:val="clear"/>
            <w:tcMar>
              <w:top w:type="dxa" w:w="80"/>
              <w:left w:type="dxa" w:w="70"/>
              <w:bottom w:type="dxa" w:w="80"/>
              <w:right w:type="dxa" w:w="70"/>
            </w:tcMar>
            <w:vAlign w:val="center"/>
          </w:tcPr>
          <w:p>
            <w:pPr>
              <w:spacing w:after="20"/>
              <w:jc w:val="center"/>
            </w:pPr>
            <w:r>
              <w:rPr>
                <w:rFonts w:ascii="Calibri" w:cs="Calibri" w:eastAsia="Calibri" w:hAnsi="Calibri"/>
                <w:b/>
                <w:bCs/>
                <w:i w:val="false"/>
                <w:iCs w:val="false"/>
                <w:caps w:val="false"/>
                <w:color w:val="3E6FA5"/>
                <w:sz w:val="16"/>
                <w:szCs w:val="16"/>
              </w:rPr>
              <w:t xml:space="preserve">7</w:t>
            </w:r>
          </w:p>
          <w:p>
            <w:pPr>
              <w:spacing w:after="10"/>
              <w:jc w:val="center"/>
            </w:pPr>
            <w:r>
              <w:rPr>
                <w:rFonts w:ascii="Calibri" w:cs="Calibri" w:eastAsia="Calibri" w:hAnsi="Calibri"/>
                <w:b/>
                <w:bCs/>
                <w:i w:val="false"/>
                <w:iCs w:val="false"/>
                <w:caps w:val="false"/>
                <w:color w:val="14294A"/>
                <w:sz w:val="19"/>
                <w:szCs w:val="19"/>
              </w:rPr>
              <w:t xml:space="preserve">Clear</w:t>
            </w:r>
          </w:p>
          <w:p>
            <w:pPr>
              <w:spacing w:after="0"/>
              <w:jc w:val="center"/>
            </w:pPr>
            <w:r>
              <w:rPr>
                <w:rFonts w:ascii="Calibri" w:cs="Calibri" w:eastAsia="Calibri" w:hAnsi="Calibri"/>
                <w:b w:val="false"/>
                <w:bCs w:val="false"/>
                <w:i w:val="false"/>
                <w:iCs w:val="false"/>
                <w:caps w:val="false"/>
                <w:color w:val="5A6B7B"/>
                <w:sz w:val="15"/>
                <w:szCs w:val="15"/>
              </w:rPr>
              <w:t xml:space="preserve">ACP</w:t>
            </w:r>
          </w:p>
        </w:tc>
        <w:tc>
          <w:tcPr>
            <w:tcW w:type="dxa" w:w="2016"/>
            <w:tcBorders>
              <w:top w:val="single" w:color="FFFFFF" w:sz="4"/>
              <w:left w:val="single" w:color="FFFFFF" w:sz="4"/>
              <w:bottom w:val="single" w:color="FFFFFF" w:sz="4"/>
              <w:right w:val="single" w:color="FFFFFF" w:sz="4"/>
            </w:tcBorders>
            <w:shd w:fill="EAF0F7" w:color="auto" w:val="clear"/>
            <w:tcMar>
              <w:top w:type="dxa" w:w="80"/>
              <w:left w:type="dxa" w:w="70"/>
              <w:bottom w:type="dxa" w:w="80"/>
              <w:right w:type="dxa" w:w="70"/>
            </w:tcMar>
            <w:vAlign w:val="center"/>
          </w:tcPr>
          <w:p>
            <w:pPr>
              <w:spacing w:after="20"/>
              <w:jc w:val="center"/>
            </w:pPr>
            <w:r>
              <w:rPr>
                <w:rFonts w:ascii="Calibri" w:cs="Calibri" w:eastAsia="Calibri" w:hAnsi="Calibri"/>
                <w:b/>
                <w:bCs/>
                <w:i w:val="false"/>
                <w:iCs w:val="false"/>
                <w:caps w:val="false"/>
                <w:color w:val="3E6FA5"/>
                <w:sz w:val="16"/>
                <w:szCs w:val="16"/>
              </w:rPr>
              <w:t xml:space="preserve">8</w:t>
            </w:r>
          </w:p>
          <w:p>
            <w:pPr>
              <w:spacing w:after="10"/>
              <w:jc w:val="center"/>
            </w:pPr>
            <w:r>
              <w:rPr>
                <w:rFonts w:ascii="Calibri" w:cs="Calibri" w:eastAsia="Calibri" w:hAnsi="Calibri"/>
                <w:b/>
                <w:bCs/>
                <w:i w:val="false"/>
                <w:iCs w:val="false"/>
                <w:caps w:val="false"/>
                <w:color w:val="14294A"/>
                <w:sz w:val="19"/>
                <w:szCs w:val="19"/>
              </w:rPr>
              <w:t xml:space="preserve">Execute</w:t>
            </w:r>
          </w:p>
          <w:p>
            <w:pPr>
              <w:spacing w:after="0"/>
              <w:jc w:val="center"/>
            </w:pPr>
            <w:r>
              <w:rPr>
                <w:rFonts w:ascii="Calibri" w:cs="Calibri" w:eastAsia="Calibri" w:hAnsi="Calibri"/>
                <w:b w:val="false"/>
                <w:bCs w:val="false"/>
                <w:i w:val="false"/>
                <w:iCs w:val="false"/>
                <w:caps w:val="false"/>
                <w:color w:val="5A6B7B"/>
                <w:sz w:val="15"/>
                <w:szCs w:val="15"/>
              </w:rPr>
              <w:t xml:space="preserve">Execution connector</w:t>
            </w:r>
          </w:p>
        </w:tc>
        <w:tc>
          <w:tcPr>
            <w:tcW w:type="dxa" w:w="2016"/>
            <w:tcBorders>
              <w:top w:val="single" w:color="FFFFFF" w:sz="4"/>
              <w:left w:val="single" w:color="FFFFFF" w:sz="4"/>
              <w:bottom w:val="single" w:color="FFFFFF" w:sz="4"/>
              <w:right w:val="single" w:color="FFFFFF" w:sz="4"/>
            </w:tcBorders>
            <w:shd w:fill="EAF0F7" w:color="auto" w:val="clear"/>
            <w:tcMar>
              <w:top w:type="dxa" w:w="80"/>
              <w:left w:type="dxa" w:w="70"/>
              <w:bottom w:type="dxa" w:w="80"/>
              <w:right w:type="dxa" w:w="70"/>
            </w:tcMar>
            <w:vAlign w:val="center"/>
          </w:tcPr>
          <w:p>
            <w:pPr>
              <w:spacing w:after="20"/>
              <w:jc w:val="center"/>
            </w:pPr>
            <w:r>
              <w:rPr>
                <w:rFonts w:ascii="Calibri" w:cs="Calibri" w:eastAsia="Calibri" w:hAnsi="Calibri"/>
                <w:b/>
                <w:bCs/>
                <w:i w:val="false"/>
                <w:iCs w:val="false"/>
                <w:caps w:val="false"/>
                <w:color w:val="3E6FA5"/>
                <w:sz w:val="16"/>
                <w:szCs w:val="16"/>
              </w:rPr>
              <w:t xml:space="preserve">9</w:t>
            </w:r>
          </w:p>
          <w:p>
            <w:pPr>
              <w:spacing w:after="10"/>
              <w:jc w:val="center"/>
            </w:pPr>
            <w:r>
              <w:rPr>
                <w:rFonts w:ascii="Calibri" w:cs="Calibri" w:eastAsia="Calibri" w:hAnsi="Calibri"/>
                <w:b/>
                <w:bCs/>
                <w:i w:val="false"/>
                <w:iCs w:val="false"/>
                <w:caps w:val="false"/>
                <w:color w:val="14294A"/>
                <w:sz w:val="19"/>
                <w:szCs w:val="19"/>
              </w:rPr>
              <w:t xml:space="preserve">Reconcile</w:t>
            </w:r>
          </w:p>
          <w:p>
            <w:pPr>
              <w:spacing w:after="0"/>
              <w:jc w:val="center"/>
            </w:pPr>
            <w:r>
              <w:rPr>
                <w:rFonts w:ascii="Calibri" w:cs="Calibri" w:eastAsia="Calibri" w:hAnsi="Calibri"/>
                <w:b w:val="false"/>
                <w:bCs w:val="false"/>
                <w:i w:val="false"/>
                <w:iCs w:val="false"/>
                <w:caps w:val="false"/>
                <w:color w:val="5A6B7B"/>
                <w:sz w:val="15"/>
                <w:szCs w:val="15"/>
              </w:rPr>
              <w:t xml:space="preserve">Reconciliation</w:t>
            </w:r>
          </w:p>
        </w:tc>
        <w:tc>
          <w:tcPr>
            <w:tcW w:type="dxa" w:w="2016"/>
            <w:tcBorders>
              <w:top w:val="single" w:color="FFFFFF" w:sz="4"/>
              <w:left w:val="single" w:color="FFFFFF" w:sz="4"/>
              <w:bottom w:val="single" w:color="FFFFFF" w:sz="4"/>
              <w:right w:val="single" w:color="FFFFFF" w:sz="4"/>
            </w:tcBorders>
            <w:shd w:fill="EAF0F7" w:color="auto" w:val="clear"/>
            <w:tcMar>
              <w:top w:type="dxa" w:w="80"/>
              <w:left w:type="dxa" w:w="70"/>
              <w:bottom w:type="dxa" w:w="80"/>
              <w:right w:type="dxa" w:w="70"/>
            </w:tcMar>
            <w:vAlign w:val="center"/>
          </w:tcPr>
          <w:p>
            <w:pPr>
              <w:spacing w:after="20"/>
              <w:jc w:val="center"/>
            </w:pPr>
            <w:r>
              <w:rPr>
                <w:rFonts w:ascii="Calibri" w:cs="Calibri" w:eastAsia="Calibri" w:hAnsi="Calibri"/>
                <w:b/>
                <w:bCs/>
                <w:i w:val="false"/>
                <w:iCs w:val="false"/>
                <w:caps w:val="false"/>
                <w:color w:val="3E6FA5"/>
                <w:sz w:val="16"/>
                <w:szCs w:val="16"/>
              </w:rPr>
              <w:t xml:space="preserve">10</w:t>
            </w:r>
          </w:p>
          <w:p>
            <w:pPr>
              <w:spacing w:after="10"/>
              <w:jc w:val="center"/>
            </w:pPr>
            <w:r>
              <w:rPr>
                <w:rFonts w:ascii="Calibri" w:cs="Calibri" w:eastAsia="Calibri" w:hAnsi="Calibri"/>
                <w:b/>
                <w:bCs/>
                <w:i w:val="false"/>
                <w:iCs w:val="false"/>
                <w:caps w:val="false"/>
                <w:color w:val="14294A"/>
                <w:sz w:val="19"/>
                <w:szCs w:val="19"/>
              </w:rPr>
              <w:t xml:space="preserve">Record</w:t>
            </w:r>
          </w:p>
          <w:p>
            <w:pPr>
              <w:spacing w:after="0"/>
              <w:jc w:val="center"/>
            </w:pPr>
            <w:r>
              <w:rPr>
                <w:rFonts w:ascii="Calibri" w:cs="Calibri" w:eastAsia="Calibri" w:hAnsi="Calibri"/>
                <w:b w:val="false"/>
                <w:bCs w:val="false"/>
                <w:i w:val="false"/>
                <w:iCs w:val="false"/>
                <w:caps w:val="false"/>
                <w:color w:val="5A6B7B"/>
                <w:sz w:val="15"/>
                <w:szCs w:val="15"/>
              </w:rPr>
              <w:t xml:space="preserve">Audit</w:t>
            </w:r>
          </w:p>
        </w:tc>
      </w:tr>
    </w:tbl>
    <w:p>
      <w:pPr>
        <w:spacing w:after="100"/>
      </w:pPr>
      <w:r>
        <w:rPr>
          <w:rFonts w:ascii="Calibri" w:cs="Calibri" w:eastAsia="Calibri" w:hAnsi="Calibri"/>
          <w:b w:val="false"/>
          <w:bCs w:val="false"/>
          <w:i w:val="false"/>
          <w:iCs w:val="false"/>
          <w:caps w:val="false"/>
          <w:color w:val="1A2330"/>
          <w:sz w:val="2"/>
          <w:szCs w:val="2"/>
        </w:rPr>
        <w:t xml:space="preserve"/>
      </w:r>
    </w:p>
    <w:tbl>
      <w:tblPr>
        <w:tblW w:type="dxa" w:w="10080"/>
        <w:tblBorders>
          <w:top w:val="single" w:color="C7D3E2" w:sz="4"/>
          <w:left w:val="single" w:color="C7D3E2" w:sz="4"/>
          <w:bottom w:val="single" w:color="C7D3E2" w:sz="4"/>
          <w:right w:val="single" w:color="C7D3E2" w:sz="4"/>
          <w:insideH w:val="single" w:color="C7D3E2" w:sz="2"/>
          <w:insideV w:val="single" w:color="C7D3E2" w:sz="2"/>
        </w:tblBorders>
      </w:tblPr>
      <w:tblGrid>
        <w:gridCol w:w="520"/>
        <w:gridCol w:w="1600"/>
        <w:gridCol w:w="7960"/>
      </w:tblGrid>
      <w:tr>
        <w:trPr>
          <w:tblHeader/>
        </w:trPr>
        <w:tc>
          <w:tcPr>
            <w:tcW w:type="dxa" w:w="52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w:t>
            </w:r>
          </w:p>
        </w:tc>
        <w:tc>
          <w:tcPr>
            <w:tcW w:type="dxa" w:w="160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Stage</w:t>
            </w:r>
          </w:p>
        </w:tc>
        <w:tc>
          <w:tcPr>
            <w:tcW w:type="dxa" w:w="796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What happens</w:t>
            </w:r>
          </w:p>
        </w:tc>
      </w:tr>
      <w:tr>
        <w:tc>
          <w:tcPr>
            <w:tcW w:type="dxa" w:w="52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1</w:t>
            </w:r>
          </w:p>
        </w:tc>
        <w:tc>
          <w:tcPr>
            <w:tcW w:type="dxa" w:w="16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Propose</w:t>
            </w:r>
          </w:p>
        </w:tc>
        <w:tc>
          <w:tcPr>
            <w:tcW w:type="dxa" w:w="796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An assertion, recommendation, or action is proposed</w:t>
            </w:r>
          </w:p>
        </w:tc>
      </w:tr>
      <w:tr>
        <w:tc>
          <w:tcPr>
            <w:tcW w:type="dxa" w:w="52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2</w:t>
            </w:r>
          </w:p>
        </w:tc>
        <w:tc>
          <w:tcPr>
            <w:tcW w:type="dxa" w:w="16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Intake</w:t>
            </w:r>
          </w:p>
        </w:tc>
        <w:tc>
          <w:tcPr>
            <w:tcW w:type="dxa" w:w="796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Normalize tenant, workflow, identity, evidence references, and action data</w:t>
            </w:r>
          </w:p>
        </w:tc>
      </w:tr>
      <w:tr>
        <w:tc>
          <w:tcPr>
            <w:tcW w:type="dxa" w:w="52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3</w:t>
            </w:r>
          </w:p>
        </w:tc>
        <w:tc>
          <w:tcPr>
            <w:tcW w:type="dxa" w:w="16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Verify</w:t>
            </w:r>
          </w:p>
        </w:tc>
        <w:tc>
          <w:tcPr>
            <w:tcW w:type="dxa" w:w="796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Truth Assurance verifies assertions and evidence before reliance</w:t>
            </w:r>
          </w:p>
        </w:tc>
      </w:tr>
      <w:tr>
        <w:tc>
          <w:tcPr>
            <w:tcW w:type="dxa" w:w="52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4</w:t>
            </w:r>
          </w:p>
        </w:tc>
        <w:tc>
          <w:tcPr>
            <w:tcW w:type="dxa" w:w="16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Decide</w:t>
            </w:r>
          </w:p>
        </w:tc>
        <w:tc>
          <w:tcPr>
            <w:tcW w:type="dxa" w:w="796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Decision Governance confirms who holds binding authority</w:t>
            </w:r>
          </w:p>
        </w:tc>
      </w:tr>
      <w:tr>
        <w:tc>
          <w:tcPr>
            <w:tcW w:type="dxa" w:w="52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5</w:t>
            </w:r>
          </w:p>
        </w:tc>
        <w:tc>
          <w:tcPr>
            <w:tcW w:type="dxa" w:w="16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Canonicalize</w:t>
            </w:r>
          </w:p>
        </w:tc>
        <w:tc>
          <w:tcPr>
            <w:tcW w:type="dxa" w:w="796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The exact action is converted into a Canonical Execution Request</w:t>
            </w:r>
          </w:p>
        </w:tc>
      </w:tr>
      <w:tr>
        <w:tc>
          <w:tcPr>
            <w:tcW w:type="dxa" w:w="52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6</w:t>
            </w:r>
          </w:p>
        </w:tc>
        <w:tc>
          <w:tcPr>
            <w:tcW w:type="dxa" w:w="16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Authorize</w:t>
            </w:r>
          </w:p>
        </w:tc>
        <w:tc>
          <w:tcPr>
            <w:tcW w:type="dxa" w:w="796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ActionGate determines whether that exact action is authorized</w:t>
            </w:r>
          </w:p>
        </w:tc>
      </w:tr>
      <w:tr>
        <w:tc>
          <w:tcPr>
            <w:tcW w:type="dxa" w:w="52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7</w:t>
            </w:r>
          </w:p>
        </w:tc>
        <w:tc>
          <w:tcPr>
            <w:tcW w:type="dxa" w:w="16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Clear</w:t>
            </w:r>
          </w:p>
        </w:tc>
        <w:tc>
          <w:tcPr>
            <w:tcW w:type="dxa" w:w="796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ACP determines whether the authorized action is operationally safe now</w:t>
            </w:r>
          </w:p>
        </w:tc>
      </w:tr>
      <w:tr>
        <w:tc>
          <w:tcPr>
            <w:tcW w:type="dxa" w:w="52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8</w:t>
            </w:r>
          </w:p>
        </w:tc>
        <w:tc>
          <w:tcPr>
            <w:tcW w:type="dxa" w:w="16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Execute</w:t>
            </w:r>
          </w:p>
        </w:tc>
        <w:tc>
          <w:tcPr>
            <w:tcW w:type="dxa" w:w="796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An execution connector performs the action only when enforcement is enabled</w:t>
            </w:r>
          </w:p>
        </w:tc>
      </w:tr>
      <w:tr>
        <w:tc>
          <w:tcPr>
            <w:tcW w:type="dxa" w:w="52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9</w:t>
            </w:r>
          </w:p>
        </w:tc>
        <w:tc>
          <w:tcPr>
            <w:tcW w:type="dxa" w:w="16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Reconcile</w:t>
            </w:r>
          </w:p>
        </w:tc>
        <w:tc>
          <w:tcPr>
            <w:tcW w:type="dxa" w:w="796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Reconciliation verifies that execution matched authorization</w:t>
            </w:r>
          </w:p>
        </w:tc>
      </w:tr>
      <w:tr>
        <w:tc>
          <w:tcPr>
            <w:tcW w:type="dxa" w:w="52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10</w:t>
            </w:r>
          </w:p>
        </w:tc>
        <w:tc>
          <w:tcPr>
            <w:tcW w:type="dxa" w:w="16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Record</w:t>
            </w:r>
          </w:p>
        </w:tc>
        <w:tc>
          <w:tcPr>
            <w:tcW w:type="dxa" w:w="796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Audit preserves the complete chain</w:t>
            </w:r>
          </w:p>
        </w:tc>
      </w:tr>
    </w:tbl>
    <w:p>
      <w:pPr>
        <w:spacing w:after="120" w:before="100" w:line="276"/>
      </w:pPr>
      <w:r>
        <w:rPr>
          <w:rFonts w:ascii="Calibri" w:cs="Calibri" w:eastAsia="Calibri" w:hAnsi="Calibri"/>
          <w:b/>
          <w:bCs/>
          <w:i w:val="false"/>
          <w:iCs w:val="false"/>
          <w:caps w:val="false"/>
          <w:color w:val="14294A"/>
          <w:sz w:val="21"/>
          <w:szCs w:val="21"/>
        </w:rPr>
        <w:t xml:space="preserve">Context Minimization is an optional accelerator at intake, not the gateway itself. </w:t>
      </w:r>
      <w:r>
        <w:rPr>
          <w:rFonts w:ascii="Calibri" w:cs="Calibri" w:eastAsia="Calibri" w:hAnsi="Calibri"/>
          <w:b w:val="false"/>
          <w:bCs w:val="false"/>
          <w:i w:val="false"/>
          <w:iCs w:val="false"/>
          <w:caps w:val="false"/>
          <w:color w:val="1A2330"/>
          <w:sz w:val="21"/>
          <w:szCs w:val="21"/>
        </w:rPr>
        <w:t xml:space="preserve">The gateway is the normalization and identity boundary; Context Minimization, when enabled, reduces admitted context inside that boundary without altering authorization.</w:t>
      </w:r>
    </w:p>
    <w:p>
      <w:r>
        <w:br w:type="page"/>
      </w:r>
    </w:p>
    <w:p>
      <w:pPr>
        <w:pBdr>
          <w:bottom w:val="single" w:color="3E6FA5" w:sz="12" w:space="4"/>
        </w:pBdr>
        <w:spacing w:after="60" w:before="320"/>
      </w:pPr>
      <w:r>
        <w:rPr>
          <w:rFonts w:ascii="Calibri" w:cs="Calibri" w:eastAsia="Calibri" w:hAnsi="Calibri"/>
          <w:b/>
          <w:bCs/>
          <w:i w:val="false"/>
          <w:iCs w:val="false"/>
          <w:caps w:val="false"/>
          <w:color w:val="14294A"/>
          <w:sz w:val="30"/>
          <w:szCs w:val="30"/>
        </w:rPr>
        <w:t xml:space="preserve">5 · Current implementation evidence</w:t>
      </w:r>
    </w:p>
    <w:p>
      <w:pPr>
        <w:spacing w:after="120" w:before="0" w:line="276"/>
      </w:pPr>
      <w:r>
        <w:rPr>
          <w:rFonts w:ascii="Calibri" w:cs="Calibri" w:eastAsia="Calibri" w:hAnsi="Calibri"/>
          <w:b w:val="false"/>
          <w:bCs w:val="false"/>
          <w:i w:val="false"/>
          <w:iCs w:val="false"/>
          <w:caps w:val="false"/>
          <w:color w:val="1A2330"/>
          <w:sz w:val="21"/>
          <w:szCs w:val="21"/>
        </w:rPr>
        <w:t xml:space="preserve">Built today, stated conservatively. “Verification artifact” refers to internal repository code and tests, not third-party validation.</w:t>
      </w:r>
    </w:p>
    <w:tbl>
      <w:tblPr>
        <w:tblW w:type="dxa" w:w="10080"/>
        <w:tblBorders>
          <w:top w:val="single" w:color="C7D3E2" w:sz="4"/>
          <w:left w:val="single" w:color="C7D3E2" w:sz="4"/>
          <w:bottom w:val="single" w:color="C7D3E2" w:sz="4"/>
          <w:right w:val="single" w:color="C7D3E2" w:sz="4"/>
          <w:insideH w:val="single" w:color="C7D3E2" w:sz="2"/>
          <w:insideV w:val="single" w:color="C7D3E2" w:sz="2"/>
        </w:tblBorders>
      </w:tblPr>
      <w:tblGrid>
        <w:gridCol w:w="2180"/>
        <w:gridCol w:w="1560"/>
        <w:gridCol w:w="2100"/>
        <w:gridCol w:w="2100"/>
        <w:gridCol w:w="2140"/>
      </w:tblGrid>
      <w:tr>
        <w:trPr>
          <w:tblHeader/>
        </w:trPr>
        <w:tc>
          <w:tcPr>
            <w:tcW w:type="dxa" w:w="218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Capability</w:t>
            </w:r>
          </w:p>
        </w:tc>
        <w:tc>
          <w:tcPr>
            <w:tcW w:type="dxa" w:w="156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Status</w:t>
            </w:r>
          </w:p>
        </w:tc>
        <w:tc>
          <w:tcPr>
            <w:tcW w:type="dxa" w:w="210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Verification artifact</w:t>
            </w:r>
          </w:p>
        </w:tc>
        <w:tc>
          <w:tcPr>
            <w:tcW w:type="dxa" w:w="210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Known limitation</w:t>
            </w:r>
          </w:p>
        </w:tc>
        <w:tc>
          <w:tcPr>
            <w:tcW w:type="dxa" w:w="214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Next productization requirement</w:t>
            </w:r>
          </w:p>
        </w:tc>
      </w:tr>
      <w:tr>
        <w:tc>
          <w:tcPr>
            <w:tcW w:type="dxa" w:w="218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Dedicated console API service</w:t>
            </w:r>
          </w:p>
        </w:tc>
        <w:tc>
          <w:tcPr>
            <w:tcW w:type="dxa" w:w="156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Built (Phase 0/1)</w:t>
            </w:r>
          </w:p>
        </w:tc>
        <w:tc>
          <w:tcPr>
            <w:tcW w:type="dxa" w:w="21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FastAPI factory; /health module probes</w:t>
            </w:r>
          </w:p>
        </w:tc>
        <w:tc>
          <w:tcPr>
            <w:tcW w:type="dxa" w:w="21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In-process calls; no auth; in-memory state</w:t>
            </w:r>
          </w:p>
        </w:tc>
        <w:tc>
          <w:tcPr>
            <w:tcW w:type="dxa" w:w="214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Multi-tenant identity; secure versioned APIs</w:t>
            </w:r>
          </w:p>
        </w:tc>
      </w:tr>
      <w:tr>
        <w:tc>
          <w:tcPr>
            <w:tcW w:type="dxa" w:w="218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Separate console frontend</w:t>
            </w:r>
          </w:p>
        </w:tc>
        <w:tc>
          <w:tcPr>
            <w:tcW w:type="dxa" w:w="156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Built</w:t>
            </w:r>
          </w:p>
        </w:tc>
        <w:tc>
          <w:tcPr>
            <w:tcW w:type="dxa" w:w="21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Vite/React; Governed-Loop, Modules, Audit views</w:t>
            </w:r>
          </w:p>
        </w:tc>
        <w:tc>
          <w:tcPr>
            <w:tcW w:type="dxa" w:w="21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Engineering-oriented nav; no RBAC</w:t>
            </w:r>
          </w:p>
        </w:tc>
        <w:tc>
          <w:tcPr>
            <w:tcW w:type="dxa" w:w="214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Enterprise workflow nav; review queue; RBAC</w:t>
            </w:r>
          </w:p>
        </w:tc>
      </w:tr>
      <w:tr>
        <w:tc>
          <w:tcPr>
            <w:tcW w:type="dxa" w:w="218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Truth &amp; Evidence (TAP)</w:t>
            </w:r>
          </w:p>
        </w:tc>
        <w:tc>
          <w:tcPr>
            <w:tcW w:type="dxa" w:w="156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Wired — emerging</w:t>
            </w:r>
          </w:p>
        </w:tc>
        <w:tc>
          <w:tcPr>
            <w:tcW w:type="dxa" w:w="21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Adapter → real TAP engine</w:t>
            </w:r>
          </w:p>
        </w:tc>
        <w:tc>
          <w:tcPr>
            <w:tcW w:type="dxa" w:w="21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Synthetic evaluation; single prototype layer</w:t>
            </w:r>
          </w:p>
        </w:tc>
        <w:tc>
          <w:tcPr>
            <w:tcW w:type="dxa" w:w="214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Human validation; multi-layer hardening</w:t>
            </w:r>
          </w:p>
        </w:tc>
      </w:tr>
      <w:tr>
        <w:tc>
          <w:tcPr>
            <w:tcW w:type="dxa" w:w="218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Action Control (ActionGate)</w:t>
            </w:r>
          </w:p>
        </w:tc>
        <w:tc>
          <w:tcPr>
            <w:tcW w:type="dxa" w:w="156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Wired — real engine</w:t>
            </w:r>
          </w:p>
        </w:tc>
        <w:tc>
          <w:tcPr>
            <w:tcW w:type="dxa" w:w="21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Adapter → real ActionGate; CER identity computed</w:t>
            </w:r>
          </w:p>
        </w:tc>
        <w:tc>
          <w:tcPr>
            <w:tcW w:type="dxa" w:w="21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No kernel-bound CER; no JIT credential or enforcement</w:t>
            </w:r>
          </w:p>
        </w:tc>
        <w:tc>
          <w:tcPr>
            <w:tcW w:type="dxa" w:w="214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Kernel CER binding; exact-action credentials; commit-time recheck</w:t>
            </w:r>
          </w:p>
        </w:tc>
      </w:tr>
      <w:tr>
        <w:tc>
          <w:tcPr>
            <w:tcW w:type="dxa" w:w="218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Operational clearance (ACP sibling)</w:t>
            </w:r>
          </w:p>
        </w:tc>
        <w:tc>
          <w:tcPr>
            <w:tcW w:type="dxa" w:w="156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Wired — deterministic gate</w:t>
            </w:r>
          </w:p>
        </w:tc>
        <w:tc>
          <w:tcPr>
            <w:tcW w:type="dxa" w:w="21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CLEAR / HOLD verdicts</w:t>
            </w:r>
          </w:p>
        </w:tc>
        <w:tc>
          <w:tcPr>
            <w:tcW w:type="dxa" w:w="21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Digital sibling, not the robotics ACP engine; fixed thresholds</w:t>
            </w:r>
          </w:p>
        </w:tc>
        <w:tc>
          <w:tcPr>
            <w:tcW w:type="dxa" w:w="214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Policy-driven signals; ACP engine integration</w:t>
            </w:r>
          </w:p>
        </w:tc>
      </w:tr>
      <w:tr>
        <w:tc>
          <w:tcPr>
            <w:tcW w:type="dxa" w:w="218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Agent Gateway accelerator (Context Min.)</w:t>
            </w:r>
          </w:p>
        </w:tc>
        <w:tc>
          <w:tcPr>
            <w:tcW w:type="dxa" w:w="156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Wired — structural path</w:t>
            </w:r>
          </w:p>
        </w:tc>
        <w:tc>
          <w:tcPr>
            <w:tcW w:type="dxa" w:w="21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Adapter → structural compression</w:t>
            </w:r>
          </w:p>
        </w:tc>
        <w:tc>
          <w:tcPr>
            <w:tcW w:type="dxa" w:w="21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Model-free structural dedup only</w:t>
            </w:r>
          </w:p>
        </w:tc>
        <w:tc>
          <w:tcPr>
            <w:tcW w:type="dxa" w:w="214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Authorization-preserving compressor; intake normalization</w:t>
            </w:r>
          </w:p>
        </w:tc>
      </w:tr>
      <w:tr>
        <w:tc>
          <w:tcPr>
            <w:tcW w:type="dxa" w:w="218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Decision Governance</w:t>
            </w:r>
          </w:p>
        </w:tc>
        <w:tc>
          <w:tcPr>
            <w:tcW w:type="dxa" w:w="156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Not yet in loop</w:t>
            </w:r>
          </w:p>
        </w:tc>
        <w:tc>
          <w:tcPr>
            <w:tcW w:type="dxa" w:w="21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Kernel with frozen public API exists</w:t>
            </w:r>
          </w:p>
        </w:tc>
        <w:tc>
          <w:tcPr>
            <w:tcW w:type="dxa" w:w="21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Not surfaced in the console loop</w:t>
            </w:r>
          </w:p>
        </w:tc>
        <w:tc>
          <w:tcPr>
            <w:tcW w:type="dxa" w:w="214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Authority-binding stage (Phase 2)</w:t>
            </w:r>
          </w:p>
        </w:tc>
      </w:tr>
      <w:tr>
        <w:tc>
          <w:tcPr>
            <w:tcW w:type="dxa" w:w="218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Governed-loop orchestration</w:t>
            </w:r>
          </w:p>
        </w:tc>
        <w:tc>
          <w:tcPr>
            <w:tcW w:type="dxa" w:w="156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Built (shadow)</w:t>
            </w:r>
          </w:p>
        </w:tc>
        <w:tc>
          <w:tcPr>
            <w:tcW w:type="dxa" w:w="21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Orchestrator; 3 K8s scenarios; non-compensatory gates</w:t>
            </w:r>
          </w:p>
        </w:tc>
        <w:tc>
          <w:tcPr>
            <w:tcW w:type="dxa" w:w="21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Evaluation-only; no execution or reconciliation</w:t>
            </w:r>
          </w:p>
        </w:tc>
        <w:tc>
          <w:tcPr>
            <w:tcW w:type="dxa" w:w="214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Execution connector; reconciliation; receipts</w:t>
            </w:r>
          </w:p>
        </w:tc>
      </w:tr>
      <w:tr>
        <w:tc>
          <w:tcPr>
            <w:tcW w:type="dxa" w:w="218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Audit and Reconstruction</w:t>
            </w:r>
          </w:p>
        </w:tc>
        <w:tc>
          <w:tcPr>
            <w:tcW w:type="dxa" w:w="156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Built (in-memory)</w:t>
            </w:r>
          </w:p>
        </w:tc>
        <w:tc>
          <w:tcPr>
            <w:tcW w:type="dxa" w:w="21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Audit store; reconstruct by correlation_id</w:t>
            </w:r>
          </w:p>
        </w:tc>
        <w:tc>
          <w:tcPr>
            <w:tcW w:type="dxa" w:w="21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Not durable or tamper-evident</w:t>
            </w:r>
          </w:p>
        </w:tc>
        <w:tc>
          <w:tcPr>
            <w:tcW w:type="dxa" w:w="214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Durable append-only hash-chained audit</w:t>
            </w:r>
          </w:p>
        </w:tc>
      </w:tr>
      <w:tr>
        <w:tc>
          <w:tcPr>
            <w:tcW w:type="dxa" w:w="218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Automated test suite</w:t>
            </w:r>
          </w:p>
        </w:tc>
        <w:tc>
          <w:tcPr>
            <w:tcW w:type="dxa" w:w="156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Passing locally</w:t>
            </w:r>
          </w:p>
        </w:tc>
        <w:tc>
          <w:tcPr>
            <w:tcW w:type="dxa" w:w="21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ugence_console_api/tests/</w:t>
            </w:r>
          </w:p>
        </w:tc>
        <w:tc>
          <w:tcPr>
            <w:tcW w:type="dxa" w:w="21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CI + exact counts TO VERIFY FROM REPOSITORY</w:t>
            </w:r>
          </w:p>
        </w:tc>
        <w:tc>
          <w:tcPr>
            <w:tcW w:type="dxa" w:w="214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CI gating; coverage targets</w:t>
            </w:r>
          </w:p>
        </w:tc>
      </w:tr>
    </w:tbl>
    <w:p>
      <w:pPr>
        <w:spacing w:after="120" w:before="100" w:line="276"/>
      </w:pPr>
      <w:r>
        <w:rPr>
          <w:rFonts w:ascii="Calibri" w:cs="Calibri" w:eastAsia="Calibri" w:hAnsi="Calibri"/>
          <w:b w:val="false"/>
          <w:bCs w:val="false"/>
          <w:i w:val="false"/>
          <w:iCs w:val="false"/>
          <w:caps w:val="false"/>
          <w:color w:val="1A2330"/>
          <w:sz w:val="21"/>
          <w:szCs w:val="21"/>
        </w:rPr>
        <w:t xml:space="preserve">The three deterministic Kubernetes scenarios exercise the gates: a clean allow; an authorized action held on operational state; and an action blocked because its supporting assertion is unsupported.</w:t>
      </w:r>
    </w:p>
    <w:p>
      <w:pPr>
        <w:pBdr>
          <w:bottom w:val="single" w:color="3E6FA5" w:sz="12" w:space="4"/>
        </w:pBdr>
        <w:spacing w:after="60" w:before="320"/>
      </w:pPr>
      <w:r>
        <w:rPr>
          <w:rFonts w:ascii="Calibri" w:cs="Calibri" w:eastAsia="Calibri" w:hAnsi="Calibri"/>
          <w:b/>
          <w:bCs/>
          <w:i w:val="false"/>
          <w:iCs w:val="false"/>
          <w:caps w:val="false"/>
          <w:color w:val="14294A"/>
          <w:sz w:val="30"/>
          <w:szCs w:val="30"/>
        </w:rPr>
        <w:t xml:space="preserve">6 · Data and identity model</w:t>
      </w:r>
    </w:p>
    <w:p>
      <w:pPr>
        <w:spacing w:after="120" w:before="0" w:line="276"/>
      </w:pPr>
      <w:r>
        <w:rPr>
          <w:rFonts w:ascii="Calibri" w:cs="Calibri" w:eastAsia="Calibri" w:hAnsi="Calibri"/>
          <w:b w:val="false"/>
          <w:bCs w:val="false"/>
          <w:i w:val="false"/>
          <w:iCs w:val="false"/>
          <w:caps w:val="false"/>
          <w:color w:val="1A2330"/>
          <w:sz w:val="21"/>
          <w:szCs w:val="21"/>
        </w:rPr>
        <w:t xml:space="preserve">A durable product requires a precise identity model. Today the prototype threads two of these (cer_id, correlation_id); the remainder are the productized data model introduced in Phase 2.</w:t>
      </w:r>
    </w:p>
    <w:tbl>
      <w:tblPr>
        <w:tblW w:type="dxa" w:w="10080"/>
        <w:tblBorders>
          <w:top w:val="single" w:color="C7D3E2" w:sz="4"/>
          <w:left w:val="single" w:color="C7D3E2" w:sz="4"/>
          <w:bottom w:val="single" w:color="C7D3E2" w:sz="4"/>
          <w:right w:val="single" w:color="C7D3E2" w:sz="4"/>
          <w:insideH w:val="single" w:color="C7D3E2" w:sz="2"/>
          <w:insideV w:val="single" w:color="C7D3E2" w:sz="2"/>
        </w:tblBorders>
      </w:tblPr>
      <w:tblGrid>
        <w:gridCol w:w="2400"/>
        <w:gridCol w:w="5480"/>
        <w:gridCol w:w="2200"/>
      </w:tblGrid>
      <w:tr>
        <w:trPr>
          <w:tblHeader/>
        </w:trPr>
        <w:tc>
          <w:tcPr>
            <w:tcW w:type="dxa" w:w="240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Identifier</w:t>
            </w:r>
          </w:p>
        </w:tc>
        <w:tc>
          <w:tcPr>
            <w:tcW w:type="dxa" w:w="548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Identifies</w:t>
            </w:r>
          </w:p>
        </w:tc>
        <w:tc>
          <w:tcPr>
            <w:tcW w:type="dxa" w:w="220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Status</w:t>
            </w:r>
          </w:p>
        </w:tc>
      </w:tr>
      <w:tr>
        <w:tc>
          <w:tcPr>
            <w:tcW w:type="dxa" w:w="2400"/>
            <w:shd w:fill="FFFFF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2E5A88"/>
                <w:sz w:val="21"/>
                <w:szCs w:val="21"/>
              </w:rPr>
              <w:t xml:space="preserve">tenant_id</w:t>
            </w:r>
          </w:p>
        </w:tc>
        <w:tc>
          <w:tcPr>
            <w:tcW w:type="dxa" w:w="548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The enterprise tenant / organization boundary</w:t>
            </w:r>
          </w:p>
        </w:tc>
        <w:tc>
          <w:tcPr>
            <w:tcW w:type="dxa" w:w="22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Planned (Phase 2)</w:t>
            </w:r>
          </w:p>
        </w:tc>
      </w:tr>
      <w:tr>
        <w:tc>
          <w:tcPr>
            <w:tcW w:type="dxa" w:w="2400"/>
            <w:shd w:fill="F5F8FC"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2E5A88"/>
                <w:sz w:val="21"/>
                <w:szCs w:val="21"/>
              </w:rPr>
              <w:t xml:space="preserve">workflow_id</w:t>
            </w:r>
          </w:p>
        </w:tc>
        <w:tc>
          <w:tcPr>
            <w:tcW w:type="dxa" w:w="548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 configured governed workflow</w:t>
            </w:r>
          </w:p>
        </w:tc>
        <w:tc>
          <w:tcPr>
            <w:tcW w:type="dxa" w:w="22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Planned (Phase 2)</w:t>
            </w:r>
          </w:p>
        </w:tc>
      </w:tr>
      <w:tr>
        <w:tc>
          <w:tcPr>
            <w:tcW w:type="dxa" w:w="2400"/>
            <w:shd w:fill="FFFFF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2E5A88"/>
                <w:sz w:val="21"/>
                <w:szCs w:val="21"/>
              </w:rPr>
              <w:t xml:space="preserve">case_id</w:t>
            </w:r>
          </w:p>
        </w:tc>
        <w:tc>
          <w:tcPr>
            <w:tcW w:type="dxa" w:w="548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One decision case (may span many proposals)</w:t>
            </w:r>
          </w:p>
        </w:tc>
        <w:tc>
          <w:tcPr>
            <w:tcW w:type="dxa" w:w="22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Planned (Phase 2)</w:t>
            </w:r>
          </w:p>
        </w:tc>
      </w:tr>
      <w:tr>
        <w:tc>
          <w:tcPr>
            <w:tcW w:type="dxa" w:w="2400"/>
            <w:shd w:fill="F5F8FC"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2E5A88"/>
                <w:sz w:val="21"/>
                <w:szCs w:val="21"/>
              </w:rPr>
              <w:t xml:space="preserve">proposal_id</w:t>
            </w:r>
          </w:p>
        </w:tc>
        <w:tc>
          <w:tcPr>
            <w:tcW w:type="dxa" w:w="548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One proposed assertion / recommendation / action</w:t>
            </w:r>
          </w:p>
        </w:tc>
        <w:tc>
          <w:tcPr>
            <w:tcW w:type="dxa" w:w="22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Planned (Phase 2)</w:t>
            </w:r>
          </w:p>
        </w:tc>
      </w:tr>
      <w:tr>
        <w:tc>
          <w:tcPr>
            <w:tcW w:type="dxa" w:w="2400"/>
            <w:shd w:fill="FFFFF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14294A"/>
                <w:sz w:val="21"/>
                <w:szCs w:val="21"/>
              </w:rPr>
              <w:t xml:space="preserve">cer_id</w:t>
            </w:r>
          </w:p>
        </w:tc>
        <w:tc>
          <w:tcPr>
            <w:tcW w:type="dxa" w:w="548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The immutable exact action (Canonical Execution Request)</w:t>
            </w:r>
          </w:p>
        </w:tc>
        <w:tc>
          <w:tcPr>
            <w:tcW w:type="dxa" w:w="22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Built (Phase 1)</w:t>
            </w:r>
          </w:p>
        </w:tc>
      </w:tr>
      <w:tr>
        <w:tc>
          <w:tcPr>
            <w:tcW w:type="dxa" w:w="2400"/>
            <w:shd w:fill="F5F8FC"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2E5A88"/>
                <w:sz w:val="21"/>
                <w:szCs w:val="21"/>
              </w:rPr>
              <w:t xml:space="preserve">evaluation_id</w:t>
            </w:r>
          </w:p>
        </w:tc>
        <w:tc>
          <w:tcPr>
            <w:tcW w:type="dxa" w:w="548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One governance evaluation of a proposal</w:t>
            </w:r>
          </w:p>
        </w:tc>
        <w:tc>
          <w:tcPr>
            <w:tcW w:type="dxa" w:w="22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Planned (Phase 2)</w:t>
            </w:r>
          </w:p>
        </w:tc>
      </w:tr>
      <w:tr>
        <w:tc>
          <w:tcPr>
            <w:tcW w:type="dxa" w:w="2400"/>
            <w:shd w:fill="FFFFF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14294A"/>
                <w:sz w:val="21"/>
                <w:szCs w:val="21"/>
              </w:rPr>
              <w:t xml:space="preserve">correlation_id</w:t>
            </w:r>
          </w:p>
        </w:tc>
        <w:tc>
          <w:tcPr>
            <w:tcW w:type="dxa" w:w="548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One distributed processing flow across services</w:t>
            </w:r>
          </w:p>
        </w:tc>
        <w:tc>
          <w:tcPr>
            <w:tcW w:type="dxa" w:w="22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Built (Phase 1)</w:t>
            </w:r>
          </w:p>
        </w:tc>
      </w:tr>
      <w:tr>
        <w:tc>
          <w:tcPr>
            <w:tcW w:type="dxa" w:w="2400"/>
            <w:shd w:fill="F5F8FC"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2E5A88"/>
                <w:sz w:val="21"/>
                <w:szCs w:val="21"/>
              </w:rPr>
              <w:t xml:space="preserve">execution_id</w:t>
            </w:r>
          </w:p>
        </w:tc>
        <w:tc>
          <w:tcPr>
            <w:tcW w:type="dxa" w:w="548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One execution attempt against a target</w:t>
            </w:r>
          </w:p>
        </w:tc>
        <w:tc>
          <w:tcPr>
            <w:tcW w:type="dxa" w:w="22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Planned (Phase 4)</w:t>
            </w:r>
          </w:p>
        </w:tc>
      </w:tr>
      <w:tr>
        <w:tc>
          <w:tcPr>
            <w:tcW w:type="dxa" w:w="2400"/>
            <w:shd w:fill="FFFFF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2E5A88"/>
                <w:sz w:val="21"/>
                <w:szCs w:val="21"/>
              </w:rPr>
              <w:t xml:space="preserve">reconciliation_id</w:t>
            </w:r>
          </w:p>
        </w:tc>
        <w:tc>
          <w:tcPr>
            <w:tcW w:type="dxa" w:w="548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One reconciliation of execution against authorization</w:t>
            </w:r>
          </w:p>
        </w:tc>
        <w:tc>
          <w:tcPr>
            <w:tcW w:type="dxa" w:w="22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Planned (Phase 4)</w:t>
            </w:r>
          </w:p>
        </w:tc>
      </w:tr>
    </w:tbl>
    <w:p>
      <w:pPr>
        <w:spacing w:after="120" w:before="100" w:line="276"/>
      </w:pPr>
      <w:r>
        <w:rPr>
          <w:rFonts w:ascii="Calibri" w:cs="Calibri" w:eastAsia="Calibri" w:hAnsi="Calibri"/>
          <w:b w:val="false"/>
          <w:bCs w:val="false"/>
          <w:i w:val="false"/>
          <w:iCs w:val="false"/>
          <w:caps w:val="false"/>
          <w:color w:val="1A2330"/>
          <w:sz w:val="21"/>
          <w:szCs w:val="21"/>
        </w:rPr>
        <w:t xml:space="preserve">Distinctions the product must never blur:</w:t>
      </w:r>
    </w:p>
    <w:p>
      <w:pPr>
        <w:pStyle w:val="ListParagraph"/>
        <w:numPr>
          <w:ilvl w:val="0"/>
          <w:numId w:val="1"/>
        </w:numPr>
        <w:spacing w:after="70" w:line="268"/>
      </w:pPr>
      <w:r>
        <w:rPr>
          <w:rFonts w:ascii="Calibri" w:cs="Calibri" w:eastAsia="Calibri" w:hAnsi="Calibri"/>
          <w:b/>
          <w:bCs/>
          <w:i w:val="false"/>
          <w:iCs w:val="false"/>
          <w:caps w:val="false"/>
          <w:color w:val="14294A"/>
          <w:sz w:val="21"/>
          <w:szCs w:val="21"/>
        </w:rPr>
        <w:t xml:space="preserve">cer_id identifies the immutable exact action. </w:t>
      </w:r>
      <w:r>
        <w:rPr>
          <w:rFonts w:ascii="Calibri" w:cs="Calibri" w:eastAsia="Calibri" w:hAnsi="Calibri"/>
          <w:b w:val="false"/>
          <w:bCs w:val="false"/>
          <w:i w:val="false"/>
          <w:iCs w:val="false"/>
          <w:caps w:val="false"/>
          <w:color w:val="1A2330"/>
          <w:sz w:val="21"/>
          <w:szCs w:val="21"/>
        </w:rPr>
        <w:t xml:space="preserve">The same action always yields the same CER identity; it is the join key for authorization and audit.</w:t>
      </w:r>
    </w:p>
    <w:p>
      <w:pPr>
        <w:pStyle w:val="ListParagraph"/>
        <w:numPr>
          <w:ilvl w:val="0"/>
          <w:numId w:val="1"/>
        </w:numPr>
        <w:spacing w:after="70" w:line="268"/>
      </w:pPr>
      <w:r>
        <w:rPr>
          <w:rFonts w:ascii="Calibri" w:cs="Calibri" w:eastAsia="Calibri" w:hAnsi="Calibri"/>
          <w:b/>
          <w:bCs/>
          <w:i w:val="false"/>
          <w:iCs w:val="false"/>
          <w:caps w:val="false"/>
          <w:color w:val="14294A"/>
          <w:sz w:val="21"/>
          <w:szCs w:val="21"/>
        </w:rPr>
        <w:t xml:space="preserve">correlation_id traces one distributed processing flow. </w:t>
      </w:r>
      <w:r>
        <w:rPr>
          <w:rFonts w:ascii="Calibri" w:cs="Calibri" w:eastAsia="Calibri" w:hAnsi="Calibri"/>
          <w:b w:val="false"/>
          <w:bCs w:val="false"/>
          <w:i w:val="false"/>
          <w:iCs w:val="false"/>
          <w:caps w:val="false"/>
          <w:color w:val="1A2330"/>
          <w:sz w:val="21"/>
          <w:szCs w:val="21"/>
        </w:rPr>
        <w:t xml:space="preserve">It spans services for a single run and is not a substitute for the action’s identity.</w:t>
      </w:r>
    </w:p>
    <w:p>
      <w:pPr>
        <w:pStyle w:val="ListParagraph"/>
        <w:numPr>
          <w:ilvl w:val="0"/>
          <w:numId w:val="1"/>
        </w:numPr>
        <w:spacing w:after="70" w:line="268"/>
      </w:pPr>
      <w:r>
        <w:rPr>
          <w:rFonts w:ascii="Calibri" w:cs="Calibri" w:eastAsia="Calibri" w:hAnsi="Calibri"/>
          <w:b/>
          <w:bCs/>
          <w:i w:val="false"/>
          <w:iCs w:val="false"/>
          <w:caps w:val="false"/>
          <w:color w:val="14294A"/>
          <w:sz w:val="21"/>
          <w:szCs w:val="21"/>
        </w:rPr>
        <w:t xml:space="preserve">One case_id can contain multiple proposals, evaluations, and CERs. </w:t>
      </w:r>
      <w:r>
        <w:rPr>
          <w:rFonts w:ascii="Calibri" w:cs="Calibri" w:eastAsia="Calibri" w:hAnsi="Calibri"/>
          <w:b w:val="false"/>
          <w:bCs w:val="false"/>
          <w:i w:val="false"/>
          <w:iCs w:val="false"/>
          <w:caps w:val="false"/>
          <w:color w:val="1A2330"/>
          <w:sz w:val="21"/>
          <w:szCs w:val="21"/>
        </w:rPr>
        <w:t xml:space="preserve">The hierarchy is case → proposals → evaluations / CERs.</w:t>
      </w:r>
    </w:p>
    <w:p>
      <w:pPr>
        <w:pStyle w:val="ListParagraph"/>
        <w:numPr>
          <w:ilvl w:val="0"/>
          <w:numId w:val="1"/>
        </w:numPr>
        <w:spacing w:after="70" w:line="268"/>
      </w:pPr>
      <w:r>
        <w:rPr>
          <w:rFonts w:ascii="Calibri" w:cs="Calibri" w:eastAsia="Calibri" w:hAnsi="Calibri"/>
          <w:b/>
          <w:bCs/>
          <w:i w:val="false"/>
          <w:iCs w:val="false"/>
          <w:caps w:val="false"/>
          <w:color w:val="14294A"/>
          <w:sz w:val="21"/>
          <w:szCs w:val="21"/>
        </w:rPr>
        <w:t xml:space="preserve">Retries must not create duplicate execution. </w:t>
      </w:r>
      <w:r>
        <w:rPr>
          <w:rFonts w:ascii="Calibri" w:cs="Calibri" w:eastAsia="Calibri" w:hAnsi="Calibri"/>
          <w:b w:val="false"/>
          <w:bCs w:val="false"/>
          <w:i w:val="false"/>
          <w:iCs w:val="false"/>
          <w:caps w:val="false"/>
          <w:color w:val="1A2330"/>
          <w:sz w:val="21"/>
          <w:szCs w:val="21"/>
        </w:rPr>
        <w:t xml:space="preserve">Execution is keyed by cer_id and execution_id with idempotency, so a retried flow re-authorizes but does not double-execute.</w:t>
      </w:r>
    </w:p>
    <w:p>
      <w:r>
        <w:br w:type="page"/>
      </w:r>
    </w:p>
    <w:p>
      <w:pPr>
        <w:pBdr>
          <w:bottom w:val="single" w:color="3E6FA5" w:sz="12" w:space="4"/>
        </w:pBdr>
        <w:spacing w:after="60" w:before="320"/>
      </w:pPr>
      <w:r>
        <w:rPr>
          <w:rFonts w:ascii="Calibri" w:cs="Calibri" w:eastAsia="Calibri" w:hAnsi="Calibri"/>
          <w:b/>
          <w:bCs/>
          <w:i w:val="false"/>
          <w:iCs w:val="false"/>
          <w:caps w:val="false"/>
          <w:color w:val="14294A"/>
          <w:sz w:val="30"/>
          <w:szCs w:val="30"/>
        </w:rPr>
        <w:t xml:space="preserve">7 · Fail-closed governance semantics</w:t>
      </w:r>
    </w:p>
    <w:tbl>
      <w:tblPr>
        <w:tblW w:type="dxa" w:w="10080"/>
        <w:tblBorders>
          <w:top w:val="single" w:color="F7ECEC" w:sz="2"/>
          <w:left w:val="single" w:color="9A3B3B" w:sz="28"/>
          <w:bottom w:val="single" w:color="F7ECEC" w:sz="2"/>
          <w:right w:val="single" w:color="F7ECEC" w:sz="2"/>
          <w:insideH w:val="none"/>
          <w:insideV w:val="none"/>
        </w:tblBorders>
      </w:tblPr>
      <w:tblGrid>
        <w:gridCol w:w="10080"/>
      </w:tblGrid>
      <w:tr>
        <w:tc>
          <w:tcPr>
            <w:tcW w:type="dxa" w:w="10080"/>
            <w:shd w:fill="F7ECEC" w:color="auto" w:val="clear"/>
            <w:tcMar>
              <w:top w:type="dxa" w:w="120"/>
              <w:left w:type="dxa" w:w="200"/>
              <w:bottom w:type="dxa" w:w="120"/>
              <w:right w:type="dxa" w:w="160"/>
            </w:tcMar>
          </w:tcPr>
          <w:p>
            <w:pPr>
              <w:spacing w:after="0" w:line="276"/>
            </w:pPr>
            <w:r>
              <w:rPr>
                <w:rFonts w:ascii="Calibri" w:cs="Calibri" w:eastAsia="Calibri" w:hAnsi="Calibri"/>
                <w:b/>
                <w:bCs/>
                <w:i w:val="false"/>
                <w:iCs w:val="false"/>
                <w:caps w:val="false"/>
                <w:color w:val="14294A"/>
                <w:sz w:val="24"/>
                <w:szCs w:val="24"/>
              </w:rPr>
              <w:t xml:space="preserve">A missing required control can never be interpreted as approval.</w:t>
            </w:r>
          </w:p>
        </w:tc>
      </w:tr>
    </w:tbl>
    <w:p>
      <w:pPr>
        <w:spacing w:after="60" w:before="220"/>
      </w:pPr>
      <w:r>
        <w:rPr>
          <w:rFonts w:ascii="Calibri" w:cs="Calibri" w:eastAsia="Calibri" w:hAnsi="Calibri"/>
          <w:b/>
          <w:bCs/>
          <w:i w:val="false"/>
          <w:iCs w:val="false"/>
          <w:caps w:val="false"/>
          <w:color w:val="1F3A5F"/>
          <w:sz w:val="24"/>
          <w:szCs w:val="24"/>
        </w:rPr>
        <w:t xml:space="preserve">Required controls</w:t>
      </w:r>
    </w:p>
    <w:p>
      <w:pPr>
        <w:spacing w:after="120" w:before="0" w:line="276"/>
      </w:pPr>
      <w:r>
        <w:rPr>
          <w:rFonts w:ascii="Calibri" w:cs="Calibri" w:eastAsia="Calibri" w:hAnsi="Calibri"/>
          <w:b w:val="false"/>
          <w:bCs w:val="false"/>
          <w:i w:val="false"/>
          <w:iCs w:val="false"/>
          <w:caps w:val="false"/>
          <w:color w:val="1A2330"/>
          <w:sz w:val="21"/>
          <w:szCs w:val="21"/>
        </w:rPr>
        <w:t xml:space="preserve">Truth Assurance (where assertion support is mandatory), Decision Governance (where binding authority is required), ActionGate, and the Autonomous Control Plane are required controls for their configured workflows.</w:t>
      </w:r>
    </w:p>
    <w:tbl>
      <w:tblPr>
        <w:tblW w:type="dxa" w:w="10080"/>
        <w:tblBorders>
          <w:top w:val="single" w:color="EAF0F7" w:sz="2"/>
          <w:left w:val="single" w:color="3E6FA5" w:sz="28"/>
          <w:bottom w:val="single" w:color="EAF0F7" w:sz="2"/>
          <w:right w:val="single" w:color="EAF0F7" w:sz="2"/>
          <w:insideH w:val="none"/>
          <w:insideV w:val="none"/>
        </w:tblBorders>
      </w:tblPr>
      <w:tblGrid>
        <w:gridCol w:w="10080"/>
      </w:tblGrid>
      <w:tr>
        <w:tc>
          <w:tcPr>
            <w:tcW w:type="dxa" w:w="10080"/>
            <w:shd w:fill="EAF0F7" w:color="auto" w:val="clear"/>
            <w:tcMar>
              <w:top w:type="dxa" w:w="120"/>
              <w:left w:type="dxa" w:w="200"/>
              <w:bottom w:type="dxa" w:w="120"/>
              <w:right w:type="dxa" w:w="160"/>
            </w:tcMar>
          </w:tcPr>
          <w:p>
            <w:pPr>
              <w:spacing w:after="0" w:line="276"/>
            </w:pPr>
            <w:r>
              <w:rPr>
                <w:rFonts w:ascii="Calibri" w:cs="Calibri" w:eastAsia="Calibri" w:hAnsi="Calibri"/>
                <w:b w:val="false"/>
                <w:bCs w:val="false"/>
                <w:i/>
                <w:iCs/>
                <w:caps w:val="false"/>
                <w:color w:val="1F3A5F"/>
                <w:sz w:val="21"/>
                <w:szCs w:val="21"/>
              </w:rPr>
              <w:t xml:space="preserve">If a required control is unavailable or returns indeterminate, the workflow may not return ALLOW. It must return HOLD, ESCALATE, INDETERMINATE, or BLOCK according to configured policy.</w:t>
            </w:r>
          </w:p>
        </w:tc>
      </w:tr>
    </w:tbl>
    <w:p>
      <w:pPr>
        <w:spacing w:after="60" w:before="220"/>
      </w:pPr>
      <w:r>
        <w:rPr>
          <w:rFonts w:ascii="Calibri" w:cs="Calibri" w:eastAsia="Calibri" w:hAnsi="Calibri"/>
          <w:b/>
          <w:bCs/>
          <w:i w:val="false"/>
          <w:iCs w:val="false"/>
          <w:caps w:val="false"/>
          <w:color w:val="1F3A5F"/>
          <w:sz w:val="24"/>
          <w:szCs w:val="24"/>
        </w:rPr>
        <w:t xml:space="preserve">Optional accelerators</w:t>
      </w:r>
    </w:p>
    <w:p>
      <w:pPr>
        <w:spacing w:after="120" w:before="0" w:line="276"/>
      </w:pPr>
      <w:r>
        <w:rPr>
          <w:rFonts w:ascii="Calibri" w:cs="Calibri" w:eastAsia="Calibri" w:hAnsi="Calibri"/>
          <w:b w:val="false"/>
          <w:bCs w:val="false"/>
          <w:i w:val="false"/>
          <w:iCs w:val="false"/>
          <w:caps w:val="false"/>
          <w:color w:val="1A2330"/>
          <w:sz w:val="21"/>
          <w:szCs w:val="21"/>
        </w:rPr>
        <w:t xml:space="preserve">Context Minimization and Governed Model Selection are optional accelerators.</w:t>
      </w:r>
    </w:p>
    <w:tbl>
      <w:tblPr>
        <w:tblW w:type="dxa" w:w="10080"/>
        <w:tblBorders>
          <w:top w:val="single" w:color="EAF0F7" w:sz="2"/>
          <w:left w:val="single" w:color="3E6FA5" w:sz="28"/>
          <w:bottom w:val="single" w:color="EAF0F7" w:sz="2"/>
          <w:right w:val="single" w:color="EAF0F7" w:sz="2"/>
          <w:insideH w:val="none"/>
          <w:insideV w:val="none"/>
        </w:tblBorders>
      </w:tblPr>
      <w:tblGrid>
        <w:gridCol w:w="10080"/>
      </w:tblGrid>
      <w:tr>
        <w:tc>
          <w:tcPr>
            <w:tcW w:type="dxa" w:w="10080"/>
            <w:shd w:fill="EAF0F7" w:color="auto" w:val="clear"/>
            <w:tcMar>
              <w:top w:type="dxa" w:w="120"/>
              <w:left w:type="dxa" w:w="200"/>
              <w:bottom w:type="dxa" w:w="120"/>
              <w:right w:type="dxa" w:w="160"/>
            </w:tcMar>
          </w:tcPr>
          <w:p>
            <w:pPr>
              <w:spacing w:after="0" w:line="276"/>
            </w:pPr>
            <w:r>
              <w:rPr>
                <w:rFonts w:ascii="Calibri" w:cs="Calibri" w:eastAsia="Calibri" w:hAnsi="Calibri"/>
                <w:b w:val="false"/>
                <w:bCs w:val="false"/>
                <w:i/>
                <w:iCs/>
                <w:caps w:val="false"/>
                <w:color w:val="1F3A5F"/>
                <w:sz w:val="21"/>
                <w:szCs w:val="21"/>
              </w:rPr>
              <w:t xml:space="preserve">If an optional accelerator is unavailable, the platform may continue through the unaccelerated path while recording degraded operation.</w:t>
            </w:r>
          </w:p>
        </w:tc>
      </w:tr>
    </w:tbl>
    <w:p>
      <w:pPr>
        <w:spacing w:after="120" w:before="100" w:line="276"/>
      </w:pPr>
      <w:r>
        <w:rPr>
          <w:rFonts w:ascii="Calibri" w:cs="Calibri" w:eastAsia="Calibri" w:hAnsi="Calibri"/>
          <w:b w:val="false"/>
          <w:bCs w:val="false"/>
          <w:i w:val="false"/>
          <w:iCs w:val="false"/>
          <w:caps w:val="false"/>
          <w:color w:val="1A2330"/>
          <w:sz w:val="21"/>
          <w:szCs w:val="21"/>
        </w:rPr>
        <w:t xml:space="preserve">The proposing agent and its runtime are treated as untrusted with respect to authorization and policy modification. Governance is external by construction: the loop that produced a proposal never approves it.</w:t>
      </w:r>
    </w:p>
    <w:p>
      <w:pPr>
        <w:pBdr>
          <w:bottom w:val="single" w:color="3E6FA5" w:sz="12" w:space="4"/>
        </w:pBdr>
        <w:spacing w:after="60" w:before="320"/>
      </w:pPr>
      <w:r>
        <w:rPr>
          <w:rFonts w:ascii="Calibri" w:cs="Calibri" w:eastAsia="Calibri" w:hAnsi="Calibri"/>
          <w:b/>
          <w:bCs/>
          <w:i w:val="false"/>
          <w:iCs w:val="false"/>
          <w:caps w:val="false"/>
          <w:color w:val="14294A"/>
          <w:sz w:val="30"/>
          <w:szCs w:val="30"/>
        </w:rPr>
        <w:t xml:space="preserve">8 · The enterprise console</w:t>
      </w:r>
    </w:p>
    <w:p>
      <w:pPr>
        <w:spacing w:after="120" w:before="0" w:line="276"/>
      </w:pPr>
      <w:r>
        <w:rPr>
          <w:rFonts w:ascii="Calibri" w:cs="Calibri" w:eastAsia="Calibri" w:hAnsi="Calibri"/>
          <w:b w:val="false"/>
          <w:bCs w:val="false"/>
          <w:i w:val="false"/>
          <w:iCs w:val="false"/>
          <w:caps w:val="false"/>
          <w:color w:val="1A2330"/>
          <w:sz w:val="21"/>
          <w:szCs w:val="21"/>
        </w:rPr>
        <w:t xml:space="preserve">The console is redesigned around enterprise workflows, not engineering internals.</w:t>
      </w:r>
    </w:p>
    <w:p>
      <w:pPr>
        <w:spacing w:after="60" w:before="220"/>
      </w:pPr>
      <w:r>
        <w:rPr>
          <w:rFonts w:ascii="Calibri" w:cs="Calibri" w:eastAsia="Calibri" w:hAnsi="Calibri"/>
          <w:b/>
          <w:bCs/>
          <w:i w:val="false"/>
          <w:iCs w:val="false"/>
          <w:caps w:val="false"/>
          <w:color w:val="1F3A5F"/>
          <w:sz w:val="24"/>
          <w:szCs w:val="24"/>
        </w:rPr>
        <w:t xml:space="preserve">Primary navigation (customer-facing)</w:t>
      </w:r>
    </w:p>
    <w:p>
      <w:pPr>
        <w:pStyle w:val="ListParagraph"/>
        <w:numPr>
          <w:ilvl w:val="0"/>
          <w:numId w:val="1"/>
        </w:numPr>
        <w:spacing w:after="70" w:line="268"/>
      </w:pPr>
      <w:r>
        <w:rPr>
          <w:rFonts w:ascii="Calibri" w:cs="Calibri" w:eastAsia="Calibri" w:hAnsi="Calibri"/>
          <w:b/>
          <w:bCs/>
          <w:i w:val="false"/>
          <w:iCs w:val="false"/>
          <w:caps w:val="false"/>
          <w:color w:val="14294A"/>
          <w:sz w:val="21"/>
          <w:szCs w:val="21"/>
        </w:rPr>
        <w:t xml:space="preserve">1. Overview — </w:t>
      </w:r>
      <w:r>
        <w:rPr>
          <w:rFonts w:ascii="Calibri" w:cs="Calibri" w:eastAsia="Calibri" w:hAnsi="Calibri"/>
          <w:b w:val="false"/>
          <w:bCs w:val="false"/>
          <w:i w:val="false"/>
          <w:iCs w:val="false"/>
          <w:caps w:val="false"/>
          <w:color w:val="1A2330"/>
          <w:sz w:val="21"/>
          <w:szCs w:val="21"/>
        </w:rPr>
        <w:t xml:space="preserve">Tenant posture, active workflows, recent decisions</w:t>
      </w:r>
    </w:p>
    <w:p>
      <w:pPr>
        <w:pStyle w:val="ListParagraph"/>
        <w:numPr>
          <w:ilvl w:val="0"/>
          <w:numId w:val="1"/>
        </w:numPr>
        <w:spacing w:after="70" w:line="268"/>
      </w:pPr>
      <w:r>
        <w:rPr>
          <w:rFonts w:ascii="Calibri" w:cs="Calibri" w:eastAsia="Calibri" w:hAnsi="Calibri"/>
          <w:b/>
          <w:bCs/>
          <w:i w:val="false"/>
          <w:iCs w:val="false"/>
          <w:caps w:val="false"/>
          <w:color w:val="14294A"/>
          <w:sz w:val="21"/>
          <w:szCs w:val="21"/>
        </w:rPr>
        <w:t xml:space="preserve">2. Governed Actions — </w:t>
      </w:r>
      <w:r>
        <w:rPr>
          <w:rFonts w:ascii="Calibri" w:cs="Calibri" w:eastAsia="Calibri" w:hAnsi="Calibri"/>
          <w:b w:val="false"/>
          <w:bCs w:val="false"/>
          <w:i w:val="false"/>
          <w:iCs w:val="false"/>
          <w:caps w:val="false"/>
          <w:color w:val="1A2330"/>
          <w:sz w:val="21"/>
          <w:szCs w:val="21"/>
        </w:rPr>
        <w:t xml:space="preserve">Proposals, verdicts, and their decision chains</w:t>
      </w:r>
    </w:p>
    <w:p>
      <w:pPr>
        <w:pStyle w:val="ListParagraph"/>
        <w:numPr>
          <w:ilvl w:val="0"/>
          <w:numId w:val="1"/>
        </w:numPr>
        <w:spacing w:after="70" w:line="268"/>
      </w:pPr>
      <w:r>
        <w:rPr>
          <w:rFonts w:ascii="Calibri" w:cs="Calibri" w:eastAsia="Calibri" w:hAnsi="Calibri"/>
          <w:b/>
          <w:bCs/>
          <w:i w:val="false"/>
          <w:iCs w:val="false"/>
          <w:caps w:val="false"/>
          <w:color w:val="14294A"/>
          <w:sz w:val="21"/>
          <w:szCs w:val="21"/>
        </w:rPr>
        <w:t xml:space="preserve">3. Human Review Queue — </w:t>
      </w:r>
      <w:r>
        <w:rPr>
          <w:rFonts w:ascii="Calibri" w:cs="Calibri" w:eastAsia="Calibri" w:hAnsi="Calibri"/>
          <w:b w:val="false"/>
          <w:bCs w:val="false"/>
          <w:i w:val="false"/>
          <w:iCs w:val="false"/>
          <w:caps w:val="false"/>
          <w:color w:val="1A2330"/>
          <w:sz w:val="21"/>
          <w:szCs w:val="21"/>
        </w:rPr>
        <w:t xml:space="preserve">Escalations awaiting authorized reviewers</w:t>
      </w:r>
    </w:p>
    <w:p>
      <w:pPr>
        <w:pStyle w:val="ListParagraph"/>
        <w:numPr>
          <w:ilvl w:val="0"/>
          <w:numId w:val="1"/>
        </w:numPr>
        <w:spacing w:after="70" w:line="268"/>
      </w:pPr>
      <w:r>
        <w:rPr>
          <w:rFonts w:ascii="Calibri" w:cs="Calibri" w:eastAsia="Calibri" w:hAnsi="Calibri"/>
          <w:b/>
          <w:bCs/>
          <w:i w:val="false"/>
          <w:iCs w:val="false"/>
          <w:caps w:val="false"/>
          <w:color w:val="14294A"/>
          <w:sz w:val="21"/>
          <w:szCs w:val="21"/>
        </w:rPr>
        <w:t xml:space="preserve">4. Policies and Authority — </w:t>
      </w:r>
      <w:r>
        <w:rPr>
          <w:rFonts w:ascii="Calibri" w:cs="Calibri" w:eastAsia="Calibri" w:hAnsi="Calibri"/>
          <w:b w:val="false"/>
          <w:bCs w:val="false"/>
          <w:i w:val="false"/>
          <w:iCs w:val="false"/>
          <w:caps w:val="false"/>
          <w:color w:val="1A2330"/>
          <w:sz w:val="21"/>
          <w:szCs w:val="21"/>
        </w:rPr>
        <w:t xml:space="preserve">Policy versions and who may decide</w:t>
      </w:r>
    </w:p>
    <w:p>
      <w:pPr>
        <w:pStyle w:val="ListParagraph"/>
        <w:numPr>
          <w:ilvl w:val="0"/>
          <w:numId w:val="1"/>
        </w:numPr>
        <w:spacing w:after="70" w:line="268"/>
      </w:pPr>
      <w:r>
        <w:rPr>
          <w:rFonts w:ascii="Calibri" w:cs="Calibri" w:eastAsia="Calibri" w:hAnsi="Calibri"/>
          <w:b/>
          <w:bCs/>
          <w:i w:val="false"/>
          <w:iCs w:val="false"/>
          <w:caps w:val="false"/>
          <w:color w:val="14294A"/>
          <w:sz w:val="21"/>
          <w:szCs w:val="21"/>
        </w:rPr>
        <w:t xml:space="preserve">5. Audit and Reconstruction — </w:t>
      </w:r>
      <w:r>
        <w:rPr>
          <w:rFonts w:ascii="Calibri" w:cs="Calibri" w:eastAsia="Calibri" w:hAnsi="Calibri"/>
          <w:b w:val="false"/>
          <w:bCs w:val="false"/>
          <w:i w:val="false"/>
          <w:iCs w:val="false"/>
          <w:caps w:val="false"/>
          <w:color w:val="1A2330"/>
          <w:sz w:val="21"/>
          <w:szCs w:val="21"/>
        </w:rPr>
        <w:t xml:space="preserve">Replay a complete decision chain</w:t>
      </w:r>
    </w:p>
    <w:p>
      <w:pPr>
        <w:pStyle w:val="ListParagraph"/>
        <w:numPr>
          <w:ilvl w:val="0"/>
          <w:numId w:val="1"/>
        </w:numPr>
        <w:spacing w:after="70" w:line="268"/>
      </w:pPr>
      <w:r>
        <w:rPr>
          <w:rFonts w:ascii="Calibri" w:cs="Calibri" w:eastAsia="Calibri" w:hAnsi="Calibri"/>
          <w:b/>
          <w:bCs/>
          <w:i w:val="false"/>
          <w:iCs w:val="false"/>
          <w:caps w:val="false"/>
          <w:color w:val="14294A"/>
          <w:sz w:val="21"/>
          <w:szCs w:val="21"/>
        </w:rPr>
        <w:t xml:space="preserve">6. Integrations — </w:t>
      </w:r>
      <w:r>
        <w:rPr>
          <w:rFonts w:ascii="Calibri" w:cs="Calibri" w:eastAsia="Calibri" w:hAnsi="Calibri"/>
          <w:b w:val="false"/>
          <w:bCs w:val="false"/>
          <w:i w:val="false"/>
          <w:iCs w:val="false"/>
          <w:caps w:val="false"/>
          <w:color w:val="1A2330"/>
          <w:sz w:val="21"/>
          <w:szCs w:val="21"/>
        </w:rPr>
        <w:t xml:space="preserve">Runtime, execution-target, and enterprise-service connectors</w:t>
      </w:r>
    </w:p>
    <w:p>
      <w:pPr>
        <w:pStyle w:val="ListParagraph"/>
        <w:numPr>
          <w:ilvl w:val="0"/>
          <w:numId w:val="1"/>
        </w:numPr>
        <w:spacing w:after="70" w:line="268"/>
      </w:pPr>
      <w:r>
        <w:rPr>
          <w:rFonts w:ascii="Calibri" w:cs="Calibri" w:eastAsia="Calibri" w:hAnsi="Calibri"/>
          <w:b/>
          <w:bCs/>
          <w:i w:val="false"/>
          <w:iCs w:val="false"/>
          <w:caps w:val="false"/>
          <w:color w:val="14294A"/>
          <w:sz w:val="21"/>
          <w:szCs w:val="21"/>
        </w:rPr>
        <w:t xml:space="preserve">7. Pilot Metrics — </w:t>
      </w:r>
      <w:r>
        <w:rPr>
          <w:rFonts w:ascii="Calibri" w:cs="Calibri" w:eastAsia="Calibri" w:hAnsi="Calibri"/>
          <w:b w:val="false"/>
          <w:bCs w:val="false"/>
          <w:i w:val="false"/>
          <w:iCs w:val="false"/>
          <w:caps w:val="false"/>
          <w:color w:val="1A2330"/>
          <w:sz w:val="21"/>
          <w:szCs w:val="21"/>
        </w:rPr>
        <w:t xml:space="preserve">The measurable pilot outcomes</w:t>
      </w:r>
    </w:p>
    <w:p>
      <w:pPr>
        <w:pStyle w:val="ListParagraph"/>
        <w:numPr>
          <w:ilvl w:val="0"/>
          <w:numId w:val="1"/>
        </w:numPr>
        <w:spacing w:after="70" w:line="268"/>
      </w:pPr>
      <w:r>
        <w:rPr>
          <w:rFonts w:ascii="Calibri" w:cs="Calibri" w:eastAsia="Calibri" w:hAnsi="Calibri"/>
          <w:b/>
          <w:bCs/>
          <w:i w:val="false"/>
          <w:iCs w:val="false"/>
          <w:caps w:val="false"/>
          <w:color w:val="14294A"/>
          <w:sz w:val="21"/>
          <w:szCs w:val="21"/>
        </w:rPr>
        <w:t xml:space="preserve">8. Administration — </w:t>
      </w:r>
      <w:r>
        <w:rPr>
          <w:rFonts w:ascii="Calibri" w:cs="Calibri" w:eastAsia="Calibri" w:hAnsi="Calibri"/>
          <w:b w:val="false"/>
          <w:bCs w:val="false"/>
          <w:i w:val="false"/>
          <w:iCs w:val="false"/>
          <w:caps w:val="false"/>
          <w:color w:val="1A2330"/>
          <w:sz w:val="21"/>
          <w:szCs w:val="21"/>
        </w:rPr>
        <w:t xml:space="preserve">Tenants, identity, roles, and deployment configuration</w:t>
      </w:r>
    </w:p>
    <w:p>
      <w:pPr>
        <w:spacing w:after="120" w:before="80" w:line="276"/>
      </w:pPr>
      <w:r>
        <w:rPr>
          <w:rFonts w:ascii="Calibri" w:cs="Calibri" w:eastAsia="Calibri" w:hAnsi="Calibri"/>
          <w:b/>
          <w:bCs/>
          <w:i w:val="false"/>
          <w:iCs w:val="false"/>
          <w:caps w:val="false"/>
          <w:color w:val="14294A"/>
          <w:sz w:val="21"/>
          <w:szCs w:val="21"/>
        </w:rPr>
        <w:t xml:space="preserve">The Modules Registry </w:t>
      </w:r>
      <w:r>
        <w:rPr>
          <w:rFonts w:ascii="Calibri" w:cs="Calibri" w:eastAsia="Calibri" w:hAnsi="Calibri"/>
          <w:b w:val="false"/>
          <w:bCs w:val="false"/>
          <w:i w:val="false"/>
          <w:iCs w:val="false"/>
          <w:caps w:val="false"/>
          <w:color w:val="1A2330"/>
          <w:sz w:val="21"/>
          <w:szCs w:val="21"/>
        </w:rPr>
        <w:t xml:space="preserve">(the current engineering view) remains available as an administrator / technical-diagnostics surface, not a primary product surface.</w:t>
      </w:r>
    </w:p>
    <w:tbl>
      <w:tblPr>
        <w:tblW w:type="dxa" w:w="10080"/>
        <w:tblBorders>
          <w:top w:val="single" w:color="EAF0F7" w:sz="2"/>
          <w:left w:val="single" w:color="3E6FA5" w:sz="28"/>
          <w:bottom w:val="single" w:color="EAF0F7" w:sz="2"/>
          <w:right w:val="single" w:color="EAF0F7" w:sz="2"/>
          <w:insideH w:val="none"/>
          <w:insideV w:val="none"/>
        </w:tblBorders>
      </w:tblPr>
      <w:tblGrid>
        <w:gridCol w:w="10080"/>
      </w:tblGrid>
      <w:tr>
        <w:tc>
          <w:tcPr>
            <w:tcW w:type="dxa" w:w="10080"/>
            <w:shd w:fill="EAF0F7" w:color="auto" w:val="clear"/>
            <w:tcMar>
              <w:top w:type="dxa" w:w="120"/>
              <w:left w:type="dxa" w:w="200"/>
              <w:bottom w:type="dxa" w:w="120"/>
              <w:right w:type="dxa" w:w="160"/>
            </w:tcMar>
          </w:tcPr>
          <w:p>
            <w:pPr>
              <w:spacing w:after="0" w:line="276"/>
            </w:pPr>
            <w:r>
              <w:rPr>
                <w:rFonts w:ascii="Calibri" w:cs="Calibri" w:eastAsia="Calibri" w:hAnsi="Calibri"/>
                <w:b w:val="false"/>
                <w:bCs w:val="false"/>
                <w:i/>
                <w:iCs/>
                <w:caps w:val="false"/>
                <w:color w:val="1F3A5F"/>
                <w:sz w:val="21"/>
                <w:szCs w:val="21"/>
              </w:rPr>
              <w:t xml:space="preserve">Deployment mode is not a casual global switch. Shadow, recommendation, and enforcement are configured per tenant, workflow, environment, action type, and policy/control. A mode change requires authorization, a reason, a timestamp, the policy version, and an immutable audit event.</w:t>
            </w:r>
          </w:p>
        </w:tc>
      </w:tr>
    </w:tbl>
    <w:p>
      <w:r>
        <w:br w:type="page"/>
      </w:r>
    </w:p>
    <w:p>
      <w:pPr>
        <w:pBdr>
          <w:bottom w:val="single" w:color="3E6FA5" w:sz="12" w:space="4"/>
        </w:pBdr>
        <w:spacing w:after="60" w:before="320"/>
      </w:pPr>
      <w:r>
        <w:rPr>
          <w:rFonts w:ascii="Calibri" w:cs="Calibri" w:eastAsia="Calibri" w:hAnsi="Calibri"/>
          <w:b/>
          <w:bCs/>
          <w:i w:val="false"/>
          <w:iCs w:val="false"/>
          <w:caps w:val="false"/>
          <w:color w:val="14294A"/>
          <w:sz w:val="30"/>
          <w:szCs w:val="30"/>
        </w:rPr>
        <w:t xml:space="preserve">9 · Productization roadmap</w:t>
      </w:r>
    </w:p>
    <w:p>
      <w:pPr>
        <w:spacing w:after="120" w:before="0" w:line="276"/>
      </w:pPr>
      <w:r>
        <w:rPr>
          <w:rFonts w:ascii="Calibri" w:cs="Calibri" w:eastAsia="Calibri" w:hAnsi="Calibri"/>
          <w:b w:val="false"/>
          <w:bCs w:val="false"/>
          <w:i w:val="false"/>
          <w:iCs w:val="false"/>
          <w:caps w:val="false"/>
          <w:color w:val="1A2330"/>
          <w:sz w:val="21"/>
          <w:szCs w:val="21"/>
        </w:rPr>
        <w:t xml:space="preserve">Pilot-critical capabilities are pulled forward. Research and infrastructure modules (Hybrid LLM, Steering, BCVF, KVPro, CTM+/PCAM, Cloud Scaling, PSE) are outside this roadmap.</w:t>
      </w:r>
    </w:p>
    <w:tbl>
      <w:tblPr>
        <w:tblW w:type="dxa" w:w="10080"/>
        <w:tblBorders>
          <w:top w:val="single" w:color="C7D3E2" w:sz="4"/>
          <w:left w:val="single" w:color="C7D3E2" w:sz="4"/>
          <w:bottom w:val="single" w:color="C7D3E2" w:sz="4"/>
          <w:right w:val="single" w:color="C7D3E2" w:sz="4"/>
          <w:insideH w:val="single" w:color="C7D3E2" w:sz="2"/>
          <w:insideV w:val="single" w:color="C7D3E2" w:sz="2"/>
        </w:tblBorders>
      </w:tblPr>
      <w:tblGrid>
        <w:gridCol w:w="1180"/>
        <w:gridCol w:w="6900"/>
        <w:gridCol w:w="2000"/>
      </w:tblGrid>
      <w:tr>
        <w:trPr>
          <w:tblHeader/>
        </w:trPr>
        <w:tc>
          <w:tcPr>
            <w:tcW w:type="dxa" w:w="118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Phase</w:t>
            </w:r>
          </w:p>
        </w:tc>
        <w:tc>
          <w:tcPr>
            <w:tcW w:type="dxa" w:w="690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Commercial deliverable</w:t>
            </w:r>
          </w:p>
        </w:tc>
        <w:tc>
          <w:tcPr>
            <w:tcW w:type="dxa" w:w="200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Status</w:t>
            </w:r>
          </w:p>
        </w:tc>
      </w:tr>
      <w:tr>
        <w:tc>
          <w:tcPr>
            <w:tcW w:type="dxa" w:w="1180"/>
            <w:shd w:fill="FFFFF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14294A"/>
                <w:sz w:val="21"/>
                <w:szCs w:val="21"/>
              </w:rPr>
              <w:t xml:space="preserve">Phase 0</w:t>
            </w:r>
          </w:p>
        </w:tc>
        <w:tc>
          <w:tcPr>
            <w:tcW w:type="dxa" w:w="69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Separate console and dedicated API foundation</w:t>
            </w:r>
          </w:p>
        </w:tc>
        <w:tc>
          <w:tcPr>
            <w:tcW w:type="dxa" w:w="2000"/>
            <w:shd w:fill="FFFFFF" w:color="auto" w:val="clear"/>
            <w:tcMar>
              <w:top w:type="dxa" w:w="60"/>
              <w:left w:type="dxa" w:w="110"/>
              <w:bottom w:type="dxa" w:w="60"/>
              <w:right w:type="dxa" w:w="110"/>
            </w:tcMar>
            <w:vAlign w:val="center"/>
          </w:tcPr>
          <w:p>
            <w:pPr>
              <w:spacing w:after="0" w:line="260"/>
            </w:pPr>
            <w:r>
              <w:rPr>
                <w:rFonts w:ascii="Calibri" w:cs="Calibri" w:eastAsia="Calibri" w:hAnsi="Calibri"/>
                <w:b/>
                <w:bCs/>
                <w:color w:val="FFFFFF"/>
                <w:sz w:val="16"/>
                <w:szCs w:val="16"/>
                <w:shd w:fill="1E7A46" w:color="auto" w:val="clear"/>
              </w:rPr>
              <w:t xml:space="preserve">  BUILT  </w:t>
            </w:r>
          </w:p>
        </w:tc>
      </w:tr>
      <w:tr>
        <w:tc>
          <w:tcPr>
            <w:tcW w:type="dxa" w:w="1180"/>
            <w:shd w:fill="F5F8FC"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14294A"/>
                <w:sz w:val="21"/>
                <w:szCs w:val="21"/>
              </w:rPr>
              <w:t xml:space="preserve">Phase 1</w:t>
            </w:r>
          </w:p>
        </w:tc>
        <w:tc>
          <w:tcPr>
            <w:tcW w:type="dxa" w:w="69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Action-control vertical slice — TAP, ActionGate, ACP, CER trace, Kubernetes scenarios</w:t>
            </w:r>
          </w:p>
        </w:tc>
        <w:tc>
          <w:tcPr>
            <w:tcW w:type="dxa" w:w="2000"/>
            <w:shd w:fill="F5F8FC" w:color="auto" w:val="clear"/>
            <w:tcMar>
              <w:top w:type="dxa" w:w="60"/>
              <w:left w:type="dxa" w:w="110"/>
              <w:bottom w:type="dxa" w:w="60"/>
              <w:right w:type="dxa" w:w="110"/>
            </w:tcMar>
            <w:vAlign w:val="center"/>
          </w:tcPr>
          <w:p>
            <w:pPr>
              <w:spacing w:after="0" w:line="260"/>
            </w:pPr>
            <w:r>
              <w:rPr>
                <w:rFonts w:ascii="Calibri" w:cs="Calibri" w:eastAsia="Calibri" w:hAnsi="Calibri"/>
                <w:b/>
                <w:bCs/>
                <w:color w:val="FFFFFF"/>
                <w:sz w:val="16"/>
                <w:szCs w:val="16"/>
                <w:shd w:fill="1E7A46" w:color="auto" w:val="clear"/>
              </w:rPr>
              <w:t xml:space="preserve">  BUILT  </w:t>
            </w:r>
          </w:p>
        </w:tc>
      </w:tr>
      <w:tr>
        <w:tc>
          <w:tcPr>
            <w:tcW w:type="dxa" w:w="1180"/>
            <w:shd w:fill="FFFFF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14294A"/>
                <w:sz w:val="21"/>
                <w:szCs w:val="21"/>
              </w:rPr>
              <w:t xml:space="preserve">Phase 2</w:t>
            </w:r>
          </w:p>
        </w:tc>
        <w:tc>
          <w:tcPr>
            <w:tcW w:type="dxa" w:w="69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Product kernel — tenant identity, workflow config, Decision Governance, policy versions, human review, durable audit</w:t>
            </w:r>
          </w:p>
        </w:tc>
        <w:tc>
          <w:tcPr>
            <w:tcW w:type="dxa" w:w="2000"/>
            <w:shd w:fill="FFFFFF" w:color="auto" w:val="clear"/>
            <w:tcMar>
              <w:top w:type="dxa" w:w="60"/>
              <w:left w:type="dxa" w:w="110"/>
              <w:bottom w:type="dxa" w:w="60"/>
              <w:right w:type="dxa" w:w="110"/>
            </w:tcMar>
            <w:vAlign w:val="center"/>
          </w:tcPr>
          <w:p>
            <w:pPr>
              <w:spacing w:after="0" w:line="260"/>
            </w:pPr>
            <w:r>
              <w:rPr>
                <w:rFonts w:ascii="Calibri" w:cs="Calibri" w:eastAsia="Calibri" w:hAnsi="Calibri"/>
                <w:b/>
                <w:bCs/>
                <w:color w:val="FFFFFF"/>
                <w:sz w:val="16"/>
                <w:szCs w:val="16"/>
                <w:shd w:fill="5A6B7B" w:color="auto" w:val="clear"/>
              </w:rPr>
              <w:t xml:space="preserve">  PLANNED  </w:t>
            </w:r>
          </w:p>
        </w:tc>
      </w:tr>
      <w:tr>
        <w:tc>
          <w:tcPr>
            <w:tcW w:type="dxa" w:w="1180"/>
            <w:shd w:fill="F5F8FC"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14294A"/>
                <w:sz w:val="21"/>
                <w:szCs w:val="21"/>
              </w:rPr>
              <w:t xml:space="preserve">Phase 3</w:t>
            </w:r>
          </w:p>
        </w:tc>
        <w:tc>
          <w:tcPr>
            <w:tcW w:type="dxa" w:w="69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Pilot integration — two runtime connectors, Kubernetes execution connector, identity integration, review queue, pilot metrics</w:t>
            </w:r>
          </w:p>
        </w:tc>
        <w:tc>
          <w:tcPr>
            <w:tcW w:type="dxa" w:w="2000"/>
            <w:shd w:fill="F5F8FC" w:color="auto" w:val="clear"/>
            <w:tcMar>
              <w:top w:type="dxa" w:w="60"/>
              <w:left w:type="dxa" w:w="110"/>
              <w:bottom w:type="dxa" w:w="60"/>
              <w:right w:type="dxa" w:w="110"/>
            </w:tcMar>
            <w:vAlign w:val="center"/>
          </w:tcPr>
          <w:p>
            <w:pPr>
              <w:spacing w:after="0" w:line="260"/>
            </w:pPr>
            <w:r>
              <w:rPr>
                <w:rFonts w:ascii="Calibri" w:cs="Calibri" w:eastAsia="Calibri" w:hAnsi="Calibri"/>
                <w:b/>
                <w:bCs/>
                <w:color w:val="FFFFFF"/>
                <w:sz w:val="16"/>
                <w:szCs w:val="16"/>
                <w:shd w:fill="5A6B7B" w:color="auto" w:val="clear"/>
              </w:rPr>
              <w:t xml:space="preserve">  PLANNED  </w:t>
            </w:r>
          </w:p>
        </w:tc>
      </w:tr>
      <w:tr>
        <w:tc>
          <w:tcPr>
            <w:tcW w:type="dxa" w:w="1180"/>
            <w:shd w:fill="FFFFF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14294A"/>
                <w:sz w:val="21"/>
                <w:szCs w:val="21"/>
              </w:rPr>
              <w:t xml:space="preserve">Phase 4</w:t>
            </w:r>
          </w:p>
        </w:tc>
        <w:tc>
          <w:tcPr>
            <w:tcW w:type="dxa" w:w="69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Controlled enforcement — exact-action credentials, commit-time recheck, execution receipts, reconciliation, promotion controls</w:t>
            </w:r>
          </w:p>
        </w:tc>
        <w:tc>
          <w:tcPr>
            <w:tcW w:type="dxa" w:w="2000"/>
            <w:shd w:fill="FFFFFF" w:color="auto" w:val="clear"/>
            <w:tcMar>
              <w:top w:type="dxa" w:w="60"/>
              <w:left w:type="dxa" w:w="110"/>
              <w:bottom w:type="dxa" w:w="60"/>
              <w:right w:type="dxa" w:w="110"/>
            </w:tcMar>
            <w:vAlign w:val="center"/>
          </w:tcPr>
          <w:p>
            <w:pPr>
              <w:spacing w:after="0" w:line="260"/>
            </w:pPr>
            <w:r>
              <w:rPr>
                <w:rFonts w:ascii="Calibri" w:cs="Calibri" w:eastAsia="Calibri" w:hAnsi="Calibri"/>
                <w:b/>
                <w:bCs/>
                <w:color w:val="FFFFFF"/>
                <w:sz w:val="16"/>
                <w:szCs w:val="16"/>
                <w:shd w:fill="5A6B7B" w:color="auto" w:val="clear"/>
              </w:rPr>
              <w:t xml:space="preserve">  PLANNED  </w:t>
            </w:r>
          </w:p>
        </w:tc>
      </w:tr>
      <w:tr>
        <w:tc>
          <w:tcPr>
            <w:tcW w:type="dxa" w:w="1180"/>
            <w:shd w:fill="F5F8FC"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14294A"/>
                <w:sz w:val="21"/>
                <w:szCs w:val="21"/>
              </w:rPr>
              <w:t xml:space="preserve">Phase 5</w:t>
            </w:r>
          </w:p>
        </w:tc>
        <w:tc>
          <w:tcPr>
            <w:tcW w:type="dxa" w:w="69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Enterprise hardening — security testing, observability, deployment packaging, audit export, backup and recovery</w:t>
            </w:r>
          </w:p>
        </w:tc>
        <w:tc>
          <w:tcPr>
            <w:tcW w:type="dxa" w:w="2000"/>
            <w:shd w:fill="F5F8FC" w:color="auto" w:val="clear"/>
            <w:tcMar>
              <w:top w:type="dxa" w:w="60"/>
              <w:left w:type="dxa" w:w="110"/>
              <w:bottom w:type="dxa" w:w="60"/>
              <w:right w:type="dxa" w:w="110"/>
            </w:tcMar>
            <w:vAlign w:val="center"/>
          </w:tcPr>
          <w:p>
            <w:pPr>
              <w:spacing w:after="0" w:line="260"/>
            </w:pPr>
            <w:r>
              <w:rPr>
                <w:rFonts w:ascii="Calibri" w:cs="Calibri" w:eastAsia="Calibri" w:hAnsi="Calibri"/>
                <w:b/>
                <w:bCs/>
                <w:color w:val="FFFFFF"/>
                <w:sz w:val="16"/>
                <w:szCs w:val="16"/>
                <w:shd w:fill="5A6B7B" w:color="auto" w:val="clear"/>
              </w:rPr>
              <w:t xml:space="preserve">  PLANNED  </w:t>
            </w:r>
          </w:p>
        </w:tc>
      </w:tr>
    </w:tbl>
    <w:p>
      <w:pPr>
        <w:pBdr>
          <w:bottom w:val="single" w:color="3E6FA5" w:sz="12" w:space="4"/>
        </w:pBdr>
        <w:spacing w:after="60" w:before="320"/>
      </w:pPr>
      <w:r>
        <w:rPr>
          <w:rFonts w:ascii="Calibri" w:cs="Calibri" w:eastAsia="Calibri" w:hAnsi="Calibri"/>
          <w:b/>
          <w:bCs/>
          <w:i w:val="false"/>
          <w:iCs w:val="false"/>
          <w:caps w:val="false"/>
          <w:color w:val="14294A"/>
          <w:sz w:val="30"/>
          <w:szCs w:val="30"/>
        </w:rPr>
        <w:t xml:space="preserve">10 · Enterprise-deployable v1 — a measurable boundary</w:t>
      </w:r>
    </w:p>
    <w:p>
      <w:pPr>
        <w:spacing w:after="120" w:before="0" w:line="276"/>
      </w:pPr>
      <w:r>
        <w:rPr>
          <w:rFonts w:ascii="Calibri" w:cs="Calibri" w:eastAsia="Calibri" w:hAnsi="Calibri"/>
          <w:b w:val="false"/>
          <w:bCs w:val="false"/>
          <w:i w:val="false"/>
          <w:iCs w:val="false"/>
          <w:caps w:val="false"/>
          <w:color w:val="1A2330"/>
          <w:sz w:val="21"/>
          <w:szCs w:val="21"/>
        </w:rPr>
        <w:t xml:space="preserve">v1 is complete when, for the Kubernetes infrastructure-agent wedge, all of the following hold:</w:t>
      </w:r>
    </w:p>
    <w:p>
      <w:pPr>
        <w:pStyle w:val="ListParagraph"/>
        <w:numPr>
          <w:ilvl w:val="0"/>
          <w:numId w:val="1"/>
        </w:numPr>
        <w:spacing w:after="70" w:line="268"/>
      </w:pPr>
      <w:r>
        <w:rPr>
          <w:rFonts w:ascii="Calibri" w:cs="Calibri" w:eastAsia="Calibri" w:hAnsi="Calibri"/>
          <w:b w:val="false"/>
          <w:bCs w:val="false"/>
          <w:i w:val="false"/>
          <w:iCs w:val="false"/>
          <w:caps w:val="false"/>
          <w:color w:val="1A2330"/>
          <w:sz w:val="21"/>
          <w:szCs w:val="21"/>
        </w:rPr>
        <w:t xml:space="preserve">Multi-tenant identity and isolation</w:t>
      </w:r>
    </w:p>
    <w:p>
      <w:pPr>
        <w:pStyle w:val="ListParagraph"/>
        <w:numPr>
          <w:ilvl w:val="0"/>
          <w:numId w:val="1"/>
        </w:numPr>
        <w:spacing w:after="70" w:line="268"/>
      </w:pPr>
      <w:r>
        <w:rPr>
          <w:rFonts w:ascii="Calibri" w:cs="Calibri" w:eastAsia="Calibri" w:hAnsi="Calibri"/>
          <w:b w:val="false"/>
          <w:bCs w:val="false"/>
          <w:i w:val="false"/>
          <w:iCs w:val="false"/>
          <w:caps w:val="false"/>
          <w:color w:val="1A2330"/>
          <w:sz w:val="21"/>
          <w:szCs w:val="21"/>
        </w:rPr>
        <w:t xml:space="preserve">OIDC or SAML integration</w:t>
      </w:r>
    </w:p>
    <w:p>
      <w:pPr>
        <w:pStyle w:val="ListParagraph"/>
        <w:numPr>
          <w:ilvl w:val="0"/>
          <w:numId w:val="1"/>
        </w:numPr>
        <w:spacing w:after="70" w:line="268"/>
      </w:pPr>
      <w:r>
        <w:rPr>
          <w:rFonts w:ascii="Calibri" w:cs="Calibri" w:eastAsia="Calibri" w:hAnsi="Calibri"/>
          <w:b w:val="false"/>
          <w:bCs w:val="false"/>
          <w:i w:val="false"/>
          <w:iCs w:val="false"/>
          <w:caps w:val="false"/>
          <w:color w:val="1A2330"/>
          <w:sz w:val="21"/>
          <w:szCs w:val="21"/>
        </w:rPr>
        <w:t xml:space="preserve">Durable, tamper-evident audit</w:t>
      </w:r>
    </w:p>
    <w:p>
      <w:pPr>
        <w:pStyle w:val="ListParagraph"/>
        <w:numPr>
          <w:ilvl w:val="0"/>
          <w:numId w:val="1"/>
        </w:numPr>
        <w:spacing w:after="70" w:line="268"/>
      </w:pPr>
      <w:r>
        <w:rPr>
          <w:rFonts w:ascii="Calibri" w:cs="Calibri" w:eastAsia="Calibri" w:hAnsi="Calibri"/>
          <w:b w:val="false"/>
          <w:bCs w:val="false"/>
          <w:i w:val="false"/>
          <w:iCs w:val="false"/>
          <w:caps w:val="false"/>
          <w:color w:val="1A2330"/>
          <w:sz w:val="21"/>
          <w:szCs w:val="21"/>
        </w:rPr>
        <w:t xml:space="preserve">Secure, versioned APIs</w:t>
      </w:r>
    </w:p>
    <w:p>
      <w:pPr>
        <w:pStyle w:val="ListParagraph"/>
        <w:numPr>
          <w:ilvl w:val="0"/>
          <w:numId w:val="1"/>
        </w:numPr>
        <w:spacing w:after="70" w:line="268"/>
      </w:pPr>
      <w:r>
        <w:rPr>
          <w:rFonts w:ascii="Calibri" w:cs="Calibri" w:eastAsia="Calibri" w:hAnsi="Calibri"/>
          <w:b w:val="false"/>
          <w:bCs w:val="false"/>
          <w:i w:val="false"/>
          <w:iCs w:val="false"/>
          <w:caps w:val="false"/>
          <w:color w:val="1A2330"/>
          <w:sz w:val="21"/>
          <w:szCs w:val="21"/>
        </w:rPr>
        <w:t xml:space="preserve">Two runtime connectors</w:t>
      </w:r>
    </w:p>
    <w:p>
      <w:pPr>
        <w:pStyle w:val="ListParagraph"/>
        <w:numPr>
          <w:ilvl w:val="0"/>
          <w:numId w:val="1"/>
        </w:numPr>
        <w:spacing w:after="70" w:line="268"/>
      </w:pPr>
      <w:r>
        <w:rPr>
          <w:rFonts w:ascii="Calibri" w:cs="Calibri" w:eastAsia="Calibri" w:hAnsi="Calibri"/>
          <w:b w:val="false"/>
          <w:bCs w:val="false"/>
          <w:i w:val="false"/>
          <w:iCs w:val="false"/>
          <w:caps w:val="false"/>
          <w:color w:val="1A2330"/>
          <w:sz w:val="21"/>
          <w:szCs w:val="21"/>
        </w:rPr>
        <w:t xml:space="preserve">One enterprise identity integration</w:t>
      </w:r>
    </w:p>
    <w:p>
      <w:pPr>
        <w:pStyle w:val="ListParagraph"/>
        <w:numPr>
          <w:ilvl w:val="0"/>
          <w:numId w:val="1"/>
        </w:numPr>
        <w:spacing w:after="70" w:line="268"/>
      </w:pPr>
      <w:r>
        <w:rPr>
          <w:rFonts w:ascii="Calibri" w:cs="Calibri" w:eastAsia="Calibri" w:hAnsi="Calibri"/>
          <w:b w:val="false"/>
          <w:bCs w:val="false"/>
          <w:i w:val="false"/>
          <w:iCs w:val="false"/>
          <w:caps w:val="false"/>
          <w:color w:val="1A2330"/>
          <w:sz w:val="21"/>
          <w:szCs w:val="21"/>
        </w:rPr>
        <w:t xml:space="preserve">One governed execution-target connector (initially Kubernetes)</w:t>
      </w:r>
    </w:p>
    <w:p>
      <w:pPr>
        <w:pStyle w:val="ListParagraph"/>
        <w:numPr>
          <w:ilvl w:val="0"/>
          <w:numId w:val="1"/>
        </w:numPr>
        <w:spacing w:after="70" w:line="268"/>
      </w:pPr>
      <w:r>
        <w:rPr>
          <w:rFonts w:ascii="Calibri" w:cs="Calibri" w:eastAsia="Calibri" w:hAnsi="Calibri"/>
          <w:b w:val="false"/>
          <w:bCs w:val="false"/>
          <w:i w:val="false"/>
          <w:iCs w:val="false"/>
          <w:caps w:val="false"/>
          <w:color w:val="1A2330"/>
          <w:sz w:val="21"/>
          <w:szCs w:val="21"/>
        </w:rPr>
        <w:t xml:space="preserve">Workflow-specific shadow mode</w:t>
      </w:r>
    </w:p>
    <w:p>
      <w:pPr>
        <w:pStyle w:val="ListParagraph"/>
        <w:numPr>
          <w:ilvl w:val="0"/>
          <w:numId w:val="1"/>
        </w:numPr>
        <w:spacing w:after="70" w:line="268"/>
      </w:pPr>
      <w:r>
        <w:rPr>
          <w:rFonts w:ascii="Calibri" w:cs="Calibri" w:eastAsia="Calibri" w:hAnsi="Calibri"/>
          <w:b w:val="false"/>
          <w:bCs w:val="false"/>
          <w:i w:val="false"/>
          <w:iCs w:val="false"/>
          <w:caps w:val="false"/>
          <w:color w:val="1A2330"/>
          <w:sz w:val="21"/>
          <w:szCs w:val="21"/>
        </w:rPr>
        <w:t xml:space="preserve">Human review and escalation</w:t>
      </w:r>
    </w:p>
    <w:p>
      <w:pPr>
        <w:pStyle w:val="ListParagraph"/>
        <w:numPr>
          <w:ilvl w:val="0"/>
          <w:numId w:val="1"/>
        </w:numPr>
        <w:spacing w:after="70" w:line="268"/>
      </w:pPr>
      <w:r>
        <w:rPr>
          <w:rFonts w:ascii="Calibri" w:cs="Calibri" w:eastAsia="Calibri" w:hAnsi="Calibri"/>
          <w:b w:val="false"/>
          <w:bCs w:val="false"/>
          <w:i w:val="false"/>
          <w:iCs w:val="false"/>
          <w:caps w:val="false"/>
          <w:color w:val="1A2330"/>
          <w:sz w:val="21"/>
          <w:szCs w:val="21"/>
        </w:rPr>
        <w:t xml:space="preserve">Controlled enforcement for selected actions</w:t>
      </w:r>
    </w:p>
    <w:p>
      <w:pPr>
        <w:pStyle w:val="ListParagraph"/>
        <w:numPr>
          <w:ilvl w:val="0"/>
          <w:numId w:val="1"/>
        </w:numPr>
        <w:spacing w:after="70" w:line="268"/>
      </w:pPr>
      <w:r>
        <w:rPr>
          <w:rFonts w:ascii="Calibri" w:cs="Calibri" w:eastAsia="Calibri" w:hAnsi="Calibri"/>
          <w:b w:val="false"/>
          <w:bCs w:val="false"/>
          <w:i w:val="false"/>
          <w:iCs w:val="false"/>
          <w:caps w:val="false"/>
          <w:color w:val="1A2330"/>
          <w:sz w:val="21"/>
          <w:szCs w:val="21"/>
        </w:rPr>
        <w:t xml:space="preserve">Execution receipt and reconciliation</w:t>
      </w:r>
    </w:p>
    <w:p>
      <w:pPr>
        <w:pStyle w:val="ListParagraph"/>
        <w:numPr>
          <w:ilvl w:val="0"/>
          <w:numId w:val="1"/>
        </w:numPr>
        <w:spacing w:after="70" w:line="268"/>
      </w:pPr>
      <w:r>
        <w:rPr>
          <w:rFonts w:ascii="Calibri" w:cs="Calibri" w:eastAsia="Calibri" w:hAnsi="Calibri"/>
          <w:b w:val="false"/>
          <w:bCs w:val="false"/>
          <w:i w:val="false"/>
          <w:iCs w:val="false"/>
          <w:caps w:val="false"/>
          <w:color w:val="1A2330"/>
          <w:sz w:val="21"/>
          <w:szCs w:val="21"/>
        </w:rPr>
        <w:t xml:space="preserve">Pilot metrics and audit export</w:t>
      </w:r>
    </w:p>
    <w:tbl>
      <w:tblPr>
        <w:tblW w:type="dxa" w:w="10080"/>
        <w:tblBorders>
          <w:top w:val="single" w:color="EAF0F7" w:sz="2"/>
          <w:left w:val="single" w:color="3E6FA5" w:sz="28"/>
          <w:bottom w:val="single" w:color="EAF0F7" w:sz="2"/>
          <w:right w:val="single" w:color="EAF0F7" w:sz="2"/>
          <w:insideH w:val="none"/>
          <w:insideV w:val="none"/>
        </w:tblBorders>
      </w:tblPr>
      <w:tblGrid>
        <w:gridCol w:w="10080"/>
      </w:tblGrid>
      <w:tr>
        <w:tc>
          <w:tcPr>
            <w:tcW w:type="dxa" w:w="10080"/>
            <w:shd w:fill="EAF0F7" w:color="auto" w:val="clear"/>
            <w:tcMar>
              <w:top w:type="dxa" w:w="120"/>
              <w:left w:type="dxa" w:w="200"/>
              <w:bottom w:type="dxa" w:w="120"/>
              <w:right w:type="dxa" w:w="160"/>
            </w:tcMar>
          </w:tcPr>
          <w:p>
            <w:pPr>
              <w:spacing w:after="0" w:line="276"/>
            </w:pPr>
            <w:r>
              <w:rPr>
                <w:rFonts w:ascii="Calibri" w:cs="Calibri" w:eastAsia="Calibri" w:hAnsi="Calibri"/>
                <w:b w:val="false"/>
                <w:bCs w:val="false"/>
                <w:i/>
                <w:iCs/>
                <w:caps w:val="false"/>
                <w:color w:val="1F3A5F"/>
                <w:sz w:val="21"/>
                <w:szCs w:val="21"/>
              </w:rPr>
              <w:t xml:space="preserve">This is an enterprise-deployable v1 — not a claim of universal production readiness for every regulated industry. Full regulated-industry certification is explicitly out of v1 scope.</w:t>
            </w:r>
          </w:p>
        </w:tc>
      </w:tr>
    </w:tbl>
    <w:p>
      <w:pPr>
        <w:spacing w:after="60" w:before="220"/>
      </w:pPr>
      <w:r>
        <w:rPr>
          <w:rFonts w:ascii="Calibri" w:cs="Calibri" w:eastAsia="Calibri" w:hAnsi="Calibri"/>
          <w:b/>
          <w:bCs/>
          <w:i w:val="false"/>
          <w:iCs w:val="false"/>
          <w:caps w:val="false"/>
          <w:color w:val="1F3A5F"/>
          <w:sz w:val="24"/>
          <w:szCs w:val="24"/>
        </w:rPr>
        <w:t xml:space="preserve">Reference architecture</w:t>
      </w:r>
    </w:p>
    <w:tbl>
      <w:tblPr>
        <w:tblW w:type="dxa" w:w="10080"/>
        <w:tblBorders>
          <w:top w:val="single" w:color="FFFFFF" w:sz="6"/>
          <w:left w:val="single" w:color="FFFFFF" w:sz="6"/>
          <w:bottom w:val="single" w:color="FFFFFF" w:sz="6"/>
          <w:right w:val="single" w:color="FFFFFF" w:sz="6"/>
          <w:insideH w:val="none"/>
          <w:insideV w:val="none"/>
        </w:tblBorders>
      </w:tblPr>
      <w:tblGrid>
        <w:gridCol w:w="10080"/>
      </w:tblGrid>
      <w:tr>
        <w:tc>
          <w:tcPr>
            <w:tcW w:type="dxa" w:w="10080"/>
            <w:shd w:fill="F5F8FC" w:color="auto" w:val="clear"/>
            <w:tcMar>
              <w:top w:type="dxa" w:w="90"/>
              <w:left w:type="dxa" w:w="160"/>
              <w:bottom w:type="dxa" w:w="90"/>
              <w:right w:type="dxa" w:w="160"/>
            </w:tcMar>
            <w:vAlign w:val="center"/>
          </w:tcPr>
          <w:p>
            <w:pPr>
              <w:spacing w:after="0" w:line="250"/>
              <w:jc w:val="center"/>
            </w:pPr>
            <w:r>
              <w:rPr>
                <w:rFonts w:ascii="Calibri" w:cs="Calibri" w:eastAsia="Calibri" w:hAnsi="Calibri"/>
                <w:b w:val="false"/>
                <w:bCs w:val="false"/>
                <w:i w:val="false"/>
                <w:iCs w:val="false"/>
                <w:caps w:val="false"/>
                <w:color w:val="1A2330"/>
                <w:sz w:val="20"/>
                <w:szCs w:val="20"/>
              </w:rPr>
              <w:t xml:space="preserve">Applications — enterprise AI agents (untrusted proposer)</w:t>
            </w:r>
          </w:p>
        </w:tc>
      </w:tr>
    </w:tbl>
    <w:p>
      <w:pPr>
        <w:spacing w:after="20" w:before="20"/>
        <w:jc w:val="center"/>
      </w:pPr>
      <w:r>
        <w:rPr>
          <w:rFonts w:ascii="Calibri" w:cs="Calibri" w:eastAsia="Calibri" w:hAnsi="Calibri"/>
          <w:b/>
          <w:bCs/>
          <w:i w:val="false"/>
          <w:iCs w:val="false"/>
          <w:caps w:val="false"/>
          <w:color w:val="3E6FA5"/>
          <w:sz w:val="20"/>
          <w:szCs w:val="20"/>
        </w:rPr>
        <w:t xml:space="preserve">▼</w:t>
      </w:r>
    </w:p>
    <w:tbl>
      <w:tblPr>
        <w:tblW w:type="dxa" w:w="10080"/>
        <w:tblBorders>
          <w:top w:val="single" w:color="FFFFFF" w:sz="6"/>
          <w:left w:val="single" w:color="FFFFFF" w:sz="6"/>
          <w:bottom w:val="single" w:color="FFFFFF" w:sz="6"/>
          <w:right w:val="single" w:color="FFFFFF" w:sz="6"/>
          <w:insideH w:val="none"/>
          <w:insideV w:val="none"/>
        </w:tblBorders>
      </w:tblPr>
      <w:tblGrid>
        <w:gridCol w:w="10080"/>
      </w:tblGrid>
      <w:tr>
        <w:tc>
          <w:tcPr>
            <w:tcW w:type="dxa" w:w="10080"/>
            <w:shd w:fill="EAF0F7" w:color="auto" w:val="clear"/>
            <w:tcMar>
              <w:top w:type="dxa" w:w="90"/>
              <w:left w:type="dxa" w:w="160"/>
              <w:bottom w:type="dxa" w:w="90"/>
              <w:right w:type="dxa" w:w="160"/>
            </w:tcMar>
            <w:vAlign w:val="center"/>
          </w:tcPr>
          <w:p>
            <w:pPr>
              <w:spacing w:after="0" w:line="250"/>
              <w:jc w:val="center"/>
            </w:pPr>
            <w:r>
              <w:rPr>
                <w:rFonts w:ascii="Calibri" w:cs="Calibri" w:eastAsia="Calibri" w:hAnsi="Calibri"/>
                <w:b/>
                <w:bCs/>
                <w:i w:val="false"/>
                <w:iCs w:val="false"/>
                <w:caps w:val="false"/>
                <w:color w:val="1F3A5F"/>
                <w:sz w:val="20"/>
                <w:szCs w:val="20"/>
              </w:rPr>
              <w:t xml:space="preserve">Runtime / Gateway — supervised proposal · intake &amp; normalization</w:t>
            </w:r>
          </w:p>
        </w:tc>
      </w:tr>
    </w:tbl>
    <w:p>
      <w:pPr>
        <w:spacing w:after="20" w:before="20"/>
        <w:jc w:val="center"/>
      </w:pPr>
      <w:r>
        <w:rPr>
          <w:rFonts w:ascii="Calibri" w:cs="Calibri" w:eastAsia="Calibri" w:hAnsi="Calibri"/>
          <w:b/>
          <w:bCs/>
          <w:i w:val="false"/>
          <w:iCs w:val="false"/>
          <w:caps w:val="false"/>
          <w:color w:val="3E6FA5"/>
          <w:sz w:val="20"/>
          <w:szCs w:val="20"/>
        </w:rPr>
        <w:t xml:space="preserve">▼</w:t>
      </w:r>
    </w:p>
    <w:tbl>
      <w:tblPr>
        <w:tblW w:type="dxa" w:w="10080"/>
        <w:tblBorders>
          <w:top w:val="single" w:color="FFFFFF" w:sz="6"/>
          <w:left w:val="single" w:color="FFFFFF" w:sz="6"/>
          <w:bottom w:val="single" w:color="FFFFFF" w:sz="6"/>
          <w:right w:val="single" w:color="FFFFFF" w:sz="6"/>
          <w:insideH w:val="none"/>
          <w:insideV w:val="none"/>
        </w:tblBorders>
      </w:tblPr>
      <w:tblGrid>
        <w:gridCol w:w="10080"/>
      </w:tblGrid>
      <w:tr>
        <w:tc>
          <w:tcPr>
            <w:tcW w:type="dxa" w:w="10080"/>
            <w:shd w:fill="1F3A5F" w:color="auto" w:val="clear"/>
            <w:tcMar>
              <w:top w:type="dxa" w:w="90"/>
              <w:left w:type="dxa" w:w="160"/>
              <w:bottom w:type="dxa" w:w="90"/>
              <w:right w:type="dxa" w:w="160"/>
            </w:tcMar>
            <w:vAlign w:val="center"/>
          </w:tcPr>
          <w:p>
            <w:pPr>
              <w:spacing w:after="0" w:line="250"/>
              <w:jc w:val="center"/>
            </w:pPr>
            <w:r>
              <w:rPr>
                <w:rFonts w:ascii="Calibri" w:cs="Calibri" w:eastAsia="Calibri" w:hAnsi="Calibri"/>
                <w:b/>
                <w:bCs/>
                <w:i w:val="false"/>
                <w:iCs w:val="false"/>
                <w:caps/>
                <w:color w:val="FFFFFF"/>
                <w:sz w:val="18"/>
                <w:szCs w:val="18"/>
              </w:rPr>
              <w:t xml:space="preserve">AI CONTROL PLANE</w:t>
            </w:r>
            <w:r>
              <w:rPr>
                <w:rFonts w:ascii="Calibri" w:cs="Calibri" w:eastAsia="Calibri" w:hAnsi="Calibri"/>
                <w:b w:val="false"/>
                <w:bCs w:val="false"/>
                <w:i w:val="false"/>
                <w:iCs w:val="false"/>
                <w:caps w:val="false"/>
                <w:color w:val="DCE6F4"/>
                <w:sz w:val="18"/>
                <w:szCs w:val="18"/>
              </w:rPr>
              <w:t xml:space="preserve">    Verify (TAP) · Decide (Decision Governance) · Authorize (ActionGate) · Clear (ACP)</w:t>
            </w:r>
          </w:p>
        </w:tc>
      </w:tr>
    </w:tbl>
    <w:p>
      <w:pPr>
        <w:spacing w:after="20" w:before="20"/>
        <w:jc w:val="center"/>
      </w:pPr>
      <w:r>
        <w:rPr>
          <w:rFonts w:ascii="Calibri" w:cs="Calibri" w:eastAsia="Calibri" w:hAnsi="Calibri"/>
          <w:b/>
          <w:bCs/>
          <w:i w:val="false"/>
          <w:iCs w:val="false"/>
          <w:caps w:val="false"/>
          <w:color w:val="3E6FA5"/>
          <w:sz w:val="20"/>
          <w:szCs w:val="20"/>
        </w:rPr>
        <w:t xml:space="preserve">▼</w:t>
      </w:r>
    </w:p>
    <w:tbl>
      <w:tblPr>
        <w:tblW w:type="dxa" w:w="10080"/>
        <w:tblBorders>
          <w:top w:val="single" w:color="FFFFFF" w:sz="6"/>
          <w:left w:val="single" w:color="FFFFFF" w:sz="6"/>
          <w:bottom w:val="single" w:color="FFFFFF" w:sz="6"/>
          <w:right w:val="single" w:color="FFFFFF" w:sz="6"/>
          <w:insideH w:val="none"/>
          <w:insideV w:val="none"/>
        </w:tblBorders>
      </w:tblPr>
      <w:tblGrid>
        <w:gridCol w:w="10080"/>
      </w:tblGrid>
      <w:tr>
        <w:tc>
          <w:tcPr>
            <w:tcW w:type="dxa" w:w="10080"/>
            <w:shd w:fill="EAF0F7" w:color="auto" w:val="clear"/>
            <w:tcMar>
              <w:top w:type="dxa" w:w="90"/>
              <w:left w:type="dxa" w:w="160"/>
              <w:bottom w:type="dxa" w:w="90"/>
              <w:right w:type="dxa" w:w="160"/>
            </w:tcMar>
            <w:vAlign w:val="center"/>
          </w:tcPr>
          <w:p>
            <w:pPr>
              <w:spacing w:after="0" w:line="250"/>
              <w:jc w:val="center"/>
            </w:pPr>
            <w:r>
              <w:rPr>
                <w:rFonts w:ascii="Calibri" w:cs="Calibri" w:eastAsia="Calibri" w:hAnsi="Calibri"/>
                <w:b/>
                <w:bCs/>
                <w:i w:val="false"/>
                <w:iCs w:val="false"/>
                <w:caps w:val="false"/>
                <w:color w:val="1F3A5F"/>
                <w:sz w:val="20"/>
                <w:szCs w:val="20"/>
              </w:rPr>
              <w:t xml:space="preserve">Execution-target connectors — Kubernetes first (executes only under enforcement)</w:t>
            </w:r>
          </w:p>
        </w:tc>
      </w:tr>
    </w:tbl>
    <w:p>
      <w:pPr>
        <w:spacing w:after="20" w:before="20"/>
        <w:jc w:val="center"/>
      </w:pPr>
      <w:r>
        <w:rPr>
          <w:rFonts w:ascii="Calibri" w:cs="Calibri" w:eastAsia="Calibri" w:hAnsi="Calibri"/>
          <w:b/>
          <w:bCs/>
          <w:i w:val="false"/>
          <w:iCs w:val="false"/>
          <w:caps w:val="false"/>
          <w:color w:val="3E6FA5"/>
          <w:sz w:val="20"/>
          <w:szCs w:val="20"/>
        </w:rPr>
        <w:t xml:space="preserve">▼</w:t>
      </w:r>
    </w:p>
    <w:tbl>
      <w:tblPr>
        <w:tblW w:type="dxa" w:w="10080"/>
        <w:tblBorders>
          <w:top w:val="single" w:color="FFFFFF" w:sz="6"/>
          <w:left w:val="single" w:color="FFFFFF" w:sz="6"/>
          <w:bottom w:val="single" w:color="FFFFFF" w:sz="6"/>
          <w:right w:val="single" w:color="FFFFFF" w:sz="6"/>
          <w:insideH w:val="none"/>
          <w:insideV w:val="none"/>
        </w:tblBorders>
      </w:tblPr>
      <w:tblGrid>
        <w:gridCol w:w="10080"/>
      </w:tblGrid>
      <w:tr>
        <w:tc>
          <w:tcPr>
            <w:tcW w:type="dxa" w:w="10080"/>
            <w:shd w:fill="E7F0E8" w:color="auto" w:val="clear"/>
            <w:tcMar>
              <w:top w:type="dxa" w:w="90"/>
              <w:left w:type="dxa" w:w="160"/>
              <w:bottom w:type="dxa" w:w="90"/>
              <w:right w:type="dxa" w:w="160"/>
            </w:tcMar>
            <w:vAlign w:val="center"/>
          </w:tcPr>
          <w:p>
            <w:pPr>
              <w:spacing w:after="0" w:line="250"/>
              <w:jc w:val="center"/>
            </w:pPr>
            <w:r>
              <w:rPr>
                <w:rFonts w:ascii="Calibri" w:cs="Calibri" w:eastAsia="Calibri" w:hAnsi="Calibri"/>
                <w:b/>
                <w:bCs/>
                <w:i w:val="false"/>
                <w:iCs w:val="false"/>
                <w:caps w:val="false"/>
                <w:color w:val="1E5E38"/>
                <w:sz w:val="20"/>
                <w:szCs w:val="20"/>
              </w:rPr>
              <w:t xml:space="preserve">Audit &amp; Reconstruction — durable, replayable decision chain</w:t>
            </w:r>
          </w:p>
        </w:tc>
      </w:tr>
    </w:tbl>
    <w:p>
      <w:r>
        <w:br w:type="page"/>
      </w:r>
    </w:p>
    <w:p>
      <w:pPr>
        <w:pBdr>
          <w:bottom w:val="single" w:color="3E6FA5" w:sz="12" w:space="4"/>
        </w:pBdr>
        <w:spacing w:after="60" w:before="320"/>
      </w:pPr>
      <w:r>
        <w:rPr>
          <w:rFonts w:ascii="Calibri" w:cs="Calibri" w:eastAsia="Calibri" w:hAnsi="Calibri"/>
          <w:b/>
          <w:bCs/>
          <w:i w:val="false"/>
          <w:iCs w:val="false"/>
          <w:caps w:val="false"/>
          <w:color w:val="14294A"/>
          <w:sz w:val="30"/>
          <w:szCs w:val="30"/>
        </w:rPr>
        <w:t xml:space="preserve">11 · Connector architecture</w:t>
      </w:r>
    </w:p>
    <w:p>
      <w:pPr>
        <w:spacing w:after="120" w:before="0" w:line="276"/>
      </w:pPr>
      <w:r>
        <w:rPr>
          <w:rFonts w:ascii="Calibri" w:cs="Calibri" w:eastAsia="Calibri" w:hAnsi="Calibri"/>
          <w:b w:val="false"/>
          <w:bCs w:val="false"/>
          <w:i w:val="false"/>
          <w:iCs w:val="false"/>
          <w:caps w:val="false"/>
          <w:color w:val="1A2330"/>
          <w:sz w:val="21"/>
          <w:szCs w:val="21"/>
        </w:rPr>
        <w:t xml:space="preserve">Three connector classes, each with a defined contract for: supported action types, shadow capability, enforcement capability, authentication model, receipt support, reconciliation support, failure behavior, and version compatibility. Failure behavior follows the fail-closed rule — a connector that cannot confirm a required control never yields ALLOW.</w:t>
      </w:r>
    </w:p>
    <w:tbl>
      <w:tblPr>
        <w:tblW w:type="dxa" w:w="10080"/>
        <w:tblBorders>
          <w:top w:val="single" w:color="C7D3E2" w:sz="4"/>
          <w:left w:val="single" w:color="C7D3E2" w:sz="4"/>
          <w:bottom w:val="single" w:color="C7D3E2" w:sz="4"/>
          <w:right w:val="single" w:color="C7D3E2" w:sz="4"/>
          <w:insideH w:val="single" w:color="C7D3E2" w:sz="2"/>
          <w:insideV w:val="single" w:color="C7D3E2" w:sz="2"/>
        </w:tblBorders>
      </w:tblPr>
      <w:tblGrid>
        <w:gridCol w:w="3000"/>
        <w:gridCol w:w="4380"/>
        <w:gridCol w:w="2700"/>
      </w:tblGrid>
      <w:tr>
        <w:trPr>
          <w:tblHeader/>
        </w:trPr>
        <w:tc>
          <w:tcPr>
            <w:tcW w:type="dxa" w:w="300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Connector class</w:t>
            </w:r>
          </w:p>
        </w:tc>
        <w:tc>
          <w:tcPr>
            <w:tcW w:type="dxa" w:w="438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v1 scope</w:t>
            </w:r>
          </w:p>
        </w:tc>
        <w:tc>
          <w:tcPr>
            <w:tcW w:type="dxa" w:w="270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Later</w:t>
            </w:r>
          </w:p>
        </w:tc>
      </w:tr>
      <w:tr>
        <w:tc>
          <w:tcPr>
            <w:tcW w:type="dxa" w:w="30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Runtime connectors</w:t>
            </w:r>
          </w:p>
        </w:tc>
        <w:tc>
          <w:tcPr>
            <w:tcW w:type="dxa" w:w="438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Ugence Agent Runtime + one enterprise runtime (LangGraph or OpenAI Agents)</w:t>
            </w:r>
          </w:p>
        </w:tc>
        <w:tc>
          <w:tcPr>
            <w:tcW w:type="dxa" w:w="27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Additional agent frameworks</w:t>
            </w:r>
          </w:p>
        </w:tc>
      </w:tr>
      <w:tr>
        <w:tc>
          <w:tcPr>
            <w:tcW w:type="dxa" w:w="30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Execution-target connectors</w:t>
            </w:r>
          </w:p>
        </w:tc>
        <w:tc>
          <w:tcPr>
            <w:tcW w:type="dxa" w:w="438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Kubernetes</w:t>
            </w:r>
          </w:p>
        </w:tc>
        <w:tc>
          <w:tcPr>
            <w:tcW w:type="dxa" w:w="270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GitHub, Terraform, AWS, databases, enterprise APIs</w:t>
            </w:r>
          </w:p>
        </w:tc>
      </w:tr>
      <w:tr>
        <w:tc>
          <w:tcPr>
            <w:tcW w:type="dxa" w:w="30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Enterprise-service connectors</w:t>
            </w:r>
          </w:p>
        </w:tc>
        <w:tc>
          <w:tcPr>
            <w:tcW w:type="dxa" w:w="438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Identity provider, policy store, evidence source, system of record</w:t>
            </w:r>
          </w:p>
        </w:tc>
        <w:tc>
          <w:tcPr>
            <w:tcW w:type="dxa" w:w="270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Additional systems of record</w:t>
            </w:r>
          </w:p>
        </w:tc>
      </w:tr>
    </w:tbl>
    <w:p>
      <w:pPr>
        <w:pBdr>
          <w:bottom w:val="single" w:color="3E6FA5" w:sz="12" w:space="4"/>
        </w:pBdr>
        <w:spacing w:after="60" w:before="320"/>
      </w:pPr>
      <w:r>
        <w:rPr>
          <w:rFonts w:ascii="Calibri" w:cs="Calibri" w:eastAsia="Calibri" w:hAnsi="Calibri"/>
          <w:b/>
          <w:bCs/>
          <w:i w:val="false"/>
          <w:iCs w:val="false"/>
          <w:caps w:val="false"/>
          <w:color w:val="14294A"/>
          <w:sz w:val="30"/>
          <w:szCs w:val="30"/>
        </w:rPr>
        <w:t xml:space="preserve">12 · Ugence Agent Control Pilot</w:t>
      </w:r>
    </w:p>
    <w:p>
      <w:pPr>
        <w:spacing w:after="120" w:before="0" w:line="276"/>
      </w:pPr>
      <w:r>
        <w:rPr>
          <w:rFonts w:ascii="Calibri" w:cs="Calibri" w:eastAsia="Calibri" w:hAnsi="Calibri"/>
          <w:b w:val="false"/>
          <w:bCs w:val="false"/>
          <w:i w:val="false"/>
          <w:iCs w:val="false"/>
          <w:caps w:val="false"/>
          <w:color w:val="1A2330"/>
          <w:sz w:val="21"/>
          <w:szCs w:val="21"/>
        </w:rPr>
        <w:t xml:space="preserve">The commercial offer is a paid design-partner pilot:</w:t>
      </w:r>
    </w:p>
    <w:p>
      <w:pPr>
        <w:pStyle w:val="ListParagraph"/>
        <w:numPr>
          <w:ilvl w:val="0"/>
          <w:numId w:val="1"/>
        </w:numPr>
        <w:spacing w:after="70" w:line="268"/>
      </w:pPr>
      <w:r>
        <w:rPr>
          <w:rFonts w:ascii="Calibri" w:cs="Calibri" w:eastAsia="Calibri" w:hAnsi="Calibri"/>
          <w:b w:val="false"/>
          <w:bCs w:val="false"/>
          <w:i w:val="false"/>
          <w:iCs w:val="false"/>
          <w:caps w:val="false"/>
          <w:color w:val="1A2330"/>
          <w:sz w:val="21"/>
          <w:szCs w:val="21"/>
        </w:rPr>
        <w:t xml:space="preserve">One enterprise agent and one high-consequence workflow</w:t>
      </w:r>
    </w:p>
    <w:p>
      <w:pPr>
        <w:pStyle w:val="ListParagraph"/>
        <w:numPr>
          <w:ilvl w:val="0"/>
          <w:numId w:val="1"/>
        </w:numPr>
        <w:spacing w:after="70" w:line="268"/>
      </w:pPr>
      <w:r>
        <w:rPr>
          <w:rFonts w:ascii="Calibri" w:cs="Calibri" w:eastAsia="Calibri" w:hAnsi="Calibri"/>
          <w:b w:val="false"/>
          <w:bCs w:val="false"/>
          <w:i w:val="false"/>
          <w:iCs w:val="false"/>
          <w:caps w:val="false"/>
          <w:color w:val="1A2330"/>
          <w:sz w:val="21"/>
          <w:szCs w:val="21"/>
        </w:rPr>
        <w:t xml:space="preserve">Four to eight weeks, shadow mode first</w:t>
      </w:r>
    </w:p>
    <w:p>
      <w:pPr>
        <w:pStyle w:val="ListParagraph"/>
        <w:numPr>
          <w:ilvl w:val="0"/>
          <w:numId w:val="1"/>
        </w:numPr>
        <w:spacing w:after="70" w:line="268"/>
      </w:pPr>
      <w:r>
        <w:rPr>
          <w:rFonts w:ascii="Calibri" w:cs="Calibri" w:eastAsia="Calibri" w:hAnsi="Calibri"/>
          <w:b w:val="false"/>
          <w:bCs w:val="false"/>
          <w:i w:val="false"/>
          <w:iCs w:val="false"/>
          <w:caps w:val="false"/>
          <w:color w:val="1A2330"/>
          <w:sz w:val="21"/>
          <w:szCs w:val="21"/>
        </w:rPr>
        <w:t xml:space="preserve">Customer-specific policy and authority configuration</w:t>
      </w:r>
    </w:p>
    <w:p>
      <w:pPr>
        <w:pStyle w:val="ListParagraph"/>
        <w:numPr>
          <w:ilvl w:val="0"/>
          <w:numId w:val="1"/>
        </w:numPr>
        <w:spacing w:after="70" w:line="268"/>
      </w:pPr>
      <w:r>
        <w:rPr>
          <w:rFonts w:ascii="Calibri" w:cs="Calibri" w:eastAsia="Calibri" w:hAnsi="Calibri"/>
          <w:b w:val="false"/>
          <w:bCs w:val="false"/>
          <w:i w:val="false"/>
          <w:iCs w:val="false"/>
          <w:caps w:val="false"/>
          <w:color w:val="1A2330"/>
          <w:sz w:val="21"/>
          <w:szCs w:val="21"/>
        </w:rPr>
        <w:t xml:space="preserve">The Kubernetes / infrastructure-action wedge</w:t>
      </w:r>
    </w:p>
    <w:p>
      <w:pPr>
        <w:pStyle w:val="ListParagraph"/>
        <w:numPr>
          <w:ilvl w:val="0"/>
          <w:numId w:val="1"/>
        </w:numPr>
        <w:spacing w:after="70" w:line="268"/>
      </w:pPr>
      <w:r>
        <w:rPr>
          <w:rFonts w:ascii="Calibri" w:cs="Calibri" w:eastAsia="Calibri" w:hAnsi="Calibri"/>
          <w:b w:val="false"/>
          <w:bCs w:val="false"/>
          <w:i w:val="false"/>
          <w:iCs w:val="false"/>
          <w:caps w:val="false"/>
          <w:color w:val="1A2330"/>
          <w:sz w:val="21"/>
          <w:szCs w:val="21"/>
        </w:rPr>
        <w:t xml:space="preserve">A paid design-partner structure</w:t>
      </w:r>
    </w:p>
    <w:p>
      <w:pPr>
        <w:pStyle w:val="ListParagraph"/>
        <w:numPr>
          <w:ilvl w:val="0"/>
          <w:numId w:val="1"/>
        </w:numPr>
        <w:spacing w:after="70" w:line="268"/>
      </w:pPr>
      <w:r>
        <w:rPr>
          <w:rFonts w:ascii="Calibri" w:cs="Calibri" w:eastAsia="Calibri" w:hAnsi="Calibri"/>
          <w:b w:val="false"/>
          <w:bCs w:val="false"/>
          <w:i w:val="false"/>
          <w:iCs w:val="false"/>
          <w:caps w:val="false"/>
          <w:color w:val="1A2330"/>
          <w:sz w:val="21"/>
          <w:szCs w:val="21"/>
        </w:rPr>
        <w:t xml:space="preserve">Progression from shadow → recommendation → selected enforcement</w:t>
      </w:r>
    </w:p>
    <w:p>
      <w:pPr>
        <w:spacing w:after="60" w:before="220"/>
      </w:pPr>
      <w:r>
        <w:rPr>
          <w:rFonts w:ascii="Calibri" w:cs="Calibri" w:eastAsia="Calibri" w:hAnsi="Calibri"/>
          <w:b/>
          <w:bCs/>
          <w:i w:val="false"/>
          <w:iCs w:val="false"/>
          <w:caps w:val="false"/>
          <w:color w:val="1F3A5F"/>
          <w:sz w:val="24"/>
          <w:szCs w:val="24"/>
        </w:rPr>
        <w:t xml:space="preserve">Measured pilot outputs</w:t>
      </w:r>
    </w:p>
    <w:tbl>
      <w:tblPr>
        <w:tblW w:type="dxa" w:w="10080"/>
        <w:tblBorders>
          <w:top w:val="single" w:color="C7D3E2" w:sz="4"/>
          <w:left w:val="single" w:color="C7D3E2" w:sz="4"/>
          <w:bottom w:val="single" w:color="C7D3E2" w:sz="4"/>
          <w:right w:val="single" w:color="C7D3E2" w:sz="4"/>
          <w:insideH w:val="single" w:color="C7D3E2" w:sz="2"/>
          <w:insideV w:val="single" w:color="C7D3E2" w:sz="2"/>
        </w:tblBorders>
      </w:tblPr>
      <w:tblGrid>
        <w:gridCol w:w="5040"/>
        <w:gridCol w:w="5040"/>
      </w:tblGrid>
      <w:tr>
        <w:trPr>
          <w:tblHeader/>
        </w:trPr>
        <w:tc>
          <w:tcPr>
            <w:tcW w:type="dxa" w:w="504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Outcome measure</w:t>
            </w:r>
          </w:p>
        </w:tc>
        <w:tc>
          <w:tcPr>
            <w:tcW w:type="dxa" w:w="5040"/>
            <w:shd w:fill="1F3A5F" w:color="auto" w:val="clear"/>
            <w:tcMar>
              <w:top w:type="dxa" w:w="60"/>
              <w:left w:type="dxa" w:w="110"/>
              <w:bottom w:type="dxa" w:w="60"/>
              <w:right w:type="dxa" w:w="110"/>
            </w:tcMar>
            <w:vAlign w:val="center"/>
          </w:tcPr>
          <w:p>
            <w:pPr>
              <w:spacing w:after="0" w:line="260"/>
            </w:pPr>
            <w:r>
              <w:rPr>
                <w:rFonts w:ascii="Calibri" w:cs="Calibri" w:eastAsia="Calibri" w:hAnsi="Calibri"/>
                <w:b/>
                <w:bCs/>
                <w:i w:val="false"/>
                <w:iCs w:val="false"/>
                <w:caps w:val="false"/>
                <w:color w:val="FFFFFF"/>
                <w:sz w:val="19"/>
                <w:szCs w:val="19"/>
              </w:rPr>
              <w:t xml:space="preserve">Outcome measure</w:t>
            </w:r>
          </w:p>
        </w:tc>
      </w:tr>
      <w:tr>
        <w:tc>
          <w:tcPr>
            <w:tcW w:type="dxa" w:w="504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Unauthorized-action detection rate</w:t>
            </w:r>
          </w:p>
        </w:tc>
        <w:tc>
          <w:tcPr>
            <w:tcW w:type="dxa" w:w="504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Governance latency (p50, p95, p99)</w:t>
            </w:r>
          </w:p>
        </w:tc>
      </w:tr>
      <w:tr>
        <w:tc>
          <w:tcPr>
            <w:tcW w:type="dxa" w:w="504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False-block rate</w:t>
            </w:r>
          </w:p>
        </w:tc>
        <w:tc>
          <w:tcPr>
            <w:tcW w:type="dxa" w:w="504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Module-unavailability rate</w:t>
            </w:r>
          </w:p>
        </w:tc>
      </w:tr>
      <w:tr>
        <w:tc>
          <w:tcPr>
            <w:tcW w:type="dxa" w:w="504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Human-escalation rate</w:t>
            </w:r>
          </w:p>
        </w:tc>
        <w:tc>
          <w:tcPr>
            <w:tcW w:type="dxa" w:w="504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Integration effort</w:t>
            </w:r>
          </w:p>
        </w:tc>
      </w:tr>
      <w:tr>
        <w:tc>
          <w:tcPr>
            <w:tcW w:type="dxa" w:w="504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Policy-owner agreement</w:t>
            </w:r>
          </w:p>
        </w:tc>
        <w:tc>
          <w:tcPr>
            <w:tcW w:type="dxa" w:w="504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Time to reconstruct one decision</w:t>
            </w:r>
          </w:p>
        </w:tc>
      </w:tr>
      <w:tr>
        <w:tc>
          <w:tcPr>
            <w:tcW w:type="dxa" w:w="504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Audit completeness</w:t>
            </w:r>
          </w:p>
        </w:tc>
        <w:tc>
          <w:tcPr>
            <w:tcW w:type="dxa" w:w="5040"/>
            <w:shd w:fill="FFFFFF"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Duplicate-execution detection</w:t>
            </w:r>
          </w:p>
        </w:tc>
      </w:tr>
      <w:tr>
        <w:tc>
          <w:tcPr>
            <w:tcW w:type="dxa" w:w="504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Readiness to move selected controls into enforcement</w:t>
            </w:r>
          </w:p>
        </w:tc>
        <w:tc>
          <w:tcPr>
            <w:tcW w:type="dxa" w:w="5040"/>
            <w:shd w:fill="F5F8FC" w:color="auto" w:val="clear"/>
            <w:tcMar>
              <w:top w:type="dxa" w:w="60"/>
              <w:left w:type="dxa" w:w="110"/>
              <w:bottom w:type="dxa" w:w="60"/>
              <w:right w:type="dxa" w:w="110"/>
            </w:tcMar>
            <w:vAlign w:val="center"/>
          </w:tcPr>
          <w:p>
            <w:pPr>
              <w:spacing w:after="0" w:line="260"/>
            </w:pPr>
            <w:r>
              <w:rPr>
                <w:rFonts w:ascii="Calibri" w:cs="Calibri" w:eastAsia="Calibri" w:hAnsi="Calibri"/>
                <w:b w:val="false"/>
                <w:bCs w:val="false"/>
                <w:i w:val="false"/>
                <w:iCs w:val="false"/>
                <w:caps w:val="false"/>
                <w:color w:val="1A2330"/>
                <w:sz w:val="19"/>
                <w:szCs w:val="19"/>
              </w:rPr>
              <w:t xml:space="preserve"/>
            </w:r>
          </w:p>
        </w:tc>
      </w:tr>
    </w:tbl>
    <w:tbl>
      <w:tblPr>
        <w:tblW w:type="dxa" w:w="10080"/>
        <w:tblBorders>
          <w:top w:val="single" w:color="EAF0F7" w:sz="2"/>
          <w:left w:val="single" w:color="3E6FA5" w:sz="28"/>
          <w:bottom w:val="single" w:color="EAF0F7" w:sz="2"/>
          <w:right w:val="single" w:color="EAF0F7" w:sz="2"/>
          <w:insideH w:val="none"/>
          <w:insideV w:val="none"/>
        </w:tblBorders>
      </w:tblPr>
      <w:tblGrid>
        <w:gridCol w:w="10080"/>
      </w:tblGrid>
      <w:tr>
        <w:tc>
          <w:tcPr>
            <w:tcW w:type="dxa" w:w="10080"/>
            <w:shd w:fill="EAF0F7" w:color="auto" w:val="clear"/>
            <w:tcMar>
              <w:top w:type="dxa" w:w="120"/>
              <w:left w:type="dxa" w:w="200"/>
              <w:bottom w:type="dxa" w:w="120"/>
              <w:right w:type="dxa" w:w="160"/>
            </w:tcMar>
          </w:tcPr>
          <w:p>
            <w:pPr>
              <w:spacing w:after="0" w:line="276"/>
            </w:pPr>
            <w:r>
              <w:rPr>
                <w:rFonts w:ascii="Calibri" w:cs="Calibri" w:eastAsia="Calibri" w:hAnsi="Calibri"/>
                <w:b w:val="false"/>
                <w:bCs w:val="false"/>
                <w:i/>
                <w:iCs/>
                <w:caps w:val="false"/>
                <w:color w:val="1F3A5F"/>
                <w:sz w:val="21"/>
                <w:szCs w:val="21"/>
              </w:rPr>
              <w:t xml:space="preserve">Success thresholds are not asserted here. They will be preregistered with the design partner before the pilot begins, so results are measured against criteria agreed in advance rather than chosen after the fact.</w:t>
            </w:r>
          </w:p>
        </w:tc>
      </w:tr>
    </w:tbl>
    <w:p>
      <w:pPr>
        <w:pBdr>
          <w:bottom w:val="single" w:color="3E6FA5" w:sz="12" w:space="4"/>
        </w:pBdr>
        <w:spacing w:after="60" w:before="320"/>
      </w:pPr>
      <w:r>
        <w:rPr>
          <w:rFonts w:ascii="Calibri" w:cs="Calibri" w:eastAsia="Calibri" w:hAnsi="Calibri"/>
          <w:b/>
          <w:bCs/>
          <w:i w:val="false"/>
          <w:iCs w:val="false"/>
          <w:caps w:val="false"/>
          <w:color w:val="14294A"/>
          <w:sz w:val="30"/>
          <w:szCs w:val="30"/>
        </w:rPr>
        <w:t xml:space="preserve">13 · Security, deployment, and operations</w:t>
      </w:r>
    </w:p>
    <w:p>
      <w:pPr>
        <w:spacing w:after="60" w:before="220"/>
      </w:pPr>
      <w:r>
        <w:rPr>
          <w:rFonts w:ascii="Calibri" w:cs="Calibri" w:eastAsia="Calibri" w:hAnsi="Calibri"/>
          <w:b/>
          <w:bCs/>
          <w:i w:val="false"/>
          <w:iCs w:val="false"/>
          <w:caps w:val="false"/>
          <w:color w:val="1F3A5F"/>
          <w:sz w:val="24"/>
          <w:szCs w:val="24"/>
        </w:rPr>
        <w:t xml:space="preserve">Security and tenancy</w:t>
      </w:r>
    </w:p>
    <w:p>
      <w:pPr>
        <w:spacing w:after="120" w:before="0" w:line="276"/>
      </w:pPr>
      <w:r>
        <w:rPr>
          <w:rFonts w:ascii="Calibri" w:cs="Calibri" w:eastAsia="Calibri" w:hAnsi="Calibri"/>
          <w:b w:val="false"/>
          <w:bCs w:val="false"/>
          <w:i w:val="false"/>
          <w:iCs w:val="false"/>
          <w:caps w:val="false"/>
          <w:color w:val="1A2330"/>
          <w:sz w:val="21"/>
          <w:szCs w:val="21"/>
        </w:rPr>
        <w:t xml:space="preserve">OIDC/SAML; tenant isolation; role-based permissions; service authentication; secrets management; encryption in transit and at rest; replay protection; evidence redaction; data-retention controls; approval integrity; and audit-access control. The proposing agent and runtime are untrusted with respect to authorization and policy modification.</w:t>
      </w:r>
    </w:p>
    <w:p>
      <w:pPr>
        <w:spacing w:after="60" w:before="220"/>
      </w:pPr>
      <w:r>
        <w:rPr>
          <w:rFonts w:ascii="Calibri" w:cs="Calibri" w:eastAsia="Calibri" w:hAnsi="Calibri"/>
          <w:b/>
          <w:bCs/>
          <w:i w:val="false"/>
          <w:iCs w:val="false"/>
          <w:caps w:val="false"/>
          <w:color w:val="1F3A5F"/>
          <w:sz w:val="24"/>
          <w:szCs w:val="24"/>
        </w:rPr>
        <w:t xml:space="preserve">Deployment</w:t>
      </w:r>
    </w:p>
    <w:p>
      <w:pPr>
        <w:spacing w:after="120" w:before="0" w:line="276"/>
      </w:pPr>
      <w:r>
        <w:rPr>
          <w:rFonts w:ascii="Calibri" w:cs="Calibri" w:eastAsia="Calibri" w:hAnsi="Calibri"/>
          <w:b w:val="false"/>
          <w:bCs w:val="false"/>
          <w:i w:val="false"/>
          <w:iCs w:val="false"/>
          <w:caps w:val="false"/>
          <w:color w:val="1A2330"/>
          <w:sz w:val="21"/>
          <w:szCs w:val="21"/>
        </w:rPr>
        <w:t xml:space="preserve">Separate console and API processes; Docker images; local Docker Compose for evaluation; Kubernetes/Helm for pilot deployment; PostgreSQL or an equivalent durable store; database migrations; environment configuration; and external secrets.</w:t>
      </w:r>
    </w:p>
    <w:p>
      <w:pPr>
        <w:spacing w:after="60" w:before="220"/>
      </w:pPr>
      <w:r>
        <w:rPr>
          <w:rFonts w:ascii="Calibri" w:cs="Calibri" w:eastAsia="Calibri" w:hAnsi="Calibri"/>
          <w:b/>
          <w:bCs/>
          <w:i w:val="false"/>
          <w:iCs w:val="false"/>
          <w:caps w:val="false"/>
          <w:color w:val="1F3A5F"/>
          <w:sz w:val="24"/>
          <w:szCs w:val="24"/>
        </w:rPr>
        <w:t xml:space="preserve">Observability</w:t>
      </w:r>
    </w:p>
    <w:p>
      <w:pPr>
        <w:spacing w:after="120" w:before="0" w:line="276"/>
      </w:pPr>
      <w:r>
        <w:rPr>
          <w:rFonts w:ascii="Calibri" w:cs="Calibri" w:eastAsia="Calibri" w:hAnsi="Calibri"/>
          <w:b w:val="false"/>
          <w:bCs w:val="false"/>
          <w:i w:val="false"/>
          <w:iCs w:val="false"/>
          <w:caps w:val="false"/>
          <w:color w:val="1A2330"/>
          <w:sz w:val="21"/>
          <w:szCs w:val="21"/>
        </w:rPr>
        <w:t xml:space="preserve">OpenTelemetry tracing; structured logs; Prometheus metrics; readiness and liveness checks; governance-latency metrics; module-health metrics; and decision- and enforcement-outcome metrics.</w:t>
      </w:r>
    </w:p>
    <w:p>
      <w:r>
        <w:br w:type="page"/>
      </w:r>
    </w:p>
    <w:p>
      <w:pPr>
        <w:pBdr>
          <w:bottom w:val="single" w:color="3E6FA5" w:sz="12" w:space="4"/>
        </w:pBdr>
        <w:spacing w:after="60" w:before="320"/>
      </w:pPr>
      <w:r>
        <w:rPr>
          <w:rFonts w:ascii="Calibri" w:cs="Calibri" w:eastAsia="Calibri" w:hAnsi="Calibri"/>
          <w:b/>
          <w:bCs/>
          <w:i w:val="false"/>
          <w:iCs w:val="false"/>
          <w:caps w:val="false"/>
          <w:color w:val="14294A"/>
          <w:sz w:val="30"/>
          <w:szCs w:val="30"/>
        </w:rPr>
        <w:t xml:space="preserve">Appendix A · Technical Implementation Notes</w:t>
      </w:r>
    </w:p>
    <w:p>
      <w:pPr>
        <w:spacing w:after="120" w:before="0" w:line="276"/>
      </w:pPr>
      <w:r>
        <w:rPr>
          <w:rFonts w:ascii="Calibri" w:cs="Calibri" w:eastAsia="Calibri" w:hAnsi="Calibri"/>
          <w:b w:val="false"/>
          <w:bCs w:val="false"/>
          <w:i/>
          <w:iCs/>
          <w:caps w:val="false"/>
          <w:color w:val="5A6B7B"/>
          <w:sz w:val="21"/>
          <w:szCs w:val="21"/>
        </w:rPr>
        <w:t xml:space="preserve">For technical reviewers. Not part of the commercial narrative.</w:t>
      </w:r>
    </w:p>
    <w:p>
      <w:pPr>
        <w:spacing w:after="120" w:before="0" w:line="276"/>
      </w:pPr>
      <w:r>
        <w:rPr>
          <w:rFonts w:ascii="Calibri" w:cs="Calibri" w:eastAsia="Calibri" w:hAnsi="Calibri"/>
          <w:b/>
          <w:bCs/>
          <w:i w:val="false"/>
          <w:iCs w:val="false"/>
          <w:caps w:val="false"/>
          <w:color w:val="14294A"/>
          <w:sz w:val="21"/>
          <w:szCs w:val="21"/>
        </w:rPr>
        <w:t xml:space="preserve">Services. </w:t>
      </w:r>
      <w:r>
        <w:rPr>
          <w:rFonts w:ascii="Calibri" w:cs="Calibri" w:eastAsia="Calibri" w:hAnsi="Calibri"/>
          <w:b w:val="false"/>
          <w:bCs w:val="false"/>
          <w:i w:val="false"/>
          <w:iCs w:val="false"/>
          <w:caps w:val="false"/>
          <w:color w:val="1A2330"/>
          <w:sz w:val="21"/>
          <w:szCs w:val="21"/>
        </w:rPr>
        <w:t xml:space="preserve">Backend: ugence_console_api/ — a FastAPI create_app() factory, separate from the Symbol-U research server, importing each module only through its frozen public API surface. Frontend: apps/console/ — a Vite + React + TypeScript app.</w:t>
      </w:r>
    </w:p>
    <w:p>
      <w:pPr>
        <w:spacing w:after="120" w:before="0" w:line="276"/>
      </w:pPr>
      <w:r>
        <w:rPr>
          <w:rFonts w:ascii="Calibri" w:cs="Calibri" w:eastAsia="Calibri" w:hAnsi="Calibri"/>
          <w:b/>
          <w:bCs/>
          <w:i w:val="false"/>
          <w:iCs w:val="false"/>
          <w:caps w:val="false"/>
          <w:color w:val="14294A"/>
          <w:sz w:val="21"/>
          <w:szCs w:val="21"/>
        </w:rPr>
        <w:t xml:space="preserve">Representative endpoints (Phase 1). </w:t>
      </w:r>
      <w:r>
        <w:rPr>
          <w:rFonts w:ascii="Calibri" w:cs="Calibri" w:eastAsia="Calibri" w:hAnsi="Calibri"/>
          <w:b w:val="false"/>
          <w:bCs w:val="false"/>
          <w:i w:val="false"/>
          <w:iCs w:val="false"/>
          <w:caps w:val="false"/>
          <w:color w:val="1A2330"/>
          <w:sz w:val="21"/>
          <w:szCs w:val="21"/>
        </w:rPr>
        <w:t xml:space="preserve">/health; /v1/modules; /v1/scenarios; /v1/gateway/minimize; /v1/assertions/evaluate; /v1/actions/authorize; /v1/actions/clear; /v1/governed-loop/shadow; /v1/governed-loop/scenario/{id}; /v1/audit/{correlation_id}.</w:t>
      </w:r>
    </w:p>
    <w:p>
      <w:pPr>
        <w:spacing w:after="120" w:before="0" w:line="276"/>
      </w:pPr>
      <w:r>
        <w:rPr>
          <w:rFonts w:ascii="Calibri" w:cs="Calibri" w:eastAsia="Calibri" w:hAnsi="Calibri"/>
          <w:b/>
          <w:bCs/>
          <w:i w:val="false"/>
          <w:iCs w:val="false"/>
          <w:caps w:val="false"/>
          <w:color w:val="14294A"/>
          <w:sz w:val="21"/>
          <w:szCs w:val="21"/>
        </w:rPr>
        <w:t xml:space="preserve">Module adapters (Phase 1). </w:t>
      </w:r>
      <w:r>
        <w:rPr>
          <w:rFonts w:ascii="Calibri" w:cs="Calibri" w:eastAsia="Calibri" w:hAnsi="Calibri"/>
          <w:b w:val="false"/>
          <w:bCs w:val="false"/>
          <w:i w:val="false"/>
          <w:iCs w:val="false"/>
          <w:caps w:val="false"/>
          <w:color w:val="1A2330"/>
          <w:sz w:val="21"/>
          <w:szCs w:val="21"/>
        </w:rPr>
        <w:t xml:space="preserve">Context Minimization via structural compression; Truth Assurance via the real TAP provider; ActionGate via the real engine with a computed CER identity; operational clearance via a deterministic CLEAR/HOLD gate (the digital sibling of the robotics ACP).</w:t>
      </w:r>
    </w:p>
    <w:p>
      <w:pPr>
        <w:spacing w:after="120" w:before="0" w:line="276"/>
      </w:pPr>
      <w:r>
        <w:rPr>
          <w:rFonts w:ascii="Calibri" w:cs="Calibri" w:eastAsia="Calibri" w:hAnsi="Calibri"/>
          <w:b/>
          <w:bCs/>
          <w:i w:val="false"/>
          <w:iCs w:val="false"/>
          <w:caps w:val="false"/>
          <w:color w:val="14294A"/>
          <w:sz w:val="21"/>
          <w:szCs w:val="21"/>
        </w:rPr>
        <w:t xml:space="preserve">Verdict vocabularies (fail-closed). </w:t>
      </w:r>
      <w:r>
        <w:rPr>
          <w:rFonts w:ascii="Calibri" w:cs="Calibri" w:eastAsia="Calibri" w:hAnsi="Calibri"/>
          <w:b w:val="false"/>
          <w:bCs w:val="false"/>
          <w:i w:val="false"/>
          <w:iCs w:val="false"/>
          <w:caps w:val="false"/>
          <w:color w:val="1A2330"/>
          <w:sz w:val="21"/>
          <w:szCs w:val="21"/>
        </w:rPr>
        <w:t xml:space="preserve">ActionGate: AUTHORIZED / AUTHORIZED_WITH_CONSTRAINTS / DENIED / INDETERMINATE / EXPIRED. TAP: SUPPORTED / UNSUPPORTED / CONSTRAINED / INDETERMINATE. Clearance: CLEAR / HOLD.</w:t>
      </w:r>
    </w:p>
    <w:p>
      <w:pPr>
        <w:spacing w:after="120" w:before="0" w:line="276"/>
      </w:pPr>
      <w:r>
        <w:rPr>
          <w:rFonts w:ascii="Calibri" w:cs="Calibri" w:eastAsia="Calibri" w:hAnsi="Calibri"/>
          <w:b/>
          <w:bCs/>
          <w:i w:val="false"/>
          <w:iCs w:val="false"/>
          <w:caps w:val="false"/>
          <w:color w:val="14294A"/>
          <w:sz w:val="21"/>
          <w:szCs w:val="21"/>
        </w:rPr>
        <w:t xml:space="preserve">Detailed contract. </w:t>
      </w:r>
      <w:r>
        <w:rPr>
          <w:rFonts w:ascii="Calibri" w:cs="Calibri" w:eastAsia="Calibri" w:hAnsi="Calibri"/>
          <w:b w:val="false"/>
          <w:bCs w:val="false"/>
          <w:i w:val="false"/>
          <w:iCs w:val="false"/>
          <w:caps w:val="false"/>
          <w:color w:val="1A2330"/>
          <w:sz w:val="21"/>
          <w:szCs w:val="21"/>
        </w:rPr>
        <w:t xml:space="preserve">Field-by-field DTO ↔ module-type mappings, the CER identity computation, and the non-compensatory gate logic are documented in ACP/PHASE1_GOVERNED_LOOP_DTO_CONTRACT.md. Local run instructions are in the service and console READMEs.</w:t>
      </w:r>
    </w:p>
    <w:p>
      <w:pPr>
        <w:spacing w:after="120" w:before="0" w:line="276"/>
      </w:pPr>
      <w:r>
        <w:rPr>
          <w:rFonts w:ascii="Calibri" w:cs="Calibri" w:eastAsia="Calibri" w:hAnsi="Calibri"/>
          <w:b/>
          <w:bCs/>
          <w:i w:val="false"/>
          <w:iCs w:val="false"/>
          <w:caps w:val="false"/>
          <w:color w:val="14294A"/>
          <w:sz w:val="21"/>
          <w:szCs w:val="21"/>
        </w:rPr>
        <w:t xml:space="preserve">Open items requiring founder confirmation. </w:t>
      </w:r>
      <w:r>
        <w:rPr>
          <w:rFonts w:ascii="Calibri" w:cs="Calibri" w:eastAsia="Calibri" w:hAnsi="Calibri"/>
          <w:b w:val="false"/>
          <w:bCs w:val="false"/>
          <w:i w:val="false"/>
          <w:iCs w:val="false"/>
          <w:caps w:val="false"/>
          <w:color w:val="1A2330"/>
          <w:sz w:val="21"/>
          <w:szCs w:val="21"/>
        </w:rPr>
        <w:t xml:space="preserve">Choice of the second runtime connector (LangGraph vs. OpenAI Agents); durable-audit backing store; and the exact v1 identity-provider integration. CI test counts and build status are TO VERIFY FROM REPOSITORY.</w:t>
      </w:r>
    </w:p>
    <w:sectPr>
      <w:headerReference w:type="default" r:id="rId7"/>
      <w:headerReference w:type="first" r:id="rId8"/>
      <w:footerReference w:type="default" r:id="rId9"/>
      <w:footerReference w:type="first" r:id="rId10"/>
      <w:pgSz w:w="12240" w:h="15840" w:orient="portrait"/>
      <w:pgMar w:top="1440" w:right="1080" w:bottom="1440" w:left="1080" w:header="72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3E2" w:sz="6" w:space="3"/>
      </w:pBdr>
      <w:tabs>
        <w:tab w:val="right" w:pos="10080"/>
      </w:tabs>
    </w:pPr>
    <w:r>
      <w:rPr>
        <w:rFonts w:ascii="Calibri" w:cs="Calibri" w:eastAsia="Calibri" w:hAnsi="Calibri"/>
        <w:color w:val="5A6B7B"/>
        <w:sz w:val="15"/>
        <w:szCs w:val="15"/>
      </w:rPr>
      <w:t xml:space="preserve">Ugence AI Control Plane — Productization &amp; Unified Console Plan</w:t>
    </w:r>
    <w:r>
      <w:rPr>
        <w:rFonts w:ascii="Calibri" w:cs="Calibri" w:eastAsia="Calibri" w:hAnsi="Calibri"/>
        <w:color w:val="5A6B7B"/>
        <w:sz w:val="15"/>
        <w:szCs w:val="15"/>
      </w:rPr>
      <w:t xml:space="preserve">	Page </w:t>
    </w:r>
    <w:r>
      <w:rPr>
        <w:rFonts w:ascii="Calibri" w:cs="Calibri" w:eastAsia="Calibri" w:hAnsi="Calibri"/>
        <w:color w:val="5A6B7B"/>
        <w:sz w:val="15"/>
        <w:szCs w:val="15"/>
      </w:rPr>
      <w:fldChar w:fldCharType="begin"/>
      <w:instrText xml:space="preserve">PAGE</w:instrText>
      <w:fldChar w:fldCharType="separate"/>
      <w:fldChar w:fldCharType="end"/>
    </w:r>
  </w:p>
  <w:p>
    <w:pPr>
      <w:spacing w:before="20"/>
      <w:jc w:val="center"/>
    </w:pPr>
    <w:r>
      <w:rPr>
        <w:rFonts w:ascii="Calibri" w:cs="Calibri" w:eastAsia="Calibri" w:hAnsi="Calibri"/>
        <w:i/>
        <w:iCs/>
        <w:color w:val="5A6B7B"/>
        <w:sz w:val="14"/>
        <w:szCs w:val="14"/>
      </w:rPr>
      <w:t xml:space="preserve">Confidential — shared for investor and design-partner evaluation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3E2" w:sz="6" w:space="3"/>
      </w:pBdr>
      <w:tabs>
        <w:tab w:val="right" w:pos="10080"/>
      </w:tabs>
    </w:pPr>
    <w:r>
      <w:rPr>
        <w:rFonts w:ascii="Calibri" w:cs="Calibri" w:eastAsia="Calibri" w:hAnsi="Calibri"/>
        <w:b/>
        <w:bCs/>
        <w:color w:val="14294A"/>
        <w:sz w:val="16"/>
        <w:szCs w:val="16"/>
      </w:rPr>
      <w:t xml:space="preserve">	Ugence Labs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Ugence AI Control Plane — Productization and Unified Console Plan</dc:title>
  <dc:creator>Ugence Labs</dc:creator>
  <cp:lastModifiedBy>Un-named</cp:lastModifiedBy>
  <cp:revision>1</cp:revision>
  <dcterms:created xsi:type="dcterms:W3CDTF">2026-07-30T13:24:26.123Z</dcterms:created>
  <dcterms:modified xsi:type="dcterms:W3CDTF">2026-07-30T13:24:26.124Z</dcterms:modified>
</cp:coreProperties>
</file>

<file path=docProps/custom.xml><?xml version="1.0" encoding="utf-8"?>
<Properties xmlns="http://schemas.openxmlformats.org/officeDocument/2006/custom-properties" xmlns:vt="http://schemas.openxmlformats.org/officeDocument/2006/docPropsVTypes"/>
</file>