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abstract"/>
    <w:p>
      <w:pPr>
        <w:pStyle w:val="Heading1"/>
      </w:pPr>
      <w:r>
        <w:t xml:space="preserve">Abstract</w:t>
      </w:r>
    </w:p>
    <w:p>
      <w:pPr>
        <w:pStyle w:val="FirstParagraph"/>
      </w:pPr>
      <w:r>
        <w:rPr>
          <w:b/>
          <w:bCs/>
        </w:rPr>
        <w:t xml:space="preserve">Topic:</w:t>
      </w:r>
      <w:r>
        <w:t xml:space="preserve"> </w:t>
      </w:r>
      <w:r>
        <w:t xml:space="preserve">Tree Detection for Astana — Deep Learning for Urban Green Space Mapping.</w:t>
      </w:r>
    </w:p>
    <w:p>
      <w:pPr>
        <w:pStyle w:val="BodyText"/>
      </w:pPr>
      <w:r>
        <w:rPr>
          <w:b/>
          <w:bCs/>
        </w:rPr>
        <w:t xml:space="preserve">Authors:</w:t>
      </w:r>
      <w:r>
        <w:t xml:space="preserve"> </w:t>
      </w:r>
      <w:r>
        <w:t xml:space="preserve">Anuar Totin, Rasul Aidarkhanov, Berik Sharipov. Educational program: 6B06103 — Information Technologies (IT-2304).</w:t>
      </w:r>
    </w:p>
    <w:p>
      <w:pPr>
        <w:pStyle w:val="BodyText"/>
      </w:pPr>
      <w:r>
        <w:rPr>
          <w:b/>
          <w:bCs/>
        </w:rPr>
        <w:t xml:space="preserve">Relevance.</w:t>
      </w:r>
      <w:r>
        <w:t xml:space="preserve"> </w:t>
      </w:r>
      <w:r>
        <w:t xml:space="preserve">Urban tree inventories are a basic input to municipal planning, environmental monitoring and climate-adaptation processes, but the manual field surveys that have historically supplied them are slow, expensive and quickly obsolete for a city of Astana’s size. Modern deep-learning models for object detection and instance segmentation now operate on freely available satellite imagery at the per-tree level, opening a route to an automated alternative — but the published literature does not yet contain a single evaluation of these models on Central-Asian imagery.</w:t>
      </w:r>
    </w:p>
    <w:p>
      <w:pPr>
        <w:pStyle w:val="BodyText"/>
      </w:pPr>
      <w:r>
        <w:rPr>
          <w:b/>
          <w:bCs/>
        </w:rPr>
        <w:t xml:space="preserve">Aim.</w:t>
      </w:r>
      <w:r>
        <w:t xml:space="preserve"> </w:t>
      </w:r>
      <w:r>
        <w:t xml:space="preserve">To design, implement and evaluate an end-to-end software system that, given a satellite image of an area of Astana as input, automatically produces an inventory of the trees present in that area with per-tree polygon mask, confidence score and geographic coordinates.</w:t>
      </w:r>
    </w:p>
    <w:p>
      <w:pPr>
        <w:pStyle w:val="BodyText"/>
      </w:pPr>
      <w:r>
        <w:rPr>
          <w:b/>
          <w:bCs/>
        </w:rPr>
        <w:t xml:space="preserve">Object of research:</w:t>
      </w:r>
      <w:r>
        <w:t xml:space="preserve"> </w:t>
      </w:r>
      <w:r>
        <w:t xml:space="preserve">the urban green space of Astana, namely the population of individual trees observable from above in the visible spectrum.</w:t>
      </w:r>
      <w:r>
        <w:t xml:space="preserve"> </w:t>
      </w:r>
      <w:r>
        <w:rPr>
          <w:b/>
          <w:bCs/>
        </w:rPr>
        <w:t xml:space="preserve">Subject of research:</w:t>
      </w:r>
      <w:r>
        <w:t xml:space="preserve"> </w:t>
      </w:r>
      <w:r>
        <w:t xml:space="preserve">deep-learning models and software components for the detection, segmentation, geographic conversion and export of these trees from satellite imagery.</w:t>
      </w:r>
    </w:p>
    <w:p>
      <w:pPr>
        <w:pStyle w:val="BodyText"/>
      </w:pPr>
      <w:r>
        <w:rPr>
          <w:b/>
          <w:bCs/>
        </w:rPr>
        <w:t xml:space="preserve">Scientific novelty.</w:t>
      </w:r>
      <w:r>
        <w:t xml:space="preserve"> </w:t>
      </w:r>
      <w:r>
        <w:t xml:space="preserve">This is the first published evaluation of state-of-the-art deep-learning tree-detection models on Astana satellite imagery. The work proposes a three-model architecture combining YOLOv8 instance segmentation, fine-tuned DeepForest bounding-box detection and zero-shot Segment-Anything-Model mask refinement, combined through a Weighted-Box-Fusion ensemble. A custom-annotated Astana dataset of ≈ 77 source images and ≈ 8 000 polygon-level annotations has been built and is reusable for future regional research.</w:t>
      </w:r>
    </w:p>
    <w:p>
      <w:pPr>
        <w:pStyle w:val="BodyText"/>
      </w:pPr>
      <w:r>
        <w:rPr>
          <w:b/>
          <w:bCs/>
        </w:rPr>
        <w:t xml:space="preserve">Methods.</w:t>
      </w:r>
      <w:r>
        <w:t xml:space="preserve"> </w:t>
      </w:r>
      <w:r>
        <w:t xml:space="preserve">Literature analysis of 31 peer-reviewed publications of 2019 – 2025; deep-learning training and fine-tuning in PyTorch / Ultralytics / DeepForest / SAM; dataset engineering in CVAT with a model-in-the-loop pre-labelling tool; quantitative evaluation through standard object-detection metrics (Box mAP@50, mAP@50-95, mask AP, precision, recall) and qualitative inspection on representative Astana scenes.</w:t>
      </w:r>
    </w:p>
    <w:p>
      <w:pPr>
        <w:pStyle w:val="BodyText"/>
      </w:pPr>
      <w:r>
        <w:rPr>
          <w:b/>
          <w:bCs/>
        </w:rPr>
        <w:t xml:space="preserve">Structure.</w:t>
      </w:r>
      <w:r>
        <w:t xml:space="preserve"> </w:t>
      </w:r>
      <w:r>
        <w:t xml:space="preserve">The diploma project consists of three chapters across approximately 45 pages and contains 9 tables and 35 cited sources. Chapter 1 analyses the subject area, surveys the deep-learning state of the art and formulates the precise problem statement. Chapter 2 describes the proposed methodology — the three model branches, the data-preparation pipeline, the ensemble and the geographic conversion. Chapter 3 reports the experimental results: three YOLOv8x-seg checkpoints were trained on successive iterations of the Astana dataset (v1, v2-fromscratch, v2-finetune) and evaluated head-to-head on a common validation set; the best configuration — v2-finetune, which continues training from the v1 checkpoint on the new images only — reaches Box mAP@50 =</w:t>
      </w:r>
      <w:r>
        <w:t xml:space="preserve"> </w:t>
      </w:r>
      <w:r>
        <w:rPr>
          <w:b/>
          <w:bCs/>
        </w:rPr>
        <w:t xml:space="preserve">0.372</w:t>
      </w:r>
      <w:r>
        <w:t xml:space="preserve"> </w:t>
      </w:r>
      <w:r>
        <w:t xml:space="preserve">and Mask mAP@50 =</w:t>
      </w:r>
      <w:r>
        <w:t xml:space="preserve"> </w:t>
      </w:r>
      <w:r>
        <w:rPr>
          <w:b/>
          <w:bCs/>
        </w:rPr>
        <w:t xml:space="preserve">0.331</w:t>
      </w:r>
      <w:r>
        <w:t xml:space="preserve">, a 40 % relative improvement over the v1 baseline (0.265 / 0.240) on the same data; the fine-tuned DeepForest detector, trained on a separate auxiliary annotation set, reaches precision ≈ 0.80 and recall ≈ 0.65; the integrated pipeline processes a 1 km × 1 km capture at zoom 18 in approximately 18 seconds on a single laptop GPU.</w:t>
      </w:r>
    </w:p>
    <w:p>
      <w:pPr>
        <w:pStyle w:val="BodyText"/>
      </w:pPr>
      <w:r>
        <w:rPr>
          <w:b/>
          <w:bCs/>
        </w:rPr>
        <w:t xml:space="preserve">Practical result.</w:t>
      </w:r>
      <w:r>
        <w:t xml:space="preserve"> </w:t>
      </w:r>
      <w:r>
        <w:t xml:space="preserve">A deployable prototype — FastAPI backend with a pluggable model-adapter interface, React 18 + Leaflet frontend, four-mode geographic conversion, in-browser ESRI tile capture and three exporters (GeoJSON, CSV, standalone HTML) — that delivers an Astana tree inventory in a single click and serves as a reusable template for any other Central-Asian city. The system meets all functional requirements set by</w:t>
      </w:r>
      <w:r>
        <w:t xml:space="preserve"> </w:t>
      </w:r>
      <w:r>
        <w:rPr>
          <w:i/>
          <w:iCs/>
        </w:rPr>
        <w:t xml:space="preserve">Zelenstroy</w:t>
      </w:r>
      <w:r>
        <w:t xml:space="preserve"> </w:t>
      </w:r>
      <w:r>
        <w:t xml:space="preserve">and establishes the empirical baseline against which any future model for the region will be compared.</w:t>
      </w:r>
    </w:p>
    <w:bookmarkEnd w:id="18"/>
    <w:bookmarkStart w:id="19" w:name="аннотация"/>
    <w:p>
      <w:pPr>
        <w:pStyle w:val="Heading1"/>
      </w:pPr>
      <w:r>
        <w:t xml:space="preserve">Аннотация</w:t>
      </w:r>
    </w:p>
    <w:p>
      <w:pPr>
        <w:pStyle w:val="FirstParagraph"/>
      </w:pPr>
      <w:r>
        <w:rPr>
          <w:b/>
          <w:bCs/>
        </w:rPr>
        <w:t xml:space="preserve">Тема:</w:t>
      </w:r>
      <w:r>
        <w:t xml:space="preserve"> </w:t>
      </w:r>
      <w:r>
        <w:t xml:space="preserve">Обнаружение деревьев в городе Астана — глубокое обучение для картирования городских зелёных насаждений.</w:t>
      </w:r>
    </w:p>
    <w:p>
      <w:pPr>
        <w:pStyle w:val="BodyText"/>
      </w:pPr>
      <w:r>
        <w:rPr>
          <w:b/>
          <w:bCs/>
        </w:rPr>
        <w:t xml:space="preserve">Авторы:</w:t>
      </w:r>
      <w:r>
        <w:t xml:space="preserve"> </w:t>
      </w:r>
      <w:r>
        <w:t xml:space="preserve">Тотин Ануар, Айдарханов Расул, Шарипов Берик. Образовательная программа: 6B06103 — Информационные технологии (IT-2304).</w:t>
      </w:r>
    </w:p>
    <w:p>
      <w:pPr>
        <w:pStyle w:val="BodyText"/>
      </w:pPr>
      <w:r>
        <w:rPr>
          <w:b/>
          <w:bCs/>
        </w:rPr>
        <w:t xml:space="preserve">Актуальность темы</w:t>
      </w:r>
      <w:r>
        <w:t xml:space="preserve"> </w:t>
      </w:r>
      <w:r>
        <w:t xml:space="preserve">дипломного проекта обусловлена потребностью городских служб Астаны (в первую очередь</w:t>
      </w:r>
      <w:r>
        <w:t xml:space="preserve"> </w:t>
      </w:r>
      <w:r>
        <w:rPr>
          <w:i/>
          <w:iCs/>
        </w:rPr>
        <w:t xml:space="preserve">Зеленстрой</w:t>
      </w:r>
      <w:r>
        <w:t xml:space="preserve">) в быстром, повторяемом и недорогом способе получения инвентаризации городских деревьев — задачи, которая исторически решалась только трудоёмкими ручными полевыми обследованиями. Современные модели глубокого обучения позволяют автоматизировать эту задачу по бесплатно доступным спутниковым снимкам, однако ни одно опубликованное исследование к настоящему времени не оценивало эти модели на снимках центральноазиатских городов.</w:t>
      </w:r>
    </w:p>
    <w:p>
      <w:pPr>
        <w:pStyle w:val="BodyText"/>
      </w:pPr>
      <w:r>
        <w:rPr>
          <w:b/>
          <w:bCs/>
        </w:rPr>
        <w:t xml:space="preserve">Цель работы</w:t>
      </w:r>
      <w:r>
        <w:t xml:space="preserve"> </w:t>
      </w:r>
      <w:r>
        <w:t xml:space="preserve">— разработать программную систему, которая по спутниковому снимку любого района Астаны автоматически выдаёт инвентаризацию деревьев с полигональной маской кроны, уверенностью и географическими координатами для каждого дерева.</w:t>
      </w:r>
    </w:p>
    <w:p>
      <w:pPr>
        <w:pStyle w:val="BodyText"/>
      </w:pPr>
      <w:r>
        <w:rPr>
          <w:b/>
          <w:bCs/>
        </w:rPr>
        <w:t xml:space="preserve">Объект исследования</w:t>
      </w:r>
      <w:r>
        <w:t xml:space="preserve"> </w:t>
      </w:r>
      <w:r>
        <w:t xml:space="preserve">— городские зелёные насаждения Астаны, а именно совокупность отдельных деревьев, видимых сверху в видимом спектре.</w:t>
      </w:r>
      <w:r>
        <w:t xml:space="preserve"> </w:t>
      </w:r>
      <w:r>
        <w:rPr>
          <w:b/>
          <w:bCs/>
        </w:rPr>
        <w:t xml:space="preserve">Предмет исследования</w:t>
      </w:r>
      <w:r>
        <w:t xml:space="preserve"> </w:t>
      </w:r>
      <w:r>
        <w:t xml:space="preserve">— модели глубокого обучения и программные компоненты для их детектирования, сегментации, геокодирования и экспорта.</w:t>
      </w:r>
    </w:p>
    <w:p>
      <w:pPr>
        <w:pStyle w:val="BodyText"/>
      </w:pPr>
      <w:r>
        <w:rPr>
          <w:b/>
          <w:bCs/>
        </w:rPr>
        <w:t xml:space="preserve">Научная новизна.</w:t>
      </w:r>
      <w:r>
        <w:t xml:space="preserve"> </w:t>
      </w:r>
      <w:r>
        <w:t xml:space="preserve">Впервые опубликованы количественные оценки современных моделей обнаружения деревьев на спутниковых снимках Астаны. Предложена трёхмодельная архитектура (YOLOv8 для instance segmentation, DeepForest дообученный для bounding-box детектирования, SAM как zero-shot mask refinement над DeepForest), объединённая через Weighted Box Fusion. Создан собственный размеченный датасет Астаны (≈ 77 изображений / ≈ 8 000 полигональных аннотаций).</w:t>
      </w:r>
    </w:p>
    <w:p>
      <w:pPr>
        <w:pStyle w:val="BodyText"/>
      </w:pPr>
      <w:r>
        <w:rPr>
          <w:b/>
          <w:bCs/>
        </w:rPr>
        <w:t xml:space="preserve">Методы</w:t>
      </w:r>
      <w:r>
        <w:t xml:space="preserve"> </w:t>
      </w:r>
      <w:r>
        <w:t xml:space="preserve">— анализ 31 публикации 2019–2025 годов, обучение моделей в PyTorch / Ultralytics / DeepForest / SAM, инжиниринг данных в CVAT с дообучением через model-in-the-loop, количественная оценка через mAP / precision / recall и качественный анализ на тестовых сценах Астаны.</w:t>
      </w:r>
    </w:p>
    <w:p>
      <w:pPr>
        <w:pStyle w:val="BodyText"/>
      </w:pPr>
      <w:r>
        <w:rPr>
          <w:b/>
          <w:bCs/>
        </w:rPr>
        <w:t xml:space="preserve">Структура.</w:t>
      </w:r>
      <w:r>
        <w:t xml:space="preserve"> </w:t>
      </w:r>
      <w:r>
        <w:t xml:space="preserve">Дипломный проект состоит из трёх глав, занимает приблизительно 45 страниц и включает 9 таблиц и 35 источников. В первой главе проведён анализ предметной области, обзор литературы и сформулирована постановка задачи. Во второй главе описана предложенная методология: три ветви моделей, конвейер подготовки данных, ансамбль и географическое преобразование. В третьей главе приведены результаты экспериментов: обучены три чекпойнта YOLOv8x-seg (v1, v2-fromscratch, v2-finetune) и проведено их сравнение «голова-в-голову» на общем валидационном наборе; лучшая конфигурация — v2-finetune, дообучение от v1 только на новых снимках — достигает Box mAP@50 =</w:t>
      </w:r>
      <w:r>
        <w:t xml:space="preserve"> </w:t>
      </w:r>
      <w:r>
        <w:rPr>
          <w:b/>
          <w:bCs/>
        </w:rPr>
        <w:t xml:space="preserve">0,372</w:t>
      </w:r>
      <w:r>
        <w:t xml:space="preserve"> </w:t>
      </w:r>
      <w:r>
        <w:t xml:space="preserve">и Mask mAP@50 =</w:t>
      </w:r>
      <w:r>
        <w:t xml:space="preserve"> </w:t>
      </w:r>
      <w:r>
        <w:rPr>
          <w:b/>
          <w:bCs/>
        </w:rPr>
        <w:t xml:space="preserve">0,331</w:t>
      </w:r>
      <w:r>
        <w:t xml:space="preserve">, на 40 % относительно лучше v1 (0,265 / 0,240) на тех же данных; дообученный DeepForest (на отдельном вспомогательном наборе аннотаций) показывает precision ≈ 0,80, recall ≈ 0,65; интегрированный конвейер обрабатывает захват 1 км × 1 км на zoom 18 за ≈ 18 секунд на одной RTX 4060.</w:t>
      </w:r>
    </w:p>
    <w:p>
      <w:pPr>
        <w:pStyle w:val="BodyText"/>
      </w:pPr>
      <w:r>
        <w:rPr>
          <w:b/>
          <w:bCs/>
        </w:rPr>
        <w:t xml:space="preserve">Практический результат</w:t>
      </w:r>
      <w:r>
        <w:t xml:space="preserve"> </w:t>
      </w:r>
      <w:r>
        <w:t xml:space="preserve">— развёрнутый прототип (FastAPI backend, React + Leaflet frontend, четыре режима геопривязки, захват плиток ESRI прямо из браузера и три формата экспорта — GeoJSON, CSV, автономный HTML), который выдаёт инвентаризацию деревьев Астаны одним кликом и служит переиспользуемым шаблоном для любого другого города региона.</w:t>
      </w:r>
    </w:p>
    <w:bookmarkEnd w:id="19"/>
    <w:bookmarkStart w:id="20" w:name="аңдатпа"/>
    <w:p>
      <w:pPr>
        <w:pStyle w:val="Heading1"/>
      </w:pPr>
      <w:r>
        <w:t xml:space="preserve">Аңдатпа</w:t>
      </w:r>
    </w:p>
    <w:p>
      <w:pPr>
        <w:pStyle w:val="FirstParagraph"/>
      </w:pPr>
      <w:r>
        <w:rPr>
          <w:b/>
          <w:bCs/>
        </w:rPr>
        <w:t xml:space="preserve">Тақырып:</w:t>
      </w:r>
      <w:r>
        <w:t xml:space="preserve"> </w:t>
      </w:r>
      <w:r>
        <w:t xml:space="preserve">Астана қаласындағы ағаштарды анықтау — қалалық жасыл аумақтарды картаға түсіруге арналған терең оқыту.</w:t>
      </w:r>
    </w:p>
    <w:p>
      <w:pPr>
        <w:pStyle w:val="BodyText"/>
      </w:pPr>
      <w:r>
        <w:rPr>
          <w:b/>
          <w:bCs/>
        </w:rPr>
        <w:t xml:space="preserve">Авторлар:</w:t>
      </w:r>
      <w:r>
        <w:t xml:space="preserve"> </w:t>
      </w:r>
      <w:r>
        <w:t xml:space="preserve">Тотин Ануар, Айдарханов Расул, Шарипов Берик. Білім беру бағдарламасы: 6B06103 — Ақпараттық технологиялар (IT-2304).</w:t>
      </w:r>
    </w:p>
    <w:p>
      <w:pPr>
        <w:pStyle w:val="BodyText"/>
      </w:pPr>
      <w:r>
        <w:rPr>
          <w:b/>
          <w:bCs/>
        </w:rPr>
        <w:t xml:space="preserve">Дипломдық жобаның өзектілігі</w:t>
      </w:r>
      <w:r>
        <w:t xml:space="preserve"> </w:t>
      </w:r>
      <w:r>
        <w:t xml:space="preserve">Астана қаласының қалалық қызметтерінің (бірінші кезекте</w:t>
      </w:r>
      <w:r>
        <w:t xml:space="preserve"> </w:t>
      </w:r>
      <w:r>
        <w:rPr>
          <w:i/>
          <w:iCs/>
        </w:rPr>
        <w:t xml:space="preserve">Зеленстрой</w:t>
      </w:r>
      <w:r>
        <w:t xml:space="preserve">) қалалық ағаштардың түгендеуін жылдам, қайталанатын және арзан түрде алу қажеттілігінен туындайды. Бұл мәселе тарихи түрде тек қолмен жасалатын далалық зерттеулер арқылы шешілді. Қазіргі заманғы терең оқыту модельдері тегін қол жетімді спутниктік суреттерден осы тапсырманы автоматтандыруға мүмкіндік береді, бірақ Орталық Азия қалаларының суреттеріне арналған бірде-бір жарияланған зерттеу жоқ.</w:t>
      </w:r>
    </w:p>
    <w:p>
      <w:pPr>
        <w:pStyle w:val="BodyText"/>
      </w:pPr>
      <w:r>
        <w:rPr>
          <w:b/>
          <w:bCs/>
        </w:rPr>
        <w:t xml:space="preserve">Зерттеудің мақсаты</w:t>
      </w:r>
      <w:r>
        <w:t xml:space="preserve"> </w:t>
      </w:r>
      <w:r>
        <w:t xml:space="preserve">— Астананың кез келген аумағының спутниктік суреті бойынша әр ағаштың полигондық масштабы, сенімділігі және географиялық координаталарымен бірге автоматты түрде түгендеу шығаратын бағдарламалық жасақтаманы әзірлеу.</w:t>
      </w:r>
    </w:p>
    <w:p>
      <w:pPr>
        <w:pStyle w:val="BodyText"/>
      </w:pPr>
      <w:r>
        <w:rPr>
          <w:b/>
          <w:bCs/>
        </w:rPr>
        <w:t xml:space="preserve">Зерттеудің нысаны</w:t>
      </w:r>
      <w:r>
        <w:t xml:space="preserve"> </w:t>
      </w:r>
      <w:r>
        <w:t xml:space="preserve">— Астана қаласының жасыл аумақтары, атап айтқанда жоғарыдан көрінетін жеке ағаштар жиынтығы.</w:t>
      </w:r>
      <w:r>
        <w:t xml:space="preserve"> </w:t>
      </w:r>
      <w:r>
        <w:rPr>
          <w:b/>
          <w:bCs/>
        </w:rPr>
        <w:t xml:space="preserve">Зерттеудің пәні</w:t>
      </w:r>
      <w:r>
        <w:t xml:space="preserve"> </w:t>
      </w:r>
      <w:r>
        <w:t xml:space="preserve">— оларды анықтауға, сегментациялауға, геокодтауға және экспорттауға арналған терең оқыту модельдері мен бағдарламалық компоненттер.</w:t>
      </w:r>
    </w:p>
    <w:p>
      <w:pPr>
        <w:pStyle w:val="BodyText"/>
      </w:pPr>
      <w:r>
        <w:rPr>
          <w:b/>
          <w:bCs/>
        </w:rPr>
        <w:t xml:space="preserve">Ғылыми жаңалығы.</w:t>
      </w:r>
      <w:r>
        <w:t xml:space="preserve"> </w:t>
      </w:r>
      <w:r>
        <w:t xml:space="preserve">Астана спутниктік суреттерінде заманауи терең оқыту модельдерінің сандық бағалаулары алғаш рет жарияланды. Үш модельді архитектура ұсынылды (YOLOv8 — даналық сегментация үшін, дайын DeepForest — шектеу шеңберлерін анықтау үшін, SAM — DeepForest үстіндегі zero-shot маскалау үшін), Weighted Box Fusion арқылы біріктірілген. Астанаға арналған меншікті аннотацияланған деректер жиынтығы құрылды (≈ 77 сурет / ≈ 8 000 полигондық аннотация).</w:t>
      </w:r>
    </w:p>
    <w:p>
      <w:pPr>
        <w:pStyle w:val="BodyText"/>
      </w:pPr>
      <w:r>
        <w:rPr>
          <w:b/>
          <w:bCs/>
        </w:rPr>
        <w:t xml:space="preserve">Әдістер</w:t>
      </w:r>
      <w:r>
        <w:t xml:space="preserve"> </w:t>
      </w:r>
      <w:r>
        <w:t xml:space="preserve">— 2019–2025 жылдардағы 31 ғылыми жұмысты талдау; PyTorch / Ultralytics / DeepForest / SAM арқылы модельдерді оқыту; CVAT-та деректерді инжинирингтеу; mAP / precision / recall арқылы сандық бағалау және Астана көріністеріндегі сапалық талдау.</w:t>
      </w:r>
    </w:p>
    <w:p>
      <w:pPr>
        <w:pStyle w:val="BodyText"/>
      </w:pPr>
      <w:r>
        <w:rPr>
          <w:b/>
          <w:bCs/>
        </w:rPr>
        <w:t xml:space="preserve">Құрылымы.</w:t>
      </w:r>
      <w:r>
        <w:t xml:space="preserve"> </w:t>
      </w:r>
      <w:r>
        <w:t xml:space="preserve">Дипломдық жоба үш тараудан тұрады, шамамен 45 бет көлемінде, 9 кесте және 35 дереккөзден тұрады. Бірінші тарауда пәндік сала талданып, әдебиетке шолу жасалып, тапсырманың қойылымы тұжырымдалған. Екінші тарауда ұсынылған әдіснама — үш модель тармағы, деректерді дайындау конвейері, ансамбль және географиялық түрлендіру — сипатталған. Үшінші тарауда эксперимент нәтижелері берілген: YOLOv8x-seg моделінің үш чекпойнты (v1, v2-fromscratch, v2-finetune) дайындалып, ортақ валидация жиынында «бетпе-бет» салыстырылды; ең үздік конфигурация — v2-finetune, тек жаңа суреттер бойынша v1-ден жалғастырылған оқыту — Box mAP@50 =</w:t>
      </w:r>
      <w:r>
        <w:t xml:space="preserve"> </w:t>
      </w:r>
      <w:r>
        <w:rPr>
          <w:b/>
          <w:bCs/>
        </w:rPr>
        <w:t xml:space="preserve">0,372</w:t>
      </w:r>
      <w:r>
        <w:t xml:space="preserve"> </w:t>
      </w:r>
      <w:r>
        <w:t xml:space="preserve">және Mask mAP@50 =</w:t>
      </w:r>
      <w:r>
        <w:t xml:space="preserve"> </w:t>
      </w:r>
      <w:r>
        <w:rPr>
          <w:b/>
          <w:bCs/>
        </w:rPr>
        <w:t xml:space="preserve">0,331</w:t>
      </w:r>
      <w:r>
        <w:t xml:space="preserve"> </w:t>
      </w:r>
      <w:r>
        <w:t xml:space="preserve">көрсетеді, бұл сол деректер бойынша v1 (0,265 / 0,240) моделінен 40 %-ға жақсырақ; жеке көмекші жинақта дайын DeepForest precision ≈ 0,80, recall ≈ 0,65 береді; біріктірілген конвейер 1 км × 1 км zoom 18 аумағын бір RTX 4060 видеокартасында ≈ 18 секундта өңдейді.</w:t>
      </w:r>
    </w:p>
    <w:p>
      <w:pPr>
        <w:pStyle w:val="BodyText"/>
      </w:pPr>
      <w:r>
        <w:rPr>
          <w:b/>
          <w:bCs/>
        </w:rPr>
        <w:t xml:space="preserve">Тәжірибелік нәтиже</w:t>
      </w:r>
      <w:r>
        <w:t xml:space="preserve"> </w:t>
      </w:r>
      <w:r>
        <w:t xml:space="preserve">— орналастырылған прототип (FastAPI backend, React + Leaflet frontend, географиялық байланыстырудың төрт режимі, браузерден тікелей ESRI плиткаларын алу және үш экспорт пішімі — GeoJSON, CSV, дербес HTML), ол Астана ағаштарының түгендеуін бір рет шерту арқылы шығарады және аймақтағы кез келген басқа қала үшін қайта пайдалануға болатын үлгі ретінде қызмет етеді.</w:t>
      </w:r>
    </w:p>
    <w:bookmarkEnd w:id="20"/>
    <w:bookmarkStart w:id="28" w:name="introduction"/>
    <w:p>
      <w:pPr>
        <w:pStyle w:val="Heading1"/>
      </w:pPr>
      <w:r>
        <w:t xml:space="preserve">Introduction</w:t>
      </w:r>
    </w:p>
    <w:bookmarkStart w:id="21" w:name="relevance-of-the-topic"/>
    <w:p>
      <w:pPr>
        <w:pStyle w:val="Heading2"/>
      </w:pPr>
      <w:r>
        <w:t xml:space="preserve">Relevance of the topic</w:t>
      </w:r>
    </w:p>
    <w:p>
      <w:pPr>
        <w:pStyle w:val="FirstParagraph"/>
      </w:pPr>
      <w:r>
        <w:t xml:space="preserve">Urban green space — and particularly the urban tree canopy — is a critical asset for any modern city. Trees moderate microclimate, sequester carbon, mitigate the urban heat island effect, improve air quality and contribute to the psychological well-being of residents. For Astana, a city located in a continental steppe climate with extreme winter and summer temperatures, the value of every tree is amplified: the municipal</w:t>
      </w:r>
      <w:r>
        <w:t xml:space="preserve"> </w:t>
      </w:r>
      <w:r>
        <w:rPr>
          <w:i/>
          <w:iCs/>
        </w:rPr>
        <w:t xml:space="preserve">Zelenstroy</w:t>
      </w:r>
      <w:r>
        <w:t xml:space="preserve"> </w:t>
      </w:r>
      <w:r>
        <w:t xml:space="preserve">service is responsible for the inventory, planting and maintenance of every street tree, park area and protective forest belt around the capital.</w:t>
      </w:r>
    </w:p>
    <w:p>
      <w:pPr>
        <w:pStyle w:val="BodyText"/>
      </w:pPr>
      <w:r>
        <w:t xml:space="preserve">The fundamental input required by any urban-forestry decision — where to plant, where to remove diseased specimens, how to compute green-coverage indicators for new districts — is an accurate, up-to-date inventory of existing trees. The traditional method of obtaining this inventory is a manual field survey: a specialist physically walks each district and records every tree by hand or with a hand-held GPS device. For a city of Astana’s size and pace of growth this approach is intractable. Comparable surveys for cities of similar size are reported to take from one to three years to complete and require substantial labour resources [6]. By the time a manually-collected inventory is finished, large portions of it are already outdated because of new construction, urban renewal projects and the natural turnover of green plantings.</w:t>
      </w:r>
    </w:p>
    <w:p>
      <w:pPr>
        <w:pStyle w:val="BodyText"/>
      </w:pPr>
      <w:r>
        <w:t xml:space="preserve">At the same time, high-resolution satellite and aerial imagery covering Astana is freely or inexpensively available from sources such as Google Earth, ESRI World Imagery, the European Sentinel-2 mission and commercial vendors. In the last six years deep-learning-based object detection and instance segmentation have reached a level of maturity that allows the automatic localisation of individual tree crowns directly from such imagery, in a fraction of the time and cost of any manual survey [1, 2, 8].</w:t>
      </w:r>
    </w:p>
    <w:p>
      <w:pPr>
        <w:pStyle w:val="BodyText"/>
      </w:pPr>
      <w:r>
        <w:t xml:space="preserve">The relevance of this diploma project therefore stems from two converging factors:</w:t>
      </w:r>
    </w:p>
    <w:p>
      <w:pPr>
        <w:pStyle w:val="Compact"/>
        <w:numPr>
          <w:ilvl w:val="0"/>
          <w:numId w:val="1001"/>
        </w:numPr>
      </w:pPr>
      <w:r>
        <w:t xml:space="preserve">The practical need of</w:t>
      </w:r>
      <w:r>
        <w:t xml:space="preserve"> </w:t>
      </w:r>
      <w:r>
        <w:rPr>
          <w:i/>
          <w:iCs/>
        </w:rPr>
        <w:t xml:space="preserve">Zelenstroy</w:t>
      </w:r>
      <w:r>
        <w:t xml:space="preserve"> </w:t>
      </w:r>
      <w:r>
        <w:t xml:space="preserve">and other municipal services for a fast, repeatable and inexpensive way to obtain an inventory of Astana’s urban trees.</w:t>
      </w:r>
    </w:p>
    <w:p>
      <w:pPr>
        <w:pStyle w:val="Compact"/>
        <w:numPr>
          <w:ilvl w:val="0"/>
          <w:numId w:val="1001"/>
        </w:numPr>
      </w:pPr>
      <w:r>
        <w:t xml:space="preserve">The fact that modern deep-learning methods — when properly adapted to the specific geographic, climatic and architectural context of a Central-Asian city — are capable of producing such an inventory automatically from satellite imagery.</w:t>
      </w:r>
    </w:p>
    <w:p>
      <w:pPr>
        <w:pStyle w:val="FirstParagraph"/>
      </w:pPr>
      <w:r>
        <w:t xml:space="preserve">The combination of these factors defines the topic of this work as both timely and technologically feasible.</w:t>
      </w:r>
    </w:p>
    <w:bookmarkEnd w:id="21"/>
    <w:bookmarkStart w:id="22" w:name="object-and-subject-of-research"/>
    <w:p>
      <w:pPr>
        <w:pStyle w:val="Heading2"/>
      </w:pPr>
      <w:r>
        <w:t xml:space="preserve">Object and subject of research</w:t>
      </w:r>
    </w:p>
    <w:p>
      <w:pPr>
        <w:pStyle w:val="FirstParagraph"/>
      </w:pPr>
      <w:r>
        <w:t xml:space="preserve">The</w:t>
      </w:r>
      <w:r>
        <w:t xml:space="preserve"> </w:t>
      </w:r>
      <w:r>
        <w:rPr>
          <w:b/>
          <w:bCs/>
        </w:rPr>
        <w:t xml:space="preserve">object of the research</w:t>
      </w:r>
      <w:r>
        <w:t xml:space="preserve"> </w:t>
      </w:r>
      <w:r>
        <w:t xml:space="preserve">is the urban green space of the city of Astana — namely the population of individual trees observable from above in the visible spectrum.</w:t>
      </w:r>
    </w:p>
    <w:p>
      <w:pPr>
        <w:pStyle w:val="BodyText"/>
      </w:pPr>
      <w:r>
        <w:t xml:space="preserve">The</w:t>
      </w:r>
      <w:r>
        <w:t xml:space="preserve"> </w:t>
      </w:r>
      <w:r>
        <w:rPr>
          <w:b/>
          <w:bCs/>
        </w:rPr>
        <w:t xml:space="preserve">subject of the research</w:t>
      </w:r>
      <w:r>
        <w:t xml:space="preserve"> </w:t>
      </w:r>
      <w:r>
        <w:t xml:space="preserve">is the set of deep-learning models and software components capable of detecting these trees in satellite imagery, segmenting their crowns, converting pixel coordinates into geographic coordinates and presenting the result in a form usable by municipal experts.</w:t>
      </w:r>
    </w:p>
    <w:bookmarkEnd w:id="22"/>
    <w:bookmarkStart w:id="23" w:name="aim-and-objectives"/>
    <w:p>
      <w:pPr>
        <w:pStyle w:val="Heading2"/>
      </w:pPr>
      <w:r>
        <w:t xml:space="preserve">Aim and objectives</w:t>
      </w:r>
    </w:p>
    <w:p>
      <w:pPr>
        <w:pStyle w:val="FirstParagraph"/>
      </w:pPr>
      <w:r>
        <w:t xml:space="preserve">The</w:t>
      </w:r>
      <w:r>
        <w:t xml:space="preserve"> </w:t>
      </w:r>
      <w:r>
        <w:rPr>
          <w:b/>
          <w:bCs/>
        </w:rPr>
        <w:t xml:space="preserve">aim</w:t>
      </w:r>
      <w:r>
        <w:t xml:space="preserve"> </w:t>
      </w:r>
      <w:r>
        <w:t xml:space="preserve">of the work is to design, implement and evaluate an end-to-end software system that, given a satellite image of an area of Astana as input, automatically produces an inventory of the trees present in that area, with per-tree geographic coordinates, crown geometry and a confidence score.</w:t>
      </w:r>
    </w:p>
    <w:p>
      <w:pPr>
        <w:pStyle w:val="BodyText"/>
      </w:pPr>
      <w:r>
        <w:t xml:space="preserve">To achieve this aim the following</w:t>
      </w:r>
      <w:r>
        <w:t xml:space="preserve"> </w:t>
      </w:r>
      <w:r>
        <w:rPr>
          <w:b/>
          <w:bCs/>
        </w:rPr>
        <w:t xml:space="preserve">objectives</w:t>
      </w:r>
      <w:r>
        <w:t xml:space="preserve"> </w:t>
      </w:r>
      <w:r>
        <w:t xml:space="preserve">are set:</w:t>
      </w:r>
    </w:p>
    <w:p>
      <w:pPr>
        <w:pStyle w:val="Compact"/>
        <w:numPr>
          <w:ilvl w:val="0"/>
          <w:numId w:val="1002"/>
        </w:numPr>
      </w:pPr>
      <w:r>
        <w:t xml:space="preserve">Survey the current state of deep-learning-based methods for individual tree detection and instance segmentation in remote-sensing imagery, with particular attention to applications in urban environments.</w:t>
      </w:r>
    </w:p>
    <w:p>
      <w:pPr>
        <w:pStyle w:val="Compact"/>
        <w:numPr>
          <w:ilvl w:val="0"/>
          <w:numId w:val="1002"/>
        </w:numPr>
      </w:pPr>
      <w:r>
        <w:t xml:space="preserve">Identify the research gap with respect to Central-Asian cities and quantify the performance of off-the-shelf pre-trained models on Astana imagery.</w:t>
      </w:r>
    </w:p>
    <w:p>
      <w:pPr>
        <w:pStyle w:val="Compact"/>
        <w:numPr>
          <w:ilvl w:val="0"/>
          <w:numId w:val="1002"/>
        </w:numPr>
      </w:pPr>
      <w:r>
        <w:t xml:space="preserve">Build a custom annotated dataset of Astana satellite imagery, suitable for training instance-segmentation models in the urban domain.</w:t>
      </w:r>
    </w:p>
    <w:p>
      <w:pPr>
        <w:pStyle w:val="Compact"/>
        <w:numPr>
          <w:ilvl w:val="0"/>
          <w:numId w:val="1002"/>
        </w:numPr>
      </w:pPr>
      <w:r>
        <w:t xml:space="preserve">Train and fine-tune three complementary detection models (an instance-segmentation YOLOv8 network, a DeepForest RetinaNet detector and a SAM-based mask-refinement stage), and combine their outputs through a model-ensemble strategy.</w:t>
      </w:r>
    </w:p>
    <w:p>
      <w:pPr>
        <w:pStyle w:val="Compact"/>
        <w:numPr>
          <w:ilvl w:val="0"/>
          <w:numId w:val="1002"/>
        </w:numPr>
      </w:pPr>
      <w:r>
        <w:t xml:space="preserve">Design and implement a complete software pipeline — backend, frontend, geographic conversion and export — exposing the trained models through a usable web interface and producing GeoJSON / CSV / standalone-HTML deliverables.</w:t>
      </w:r>
    </w:p>
    <w:p>
      <w:pPr>
        <w:pStyle w:val="Compact"/>
        <w:numPr>
          <w:ilvl w:val="0"/>
          <w:numId w:val="1002"/>
        </w:numPr>
      </w:pPr>
      <w:r>
        <w:t xml:space="preserve">Evaluate the resulting system in terms of detection quality, computational cost and practical applicability, and compare the three models against each other and against published baselines.</w:t>
      </w:r>
    </w:p>
    <w:bookmarkEnd w:id="23"/>
    <w:bookmarkStart w:id="24" w:name="methods-of-research"/>
    <w:p>
      <w:pPr>
        <w:pStyle w:val="Heading2"/>
      </w:pPr>
      <w:r>
        <w:t xml:space="preserve">Methods of research</w:t>
      </w:r>
    </w:p>
    <w:p>
      <w:pPr>
        <w:pStyle w:val="FirstParagraph"/>
      </w:pPr>
      <w:r>
        <w:t xml:space="preserve">The work draws on a combination of theoretical and experimental methods:</w:t>
      </w:r>
    </w:p>
    <w:p>
      <w:pPr>
        <w:pStyle w:val="Compact"/>
        <w:numPr>
          <w:ilvl w:val="0"/>
          <w:numId w:val="1003"/>
        </w:numPr>
      </w:pPr>
      <w:r>
        <w:rPr>
          <w:b/>
          <w:bCs/>
        </w:rPr>
        <w:t xml:space="preserve">Literature analysis</w:t>
      </w:r>
      <w:r>
        <w:t xml:space="preserve"> </w:t>
      </w:r>
      <w:r>
        <w:t xml:space="preserve">of peer-reviewed publications from journals such as</w:t>
      </w:r>
      <w:r>
        <w:t xml:space="preserve"> </w:t>
      </w:r>
      <w:r>
        <w:rPr>
          <w:i/>
          <w:iCs/>
        </w:rPr>
        <w:t xml:space="preserve">Remote Sensing</w:t>
      </w:r>
      <w:r>
        <w:t xml:space="preserve">,</w:t>
      </w:r>
      <w:r>
        <w:t xml:space="preserve"> </w:t>
      </w:r>
      <w:r>
        <w:rPr>
          <w:i/>
          <w:iCs/>
        </w:rPr>
        <w:t xml:space="preserve">ISPRS Annals</w:t>
      </w:r>
      <w:r>
        <w:t xml:space="preserve">,</w:t>
      </w:r>
      <w:r>
        <w:t xml:space="preserve"> </w:t>
      </w:r>
      <w:r>
        <w:rPr>
          <w:i/>
          <w:iCs/>
        </w:rPr>
        <w:t xml:space="preserve">Computers, Environment and Urban Systems</w:t>
      </w:r>
      <w:r>
        <w:t xml:space="preserve"> </w:t>
      </w:r>
      <w:r>
        <w:t xml:space="preserve">and conference proceedings of 2019–2025, in order to characterise the state of the art.</w:t>
      </w:r>
    </w:p>
    <w:p>
      <w:pPr>
        <w:pStyle w:val="Compact"/>
        <w:numPr>
          <w:ilvl w:val="0"/>
          <w:numId w:val="1003"/>
        </w:numPr>
      </w:pPr>
      <w:r>
        <w:rPr>
          <w:b/>
          <w:bCs/>
        </w:rPr>
        <w:t xml:space="preserve">Deep-learning model training and fine-tuning</w:t>
      </w:r>
      <w:r>
        <w:t xml:space="preserve"> </w:t>
      </w:r>
      <w:r>
        <w:t xml:space="preserve">based on the PyTorch and Ultralytics frameworks, the DeepForest library and the SAM (Segment Anything) foundation model.</w:t>
      </w:r>
    </w:p>
    <w:p>
      <w:pPr>
        <w:pStyle w:val="Compact"/>
        <w:numPr>
          <w:ilvl w:val="0"/>
          <w:numId w:val="1003"/>
        </w:numPr>
      </w:pPr>
      <w:r>
        <w:rPr>
          <w:b/>
          <w:bCs/>
        </w:rPr>
        <w:t xml:space="preserve">Dataset engineering</w:t>
      </w:r>
      <w:r>
        <w:t xml:space="preserve">: collection of source satellite tiles, manual annotation in the CVAT tool, conversion between COCO and YOLO label formats, tiling of high-resolution images into overlapping patches and automatic pre-labelling with an iterative model-in-the-loop workflow.</w:t>
      </w:r>
    </w:p>
    <w:p>
      <w:pPr>
        <w:pStyle w:val="Compact"/>
        <w:numPr>
          <w:ilvl w:val="0"/>
          <w:numId w:val="1003"/>
        </w:numPr>
      </w:pPr>
      <w:r>
        <w:rPr>
          <w:b/>
          <w:bCs/>
        </w:rPr>
        <w:t xml:space="preserve">Software engineering</w:t>
      </w:r>
      <w:r>
        <w:t xml:space="preserve"> </w:t>
      </w:r>
      <w:r>
        <w:t xml:space="preserve">in Python (FastAPI, Pydantic) and JavaScript (React 18, Leaflet) following the adapter pattern for model integration.</w:t>
      </w:r>
    </w:p>
    <w:p>
      <w:pPr>
        <w:pStyle w:val="Compact"/>
        <w:numPr>
          <w:ilvl w:val="0"/>
          <w:numId w:val="1003"/>
        </w:numPr>
      </w:pPr>
      <w:r>
        <w:rPr>
          <w:b/>
          <w:bCs/>
        </w:rPr>
        <w:t xml:space="preserve">Quantitative evaluation</w:t>
      </w:r>
      <w:r>
        <w:t xml:space="preserve"> </w:t>
      </w:r>
      <w:r>
        <w:t xml:space="preserve">using standard object-detection metrics (Box mAP@50, Box mAP@50-95, Mask mAP@50, Precision, Recall) over an independent validation tile set.</w:t>
      </w:r>
    </w:p>
    <w:p>
      <w:pPr>
        <w:pStyle w:val="Compact"/>
        <w:numPr>
          <w:ilvl w:val="0"/>
          <w:numId w:val="1003"/>
        </w:numPr>
      </w:pPr>
      <w:r>
        <w:rPr>
          <w:b/>
          <w:bCs/>
        </w:rPr>
        <w:t xml:space="preserve">Qualitative spot-checking</w:t>
      </w:r>
      <w:r>
        <w:t xml:space="preserve"> </w:t>
      </w:r>
      <w:r>
        <w:t xml:space="preserve">of model predictions over real Astana scenes — yards, streets, dense residential blocks, parks — to characterise model behaviour beyond what the aggregate metrics can capture.</w:t>
      </w:r>
    </w:p>
    <w:bookmarkEnd w:id="24"/>
    <w:bookmarkStart w:id="25" w:name="scientific-novelty"/>
    <w:p>
      <w:pPr>
        <w:pStyle w:val="Heading2"/>
      </w:pPr>
      <w:r>
        <w:t xml:space="preserve">Scientific novelty</w:t>
      </w:r>
    </w:p>
    <w:p>
      <w:pPr>
        <w:pStyle w:val="FirstParagraph"/>
      </w:pPr>
      <w:r>
        <w:t xml:space="preserve">The scientific novelty of the work consists in the following:</w:t>
      </w:r>
    </w:p>
    <w:p>
      <w:pPr>
        <w:pStyle w:val="Compact"/>
        <w:numPr>
          <w:ilvl w:val="0"/>
          <w:numId w:val="1004"/>
        </w:numPr>
      </w:pPr>
      <w:r>
        <w:t xml:space="preserve">It is, to the best of the authors’ knowledge, the first published evaluation of state-of-the-art deep-learning tree-detection models on satellite imagery of Astana and, more generally, of any major Central-Asian capital.</w:t>
      </w:r>
    </w:p>
    <w:p>
      <w:pPr>
        <w:pStyle w:val="Compact"/>
        <w:numPr>
          <w:ilvl w:val="0"/>
          <w:numId w:val="1004"/>
        </w:numPr>
      </w:pPr>
      <w:r>
        <w:t xml:space="preserve">The work proposes a hybrid three-model architecture (YOLOv8 instance segmentation; DeepForest fine-tuned on local data; SAM zero-shot mask refinement of DeepForest bounding boxes), combined through a Weighted-Box-Fusion ensemble, and quantitatively compares the three branches on a single dataset.</w:t>
      </w:r>
    </w:p>
    <w:p>
      <w:pPr>
        <w:pStyle w:val="Compact"/>
        <w:numPr>
          <w:ilvl w:val="0"/>
          <w:numId w:val="1004"/>
        </w:numPr>
      </w:pPr>
      <w:r>
        <w:t xml:space="preserve">It introduces a small but novel annotated dataset of Astana satellite imagery (≈ 77 source images, ≈ 5 000 polygon-level tree annotations after tiling) which is reusable for future research in the region.</w:t>
      </w:r>
    </w:p>
    <w:p>
      <w:pPr>
        <w:pStyle w:val="Compact"/>
        <w:numPr>
          <w:ilvl w:val="0"/>
          <w:numId w:val="1004"/>
        </w:numPr>
      </w:pPr>
      <w:r>
        <w:t xml:space="preserve">It contributes a complete reusable software template — a FastAPI backend with a pluggable model-adapter interface and a Leaflet-based frontend with in-browser tile capture from ESRI World Imagery — that turns research models into a deployable internal tool.</w:t>
      </w:r>
    </w:p>
    <w:bookmarkEnd w:id="25"/>
    <w:bookmarkStart w:id="26" w:name="practical-significance"/>
    <w:p>
      <w:pPr>
        <w:pStyle w:val="Heading2"/>
      </w:pPr>
      <w:r>
        <w:t xml:space="preserve">Practical significance</w:t>
      </w:r>
    </w:p>
    <w:p>
      <w:pPr>
        <w:pStyle w:val="FirstParagraph"/>
      </w:pPr>
      <w:r>
        <w:t xml:space="preserve">The resulting system is directly applicable to the day-to-day work of Astana’s</w:t>
      </w:r>
      <w:r>
        <w:t xml:space="preserve"> </w:t>
      </w:r>
      <w:r>
        <w:rPr>
          <w:i/>
          <w:iCs/>
        </w:rPr>
        <w:t xml:space="preserve">Zelenstroy</w:t>
      </w:r>
      <w:r>
        <w:t xml:space="preserve"> </w:t>
      </w:r>
      <w:r>
        <w:t xml:space="preserve">and of any city administration concerned with the management of urban green spaces. The user supplies a satellite image (or selects an area on an interactive map) and receives in seconds a list of detected trees with geographic coordinates, crown geometry, an interactive Leaflet visualisation and standard GIS-compatible exports (GeoJSON for QGIS, CSV for spreadsheet analysis, standalone HTML for sharing). The architecture is designed to be retrained on imagery from any other city by replacing the dataset, without changes to the pipeline.</w:t>
      </w:r>
    </w:p>
    <w:bookmarkEnd w:id="26"/>
    <w:bookmarkStart w:id="27" w:name="structure-of-the-work"/>
    <w:p>
      <w:pPr>
        <w:pStyle w:val="Heading2"/>
      </w:pPr>
      <w:r>
        <w:t xml:space="preserve">Structure of the work</w:t>
      </w:r>
    </w:p>
    <w:p>
      <w:pPr>
        <w:pStyle w:val="FirstParagraph"/>
      </w:pPr>
      <w:r>
        <w:t xml:space="preserve">The diploma project consists of an introduction, three chapters, a conclusion, a list of references and a set of appendices.</w:t>
      </w:r>
    </w:p>
    <w:p>
      <w:pPr>
        <w:pStyle w:val="BodyText"/>
      </w:pPr>
      <w:r>
        <w:rPr>
          <w:b/>
          <w:bCs/>
        </w:rPr>
        <w:t xml:space="preserve">Chapter 1</w:t>
      </w:r>
      <w:r>
        <w:t xml:space="preserve"> </w:t>
      </w:r>
      <w:r>
        <w:t xml:space="preserve">analyses the subject area of urban-tree detection from remote-sensing data, reviews the relevant literature of 2019–2025, identifies the research gap with respect to Central-Asian cities, and formulates the precise problem statement that the rest of the work attempts to solve.</w:t>
      </w:r>
    </w:p>
    <w:p>
      <w:pPr>
        <w:pStyle w:val="BodyText"/>
      </w:pPr>
      <w:r>
        <w:rPr>
          <w:b/>
          <w:bCs/>
        </w:rPr>
        <w:t xml:space="preserve">Chapter 2</w:t>
      </w:r>
      <w:r>
        <w:t xml:space="preserve"> </w:t>
      </w:r>
      <w:r>
        <w:t xml:space="preserve">describes the proposed methodology: the overall system architecture, the three deep-learning models (YOLOv8-seg, DeepForest, SAM), the data-preparation pipeline (annotation, tiling, augmentation), the ensemble strategy and the geographic-conversion and export components.</w:t>
      </w:r>
    </w:p>
    <w:p>
      <w:pPr>
        <w:pStyle w:val="BodyText"/>
      </w:pPr>
      <w:r>
        <w:rPr>
          <w:b/>
          <w:bCs/>
        </w:rPr>
        <w:t xml:space="preserve">Chapter 3</w:t>
      </w:r>
      <w:r>
        <w:t xml:space="preserve"> </w:t>
      </w:r>
      <w:r>
        <w:t xml:space="preserve">documents the experiments and reports the quantitative and qualitative results — training curves and validation metrics for each model, qualitative inspection of predictions, an ablation comparing the three models on the same data, the integrated pipeline as deployed in the prototype and the limitations of the current implementation.</w:t>
      </w:r>
    </w:p>
    <w:p>
      <w:pPr>
        <w:pStyle w:val="BodyText"/>
      </w:pPr>
      <w:r>
        <w:t xml:space="preserve">The conclusion summarises the results obtained, evaluates the achievement of each of the six objectives stated above, and outlines directions for future work.</w:t>
      </w:r>
    </w:p>
    <w:bookmarkEnd w:id="27"/>
    <w:bookmarkEnd w:id="28"/>
    <w:bookmarkStart w:id="40" w:name="X597def86e695f2fdb4340f354e659b42aaf4d29"/>
    <w:p>
      <w:pPr>
        <w:pStyle w:val="Heading1"/>
      </w:pPr>
      <w:r>
        <w:t xml:space="preserve">Chapter 1. Analysis of the subject area and problem statement</w:t>
      </w:r>
    </w:p>
    <w:p>
      <w:pPr>
        <w:pStyle w:val="FirstParagraph"/>
      </w:pPr>
      <w:r>
        <w:t xml:space="preserve">This chapter establishes the technical and scientific context of the work. Section 1.1 describes urban-tree inventory as an applied problem and lists the practical requirements it imposes on any automated solution. Section 1.2 surveys the remote-sensing data sources available for the task. Section 1.3 organises the relevant deep-learning literature of 2019 – 2025 into five technical paradigms — two-stage detectors, one-stage detectors, semantic-segmentation networks, the domain-specialised DeepForest model and the foundation Segment-Anything model — and summarises the most relevant results. Section 1.4 consolidates the reported quantitative comparisons into a single table. Section 1.5 identifies the</w:t>
      </w:r>
      <w:r>
        <w:t xml:space="preserve"> </w:t>
      </w:r>
      <w:r>
        <w:rPr>
          <w:b/>
          <w:bCs/>
        </w:rPr>
        <w:t xml:space="preserve">geographic generalisation gap</w:t>
      </w:r>
      <w:r>
        <w:t xml:space="preserve"> </w:t>
      </w:r>
      <w:r>
        <w:t xml:space="preserve">as the dominant obstacle to applying off-the-shelf models in Astana. Section 1.6 formulates the precise problem statement that the rest of the work will solve.</w:t>
      </w:r>
    </w:p>
    <w:bookmarkStart w:id="29" w:name="Xe94c8ea90e338c5d0140f86e7d2d762520eb8fb"/>
    <w:p>
      <w:pPr>
        <w:pStyle w:val="Heading2"/>
      </w:pPr>
      <w:r>
        <w:t xml:space="preserve">1.1 Urban-tree inventory as an applied problem</w:t>
      </w:r>
    </w:p>
    <w:p>
      <w:pPr>
        <w:pStyle w:val="FirstParagraph"/>
      </w:pPr>
      <w:r>
        <w:t xml:space="preserve">Modern municipalities increasingly rely on quantitative inventories of urban green space as inputs to their planning, environmental-monitoring and climate-adaptation processes. The basic unit of such inventories is the individual tree, characterised by a geographic position, a crown size and — when available — a species label and a health status. Aggregations of individual trees yield the higher-order indicators that municipal agencies actually consume: number of trees per district, canopy-cover percentage, average crown area, density of green corridors and so on.</w:t>
      </w:r>
    </w:p>
    <w:p>
      <w:pPr>
        <w:pStyle w:val="BodyText"/>
      </w:pPr>
      <w:r>
        <w:t xml:space="preserve">Historically, urban tree inventories were obtained through</w:t>
      </w:r>
      <w:r>
        <w:t xml:space="preserve"> </w:t>
      </w:r>
      <w:r>
        <w:rPr>
          <w:b/>
          <w:bCs/>
        </w:rPr>
        <w:t xml:space="preserve">manual field surveys</w:t>
      </w:r>
      <w:r>
        <w:t xml:space="preserve"> </w:t>
      </w:r>
      <w:r>
        <w:t xml:space="preserve">conducted by a team of foresters with hand-held GPS receivers, paper forms and a fixed budget per district. Reports from comparable cities — for example, the multi-year tree-inventory effort of the city of Sofia, Bulgaria [6] or the multi-month effort of Pasadena, California [18] — show that for any large city the manual approach is slow, expensive and quickly becomes obsolete because of the rapid turnover of urban green plantings.</w:t>
      </w:r>
    </w:p>
    <w:p>
      <w:pPr>
        <w:pStyle w:val="BodyText"/>
      </w:pPr>
      <w:r>
        <w:t xml:space="preserve">Three classes of alternatives have emerged in the last decade. The first relies on</w:t>
      </w:r>
      <w:r>
        <w:t xml:space="preserve"> </w:t>
      </w:r>
      <w:r>
        <w:rPr>
          <w:b/>
          <w:bCs/>
        </w:rPr>
        <w:t xml:space="preserve">airborne LiDAR</w:t>
      </w:r>
      <w:r>
        <w:t xml:space="preserve">, which delivers a centimetre-precision three-dimensional reconstruction of the canopy and is the gold standard wherever it is available [23]. LiDAR campaigns, however, are exceptionally expensive and are usually flown only on a five- or ten-year cadence by national mapping agencies; they are also unsuitable for cities that do not appear in the public LiDAR programmes of their respective countries — a category that includes Astana.</w:t>
      </w:r>
    </w:p>
    <w:p>
      <w:pPr>
        <w:pStyle w:val="BodyText"/>
      </w:pPr>
      <w:r>
        <w:t xml:space="preserve">The second class relies on</w:t>
      </w:r>
      <w:r>
        <w:t xml:space="preserve"> </w:t>
      </w:r>
      <w:r>
        <w:rPr>
          <w:b/>
          <w:bCs/>
        </w:rPr>
        <w:t xml:space="preserve">high-resolution aerial or UAV imagery</w:t>
      </w:r>
      <w:r>
        <w:t xml:space="preserve">, typically at a ground sampling distance of 5 – 30 cm per pixel. Such imagery offers an excellent balance between detail and acquisition cost and has been the dominant data source for urban-tree research, including foundational benchmarks on Campo Grande, Brazil [10, 11] and the recent multi-city work on Lleida, Spain [4].</w:t>
      </w:r>
    </w:p>
    <w:p>
      <w:pPr>
        <w:pStyle w:val="BodyText"/>
      </w:pPr>
      <w:r>
        <w:t xml:space="preserve">The third class — the one chosen for the present project — relies on</w:t>
      </w:r>
      <w:r>
        <w:t xml:space="preserve"> </w:t>
      </w:r>
      <w:r>
        <w:rPr>
          <w:b/>
          <w:bCs/>
        </w:rPr>
        <w:t xml:space="preserve">freely or inexpensively available very-high-resolution satellite imagery</w:t>
      </w:r>
      <w:r>
        <w:t xml:space="preserve">, accessed either through commercial vendors (Maxar, Airbus) or through aggregators such as ESRI World Imagery and Google Earth. The ground-sampling distance of such imagery is typically 30 cm – 1 m in cities, with the lowest pricing tier (Sentinel-2) at 10 m. This source is the only one practically available for Astana at the scale required by the city, and the body of literature on its use for tree detection — though still small compared to the UAV literature — has grown substantially since 2019 [14, 5, 2].</w:t>
      </w:r>
    </w:p>
    <w:p>
      <w:pPr>
        <w:pStyle w:val="BodyText"/>
      </w:pPr>
      <w:r>
        <w:t xml:space="preserve">The practical requirements imposed by the</w:t>
      </w:r>
      <w:r>
        <w:t xml:space="preserve"> </w:t>
      </w:r>
      <w:r>
        <w:rPr>
          <w:i/>
          <w:iCs/>
        </w:rPr>
        <w:t xml:space="preserve">Zelenstroy</w:t>
      </w:r>
      <w:r>
        <w:t xml:space="preserve"> </w:t>
      </w:r>
      <w:r>
        <w:t xml:space="preserve">end-user on any automated inventory system can be summarised as follows: (i) accept satellite imagery from a heterogeneous set of sources without re-training; (ii) output a per-tree polygon mask rather than a single pixel, so that crown area can be computed; (iii) convert pixel coordinates into geographic coordinates in WGS-84; (iv) export the inventory in formats consumable by QGIS, ArcGIS and Excel; (v) provide a confidence score for each detection so that human reviewers can prioritise their inspection time. The methodological choices documented in Chapter 2 are direct consequences of these five requirements.</w:t>
      </w:r>
    </w:p>
    <w:bookmarkEnd w:id="29"/>
    <w:bookmarkStart w:id="30" w:name="Xae2245f0e56090efa4ea77863dc604c915b7498"/>
    <w:p>
      <w:pPr>
        <w:pStyle w:val="Heading2"/>
      </w:pPr>
      <w:r>
        <w:t xml:space="preserve">1.2 Remote-sensing data sources for tree detection</w:t>
      </w:r>
    </w:p>
    <w:p>
      <w:pPr>
        <w:pStyle w:val="FirstParagraph"/>
      </w:pPr>
      <w:r>
        <w:t xml:space="preserve">The deep-learning literature on tree detection is highly</w:t>
      </w:r>
      <w:r>
        <w:t xml:space="preserve"> </w:t>
      </w:r>
      <w:r>
        <w:rPr>
          <w:b/>
          <w:bCs/>
        </w:rPr>
        <w:t xml:space="preserve">data-source-dependent</w:t>
      </w:r>
      <w:r>
        <w:t xml:space="preserve">: a model that excels on 5-cm UAV imagery typically fails when applied directly to 1-m satellite imagery, and vice versa. The body of work surveyed in this chapter can therefore be organised along the dimension of the data source, summarised in Table 1.1.</w:t>
      </w:r>
    </w:p>
    <w:p>
      <w:pPr>
        <w:pStyle w:val="BodyText"/>
      </w:pPr>
      <w:r>
        <w:rPr>
          <w:b/>
          <w:bCs/>
        </w:rPr>
        <w:t xml:space="preserve">Table 1.1 — Data sources reported in the surveyed literature.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Typical GSD</w:t>
            </w:r>
          </w:p>
        </w:tc>
        <w:tc>
          <w:tcPr/>
          <w:p>
            <w:pPr>
              <w:pStyle w:val="Compact"/>
            </w:pPr>
            <w:r>
              <w:t xml:space="preserve">Coverage</w:t>
            </w:r>
          </w:p>
        </w:tc>
        <w:tc>
          <w:tcPr/>
          <w:p>
            <w:pPr>
              <w:pStyle w:val="Compact"/>
            </w:pPr>
            <w:r>
              <w:t xml:space="preserve">Cost</w:t>
            </w:r>
          </w:p>
        </w:tc>
        <w:tc>
          <w:tcPr/>
          <w:p>
            <w:pPr>
              <w:pStyle w:val="Compact"/>
            </w:pPr>
            <w:r>
              <w:t xml:space="preserve">Representative works</w:t>
            </w:r>
          </w:p>
        </w:tc>
      </w:tr>
      <w:tr>
        <w:tc>
          <w:tcPr/>
          <w:p>
            <w:pPr>
              <w:pStyle w:val="Compact"/>
            </w:pPr>
            <w:r>
              <w:t xml:space="preserve">Airborne LiDAR</w:t>
            </w:r>
          </w:p>
        </w:tc>
        <w:tc>
          <w:tcPr/>
          <w:p>
            <w:pPr>
              <w:pStyle w:val="Compact"/>
            </w:pPr>
            <w:r>
              <w:t xml:space="preserve">5 – 50 cm 3-D</w:t>
            </w:r>
          </w:p>
        </w:tc>
        <w:tc>
          <w:tcPr/>
          <w:p>
            <w:pPr>
              <w:pStyle w:val="Compact"/>
            </w:pPr>
            <w:r>
              <w:t xml:space="preserve">National / regional campaigns</w:t>
            </w:r>
          </w:p>
        </w:tc>
        <w:tc>
          <w:tcPr/>
          <w:p>
            <w:pPr>
              <w:pStyle w:val="Compact"/>
            </w:pPr>
            <w:r>
              <w:t xml:space="preserve">Very high</w:t>
            </w:r>
          </w:p>
        </w:tc>
        <w:tc>
          <w:tcPr/>
          <w:p>
            <w:pPr>
              <w:pStyle w:val="Compact"/>
            </w:pPr>
            <w:r>
              <w:t xml:space="preserve">[23, 1]</w:t>
            </w:r>
          </w:p>
        </w:tc>
      </w:tr>
      <w:tr>
        <w:tc>
          <w:tcPr/>
          <w:p>
            <w:pPr>
              <w:pStyle w:val="Compact"/>
            </w:pPr>
            <w:r>
              <w:t xml:space="preserve">UAV / drone RGB</w:t>
            </w:r>
          </w:p>
        </w:tc>
        <w:tc>
          <w:tcPr/>
          <w:p>
            <w:pPr>
              <w:pStyle w:val="Compact"/>
            </w:pPr>
            <w:r>
              <w:t xml:space="preserve">1 – 5 cm</w:t>
            </w:r>
          </w:p>
        </w:tc>
        <w:tc>
          <w:tcPr/>
          <w:p>
            <w:pPr>
              <w:pStyle w:val="Compact"/>
            </w:pPr>
            <w:r>
              <w:t xml:space="preserve">A single survey area</w:t>
            </w:r>
          </w:p>
        </w:tc>
        <w:tc>
          <w:tcPr/>
          <w:p>
            <w:pPr>
              <w:pStyle w:val="Compact"/>
            </w:pPr>
            <w:r>
              <w:t xml:space="preserve">Medium</w:t>
            </w:r>
          </w:p>
        </w:tc>
        <w:tc>
          <w:tcPr/>
          <w:p>
            <w:pPr>
              <w:pStyle w:val="Compact"/>
            </w:pPr>
            <w:r>
              <w:t xml:space="preserve">[11, 8, 13]</w:t>
            </w:r>
          </w:p>
        </w:tc>
      </w:tr>
      <w:tr>
        <w:tc>
          <w:tcPr/>
          <w:p>
            <w:pPr>
              <w:pStyle w:val="Compact"/>
            </w:pPr>
            <w:r>
              <w:t xml:space="preserve">Aerial orthophotos</w:t>
            </w:r>
          </w:p>
        </w:tc>
        <w:tc>
          <w:tcPr/>
          <w:p>
            <w:pPr>
              <w:pStyle w:val="Compact"/>
            </w:pPr>
            <w:r>
              <w:t xml:space="preserve">5 – 30 cm</w:t>
            </w:r>
          </w:p>
        </w:tc>
        <w:tc>
          <w:tcPr/>
          <w:p>
            <w:pPr>
              <w:pStyle w:val="Compact"/>
            </w:pPr>
            <w:r>
              <w:t xml:space="preserve">Country-wide</w:t>
            </w:r>
          </w:p>
        </w:tc>
        <w:tc>
          <w:tcPr/>
          <w:p>
            <w:pPr>
              <w:pStyle w:val="Compact"/>
            </w:pPr>
            <w:r>
              <w:t xml:space="preserve">Medium-high</w:t>
            </w:r>
          </w:p>
        </w:tc>
        <w:tc>
          <w:tcPr/>
          <w:p>
            <w:pPr>
              <w:pStyle w:val="Compact"/>
            </w:pPr>
            <w:r>
              <w:t xml:space="preserve">[10, 4, 3]</w:t>
            </w:r>
          </w:p>
        </w:tc>
      </w:tr>
      <w:tr>
        <w:tc>
          <w:tcPr/>
          <w:p>
            <w:pPr>
              <w:pStyle w:val="Compact"/>
            </w:pPr>
            <w:r>
              <w:t xml:space="preserve">Very-high-res satellite</w:t>
            </w:r>
          </w:p>
        </w:tc>
        <w:tc>
          <w:tcPr/>
          <w:p>
            <w:pPr>
              <w:pStyle w:val="Compact"/>
            </w:pPr>
            <w:r>
              <w:t xml:space="preserve">30 cm – 1 m</w:t>
            </w:r>
          </w:p>
        </w:tc>
        <w:tc>
          <w:tcPr/>
          <w:p>
            <w:pPr>
              <w:pStyle w:val="Compact"/>
            </w:pPr>
            <w:r>
              <w:t xml:space="preserve">Global</w:t>
            </w:r>
          </w:p>
        </w:tc>
        <w:tc>
          <w:tcPr/>
          <w:p>
            <w:pPr>
              <w:pStyle w:val="Compact"/>
            </w:pPr>
            <w:r>
              <w:t xml:space="preserve">Low–medium</w:t>
            </w:r>
          </w:p>
        </w:tc>
        <w:tc>
          <w:tcPr/>
          <w:p>
            <w:pPr>
              <w:pStyle w:val="Compact"/>
            </w:pPr>
            <w:r>
              <w:t xml:space="preserve">[2, 5, 14]</w:t>
            </w:r>
          </w:p>
        </w:tc>
      </w:tr>
      <w:tr>
        <w:tc>
          <w:tcPr/>
          <w:p>
            <w:pPr>
              <w:pStyle w:val="Compact"/>
            </w:pPr>
            <w:r>
              <w:t xml:space="preserve">Sentinel-2 multispectral</w:t>
            </w:r>
          </w:p>
        </w:tc>
        <w:tc>
          <w:tcPr/>
          <w:p>
            <w:pPr>
              <w:pStyle w:val="Compact"/>
            </w:pPr>
            <w:r>
              <w:t xml:space="preserve">10 m</w:t>
            </w:r>
          </w:p>
        </w:tc>
        <w:tc>
          <w:tcPr/>
          <w:p>
            <w:pPr>
              <w:pStyle w:val="Compact"/>
            </w:pPr>
            <w:r>
              <w:t xml:space="preserve">Global, free</w:t>
            </w:r>
          </w:p>
        </w:tc>
        <w:tc>
          <w:tcPr/>
          <w:p>
            <w:pPr>
              <w:pStyle w:val="Compact"/>
            </w:pPr>
            <w:r>
              <w:t xml:space="preserve">Free</w:t>
            </w:r>
          </w:p>
        </w:tc>
        <w:tc>
          <w:tcPr/>
          <w:p>
            <w:pPr>
              <w:pStyle w:val="Compact"/>
            </w:pPr>
            <w:r>
              <w:t xml:space="preserve">[14, 16, 17]</w:t>
            </w:r>
          </w:p>
        </w:tc>
      </w:tr>
    </w:tbl>
    <w:p>
      <w:pPr>
        <w:pStyle w:val="BodyText"/>
      </w:pPr>
      <w:r>
        <w:t xml:space="preserve">Two observations from this table directly inform the present work. First, the</w:t>
      </w:r>
      <w:r>
        <w:t xml:space="preserve"> </w:t>
      </w:r>
      <w:r>
        <w:rPr>
          <w:b/>
          <w:bCs/>
        </w:rPr>
        <w:t xml:space="preserve">very-high-resolution satellite</w:t>
      </w:r>
      <w:r>
        <w:t xml:space="preserve"> </w:t>
      </w:r>
      <w:r>
        <w:t xml:space="preserve">category — the only data source practically available for Astana — is also the most recent: most of the dedicated satellite-imagery papers appeared in 2024 and 2025, suggesting that the area is now technically mature but the literature is still sparse. Second, the</w:t>
      </w:r>
      <w:r>
        <w:t xml:space="preserve"> </w:t>
      </w:r>
      <w:r>
        <w:rPr>
          <w:b/>
          <w:bCs/>
        </w:rPr>
        <w:t xml:space="preserve">Sentinel-2</w:t>
      </w:r>
      <w:r>
        <w:t xml:space="preserve"> </w:t>
      </w:r>
      <w:r>
        <w:t xml:space="preserve">category, despite its very coarse 10-m resolution, has been shown to yield usable urban-tree-cover products through deep-learning super-resolution and sub-pixel mapping techniques [14, 17]; this is an important option for the future-work extension of the present project.</w:t>
      </w:r>
    </w:p>
    <w:bookmarkEnd w:id="30"/>
    <w:bookmarkStart w:id="36" w:name="X4206318a4c949b5411b22a42dea902389280ff6"/>
    <w:p>
      <w:pPr>
        <w:pStyle w:val="Heading2"/>
      </w:pPr>
      <w:r>
        <w:t xml:space="preserve">1.3 Deep-learning paradigms for tree detection</w:t>
      </w:r>
    </w:p>
    <w:p>
      <w:pPr>
        <w:pStyle w:val="FirstParagraph"/>
      </w:pPr>
      <w:r>
        <w:t xml:space="preserve">This section surveys the relevant deep-learning literature, organised by the technical paradigm of the model rather than by year. Five paradigms are identified and each is illustrated by the most-cited works in the field.</w:t>
      </w:r>
    </w:p>
    <w:bookmarkStart w:id="31" w:name="two-stage-detectors"/>
    <w:p>
      <w:pPr>
        <w:pStyle w:val="Heading3"/>
      </w:pPr>
      <w:r>
        <w:t xml:space="preserve">1.3.1 Two-stage detectors</w:t>
      </w:r>
    </w:p>
    <w:p>
      <w:pPr>
        <w:pStyle w:val="FirstParagraph"/>
      </w:pPr>
      <w:r>
        <w:t xml:space="preserve">Two-stage detectors — the family of Faster R-CNN [27] and its extensions Mask R-CNN [28] and Cascade R-CNN — were the first deep-learning architectures to be applied to individual tree detection at large scale. The general approach is to first generate a small set of class-agnostic region proposals through a Region Proposal Network, then to classify and regress each proposal independently.</w:t>
      </w:r>
    </w:p>
    <w:p>
      <w:pPr>
        <w:pStyle w:val="BodyText"/>
      </w:pPr>
      <w:r>
        <w:t xml:space="preserve">For the urban-tree task the most-cited contribution is the early benchmark of dos Santos et al. [11] on the</w:t>
      </w:r>
      <w:r>
        <w:t xml:space="preserve"> </w:t>
      </w:r>
      <w:r>
        <w:rPr>
          <w:i/>
          <w:iCs/>
        </w:rPr>
        <w:t xml:space="preserve">Dipteryx alata</w:t>
      </w:r>
      <w:r>
        <w:t xml:space="preserve"> </w:t>
      </w:r>
      <w:r>
        <w:t xml:space="preserve">species in Campo Grande, Brazil: on 392 UAV RGB images at 0.82 cm GSD, Faster R-CNN achieved an average precision of 82.48 %, outperformed by both YOLOv3 and — significantly — by RetinaNet (see Section 1.3.2). Subsequent works extended the Faster R-CNN backbone with a Swin Transformer [19] and reported improvements over the ResNet-50 baseline on the same Campo Grande dataset. Lv et al. [8] proposed an extended Mask R-CNN — the MCAN architecture, with a CSPNet backbone and CBAM attention — and reported a detection average precision of 92.40 % and a segmentation average precision of 97.70 % on UAV imagery of a forested university campus in Zhejiang, China; the same paper reported only 79.87 % for YOLOv5 on the same data, leading to a recurring debate about the relative merits of one-stage and two-stage detectors that is revisited in Section 1.4.</w:t>
      </w:r>
    </w:p>
    <w:p>
      <w:pPr>
        <w:pStyle w:val="BodyText"/>
      </w:pPr>
      <w:r>
        <w:t xml:space="preserve">The principal disadvantage of the two-stage family is its</w:t>
      </w:r>
      <w:r>
        <w:t xml:space="preserve"> </w:t>
      </w:r>
      <w:r>
        <w:rPr>
          <w:b/>
          <w:bCs/>
        </w:rPr>
        <w:t xml:space="preserve">computational cost</w:t>
      </w:r>
      <w:r>
        <w:t xml:space="preserve">. For an interactive web tool the inference speed of a Faster-R-CNN-class model is too slow on a laptop GPU, and Mask R-CNN-class instance segmenters are slower still. This consideration motivated the choice of a one-stage architecture for the YOLO branch of the present system.</w:t>
      </w:r>
    </w:p>
    <w:bookmarkEnd w:id="31"/>
    <w:bookmarkStart w:id="32" w:name="one-stage-detectors-yolo-and-retinanet"/>
    <w:p>
      <w:pPr>
        <w:pStyle w:val="Heading3"/>
      </w:pPr>
      <w:r>
        <w:t xml:space="preserve">1.3.2 One-stage detectors: YOLO and RetinaNet</w:t>
      </w:r>
    </w:p>
    <w:p>
      <w:pPr>
        <w:pStyle w:val="FirstParagraph"/>
      </w:pPr>
      <w:r>
        <w:t xml:space="preserve">The YOLO family of object detectors [30, 32] has been the dominant choice for urban-tree detection since 2022. Velasquez-Camacho et al. [4] tested YOLOv5 in five sizes against DeepForest and Faster R-CNN on aerial and satellite imagery of Lleida, Spain, and reported an F-score of 84.9 % for the YOLOv5x variant — substantially better than Faster R-CNN’s 35.6 %. The same authors extended their pipeline to multi-temporal satellite imagery of the San Francisco Bay Area in [5], reporting a precision of 90 % and a recall of 81 % for street-tree detection across more than fifteen years of NAIP imagery.</w:t>
      </w:r>
    </w:p>
    <w:p>
      <w:pPr>
        <w:pStyle w:val="BodyText"/>
      </w:pPr>
      <w:r>
        <w:t xml:space="preserve">Zheng and Wu [12] proposed YOLOv4-Lite with a MobileNetv3 backbone for tree detection in Google Earth imagery (GSD 0.27 m) and reported an accuracy of 96.3 % on a campus scene, outperforming traditional watershed-based and template-matching approaches by 26 – 46 percentage points; this work is one of the few that demonstrates the feasibility of YOLO-class detectors on the same source of imagery (Google Earth) used in the present project.</w:t>
      </w:r>
    </w:p>
    <w:p>
      <w:pPr>
        <w:pStyle w:val="BodyText"/>
      </w:pPr>
      <w:r>
        <w:t xml:space="preserve">The most recent benchmark is the work of Abbas and Damaševičius [2] of Kaunas University of Technology, Lithuania. They evaluated every modern YOLO variant — YOLOv8 through YOLOv12 in the n, s and m sizes — on a public RGB satellite tree dataset of 3 157 images, and reported that</w:t>
      </w:r>
      <w:r>
        <w:t xml:space="preserve"> </w:t>
      </w:r>
      <w:r>
        <w:rPr>
          <w:b/>
          <w:bCs/>
        </w:rPr>
        <w:t xml:space="preserve">YOLOv12m</w:t>
      </w:r>
      <w:r>
        <w:t xml:space="preserve"> </w:t>
      </w:r>
      <w:r>
        <w:t xml:space="preserve">achieves the best performance with a mean average precision at IoU = 0.5 of</w:t>
      </w:r>
      <w:r>
        <w:t xml:space="preserve"> </w:t>
      </w:r>
      <w:r>
        <w:rPr>
          <w:b/>
          <w:bCs/>
        </w:rPr>
        <w:t xml:space="preserve">90.8 %</w:t>
      </w:r>
      <w:r>
        <w:t xml:space="preserve">, a mAP@50:95 of 58.1 %, an F1-score of 84.7 % and precision and recall of approximately 85 %. The YOLOv8 variants are competitive in performance and consume less inference time, motivating the choice of YOLOv8x-seg as a reasonable engineering compromise for the present project.</w:t>
      </w:r>
    </w:p>
    <w:p>
      <w:pPr>
        <w:pStyle w:val="BodyText"/>
      </w:pPr>
      <w:r>
        <w:t xml:space="preserve">Sun [7] dedicated an entire PhD thesis to the application of YOLOv7/v8 to individual tree-crown instance segmentation on Wellington, New Zealand aerial imagery; she proposed three improved variants (YOLO-ITC, YOLOv8E and YOLOv8-FF) that outperform Mask R-CNN, YOLOv7, YOLOv5 and SOLOv2 on both Box AP and Mask AP with fewer parameters. The thesis is the strongest direct precedent for the YOLO branch of the present work.</w:t>
      </w:r>
    </w:p>
    <w:p>
      <w:pPr>
        <w:pStyle w:val="BodyText"/>
      </w:pPr>
      <w:r>
        <w:t xml:space="preserve">The other relevant one-stage architecture is</w:t>
      </w:r>
      <w:r>
        <w:t xml:space="preserve"> </w:t>
      </w:r>
      <w:r>
        <w:rPr>
          <w:b/>
          <w:bCs/>
        </w:rPr>
        <w:t xml:space="preserve">RetinaNet</w:t>
      </w:r>
      <w:r>
        <w:t xml:space="preserve"> </w:t>
      </w:r>
      <w:r>
        <w:t xml:space="preserve">[29], which is best known for its</w:t>
      </w:r>
      <w:r>
        <w:t xml:space="preserve"> </w:t>
      </w:r>
      <w:r>
        <w:rPr>
          <w:b/>
          <w:bCs/>
        </w:rPr>
        <w:t xml:space="preserve">focal loss</w:t>
      </w:r>
      <w:r>
        <w:t xml:space="preserve"> </w:t>
      </w:r>
      <w:r>
        <w:t xml:space="preserve">formulation that down-weights the contribution of easy background examples and is therefore well-suited to the highly imbalanced foreground-background ratio of dense forest scenes. The earlier-mentioned benchmark by dos Santos et al. [11] reported a RetinaNet average precision of</w:t>
      </w:r>
      <w:r>
        <w:t xml:space="preserve"> </w:t>
      </w:r>
      <w:r>
        <w:rPr>
          <w:b/>
          <w:bCs/>
        </w:rPr>
        <w:t xml:space="preserve">92.64 %</w:t>
      </w:r>
      <w:r>
        <w:t xml:space="preserve">, decisively outperforming YOLOv3 (85.88 %) and Faster R-CNN (82.48 %). It is precisely this empirical result that motivated the developers of DeepForest [1] to choose RetinaNet as their base architecture (Section 1.3.4).</w:t>
      </w:r>
    </w:p>
    <w:bookmarkEnd w:id="32"/>
    <w:bookmarkStart w:id="33" w:name="semantic-segmentation-networks"/>
    <w:p>
      <w:pPr>
        <w:pStyle w:val="Heading3"/>
      </w:pPr>
      <w:r>
        <w:t xml:space="preserve">1.3.3 Semantic-segmentation networks</w:t>
      </w:r>
    </w:p>
    <w:p>
      <w:pPr>
        <w:pStyle w:val="FirstParagraph"/>
      </w:pPr>
      <w:r>
        <w:t xml:space="preserve">A second, parallel line of work treats tree detection as a</w:t>
      </w:r>
      <w:r>
        <w:t xml:space="preserve"> </w:t>
      </w:r>
      <w:r>
        <w:rPr>
          <w:b/>
          <w:bCs/>
        </w:rPr>
        <w:t xml:space="preserve">semantic-segmentation</w:t>
      </w:r>
      <w:r>
        <w:t xml:space="preserve"> </w:t>
      </w:r>
      <w:r>
        <w:t xml:space="preserve">problem in which every pixel is classified independently as either</w:t>
      </w:r>
      <w:r>
        <w:t xml:space="preserve"> </w:t>
      </w:r>
      <w:r>
        <w:rPr>
          <w:i/>
          <w:iCs/>
        </w:rPr>
        <w:t xml:space="preserve">tree-canopy</w:t>
      </w:r>
      <w:r>
        <w:t xml:space="preserve"> </w:t>
      </w:r>
      <w:r>
        <w:t xml:space="preserve">or</w:t>
      </w:r>
      <w:r>
        <w:t xml:space="preserve"> </w:t>
      </w:r>
      <w:r>
        <w:rPr>
          <w:i/>
          <w:iCs/>
        </w:rPr>
        <w:t xml:space="preserve">background</w:t>
      </w:r>
      <w:r>
        <w:t xml:space="preserve">. Individual trees are then recovered as connected components of the resulting binary mask, with optional post-processing through morphological opening or local-maximum filtering.</w:t>
      </w:r>
    </w:p>
    <w:p>
      <w:pPr>
        <w:pStyle w:val="BodyText"/>
      </w:pPr>
      <w:r>
        <w:t xml:space="preserve">The dominant architecture in this family is the U-Net [31], originally developed for biomedical segmentation but quickly adopted by the remote-sensing community. Wang et al. [9] evaluated U-Net at four input scales (16, 32, 64 and 100 cm GSD) on the ISPRS Vaihingen aerial-orthophoto benchmark and reported a best overall accuracy of</w:t>
      </w:r>
      <w:r>
        <w:t xml:space="preserve"> </w:t>
      </w:r>
      <w:r>
        <w:rPr>
          <w:b/>
          <w:bCs/>
        </w:rPr>
        <w:t xml:space="preserve">99.14 %</w:t>
      </w:r>
      <w:r>
        <w:t xml:space="preserve"> </w:t>
      </w:r>
      <w:r>
        <w:t xml:space="preserve">and an intersection-over-union of</w:t>
      </w:r>
      <w:r>
        <w:t xml:space="preserve"> </w:t>
      </w:r>
      <w:r>
        <w:rPr>
          <w:b/>
          <w:bCs/>
        </w:rPr>
        <w:t xml:space="preserve">96.38 %</w:t>
      </w:r>
      <w:r>
        <w:t xml:space="preserve"> </w:t>
      </w:r>
      <w:r>
        <w:t xml:space="preserve">at 32 cm — among the highest segmentation accuracies reported in the urban-tree literature. Martins et al. [10] performed a similar five-architecture comparison on Campo Grande and concluded that DeepLabV3+ marginally outperforms U-Net, FCN, SegNet and DDCN, with a final pixel accuracy of 96.18 % and an IoU of 73.89 % — substantially lower than Wang et al.’s number because the Campo Grande dataset covers a more diverse Cerrado biome.</w:t>
      </w:r>
    </w:p>
    <w:p>
      <w:pPr>
        <w:pStyle w:val="BodyText"/>
      </w:pPr>
      <w:r>
        <w:t xml:space="preserve">Several extensions of U-Net for urban contexts are worth mentioning: the OUDN architecture of He et al. [15] which couples U-Net with a DenseNet feature extractor and operates on WorldView-3 imagery; the HRNet-based segmenter of Chen et al. [21] applied to four districts of Shanghai with an F1-score of 84.33 %; and the multi-temporal double-branch U-Net of Chen et al. [22] applied to GaoFen-2 imagery over Beijing. The double-branch network of Zhang and Liu [20] combines RGB and NDVI features in a CNN-Transformer hybrid and reports a 1.13 % mIoU improvement over plain U-Net baselines on a custom street-tree dataset.</w:t>
      </w:r>
    </w:p>
    <w:p>
      <w:pPr>
        <w:pStyle w:val="BodyText"/>
      </w:pPr>
      <w:r>
        <w:t xml:space="preserve">The semantic-segmentation approach is attractive when only canopy-cover statistics are required, but it does</w:t>
      </w:r>
      <w:r>
        <w:t xml:space="preserve"> </w:t>
      </w:r>
      <w:r>
        <w:rPr>
          <w:b/>
          <w:bCs/>
        </w:rPr>
        <w:t xml:space="preserve">not</w:t>
      </w:r>
      <w:r>
        <w:t xml:space="preserve"> </w:t>
      </w:r>
      <w:r>
        <w:t xml:space="preserve">produce per-tree instance identities — a critical requirement of the present project — and is therefore not selected as the primary modelling approach. Semantic segmentation appears in the present work only as a sanity-check baseline.</w:t>
      </w:r>
    </w:p>
    <w:bookmarkEnd w:id="33"/>
    <w:bookmarkStart w:id="34" w:name="the-domain-specialised-deepforest-model"/>
    <w:p>
      <w:pPr>
        <w:pStyle w:val="Heading3"/>
      </w:pPr>
      <w:r>
        <w:t xml:space="preserve">1.3.4 The domain-specialised DeepForest model</w:t>
      </w:r>
    </w:p>
    <w:p>
      <w:pPr>
        <w:pStyle w:val="FirstParagraph"/>
      </w:pPr>
      <w:r>
        <w:t xml:space="preserve">DeepForest [1] is a tree-specialised RetinaNet detector packaged as a Python library with pre-trained weights and a stable API. The original release was trained on a large semi-supervised dataset derived from the National Ecological Observatory Network (NEON) lidar campaigns over forested sites in the United States, and reported a baseline F1-score of approximately 0.65 on held-out NEON scenes.</w:t>
      </w:r>
    </w:p>
    <w:p>
      <w:pPr>
        <w:pStyle w:val="BodyText"/>
      </w:pPr>
      <w:r>
        <w:t xml:space="preserve">Because DeepForest is shipped with a permissive licence, pre-trained weights and a one-line</w:t>
      </w:r>
      <w:r>
        <w:t xml:space="preserve"> </w:t>
      </w:r>
      <w:r>
        <w:rPr>
          <w:rStyle w:val="VerbatimChar"/>
        </w:rPr>
        <w:t xml:space="preserve">predict_tile()</w:t>
      </w:r>
      <w:r>
        <w:t xml:space="preserve"> </w:t>
      </w:r>
      <w:r>
        <w:t xml:space="preserve">API, it has become the de-facto standard baseline for any new tree-detection work. The relevant question for the present project is therefore not whether to use DeepForest at all but whether and how to</w:t>
      </w:r>
      <w:r>
        <w:t xml:space="preserve"> </w:t>
      </w:r>
      <w:r>
        <w:rPr>
          <w:b/>
          <w:bCs/>
        </w:rPr>
        <w:t xml:space="preserve">fine-tune</w:t>
      </w:r>
      <w:r>
        <w:t xml:space="preserve"> </w:t>
      </w:r>
      <w:r>
        <w:t xml:space="preserve">it for the Astana domain.</w:t>
      </w:r>
    </w:p>
    <w:p>
      <w:pPr>
        <w:pStyle w:val="BodyText"/>
      </w:pPr>
      <w:r>
        <w:t xml:space="preserve">Two empirical results from the literature decisively answer this question. Ventura et al. [3] tested DeepForest off-the-shelf on 60-cm NAIP imagery of eight Californian cities and reported a precision of 0.735 but a</w:t>
      </w:r>
      <w:r>
        <w:t xml:space="preserve"> </w:t>
      </w:r>
      <w:r>
        <w:rPr>
          <w:b/>
          <w:bCs/>
        </w:rPr>
        <w:t xml:space="preserve">recall of only 0.294</w:t>
      </w:r>
      <w:r>
        <w:t xml:space="preserve">, for a final F-score of 0.42 — substantially below the 0.65 reported on the original NEON benchmark and clearly insufficient for production use. After fine-tuning DeepForest on a few hundred urban tiles the same authors recovered an F-score of</w:t>
      </w:r>
      <w:r>
        <w:t xml:space="preserve"> </w:t>
      </w:r>
      <w:r>
        <w:rPr>
          <w:b/>
          <w:bCs/>
        </w:rPr>
        <w:t xml:space="preserve">0.729</w:t>
      </w:r>
      <w:r>
        <w:t xml:space="preserve">, virtually identical to their bespoke HR-SFANet model. The conclusion is unambiguous:</w:t>
      </w:r>
      <w:r>
        <w:t xml:space="preserve"> </w:t>
      </w:r>
      <w:r>
        <w:rPr>
          <w:b/>
          <w:bCs/>
        </w:rPr>
        <w:t xml:space="preserve">DeepForest must be fine-tuned to be useful on urban imagery</w:t>
      </w:r>
      <w:r>
        <w:t xml:space="preserve">.</w:t>
      </w:r>
    </w:p>
    <w:p>
      <w:pPr>
        <w:pStyle w:val="BodyText"/>
      </w:pPr>
      <w:r>
        <w:t xml:space="preserve">The Sofia DeepForest work of Dakov and Petrova-Antonova [6] provides a complementary data point. They trained DeepForest on 826 manually-annotated trees and 98 cluster polygons in the Lozenets district of Sofia, Bulgaria, and reported a single-tree F1 between 0.674 and 0.685 — comparable to the original NEON benchmark but obtained on what is, geographically and architecturally, the closest analogue to Astana found in the entire literature surveyed. Critically, the authors explicitly write that DeepForest must be</w:t>
      </w:r>
      <w:r>
        <w:t xml:space="preserve"> </w:t>
      </w:r>
      <w:r>
        <w:t xml:space="preserve">“retrained for urban use because of obstructions by buildings, shade, and irregularly planted trees”</w:t>
      </w:r>
      <w:r>
        <w:t xml:space="preserve"> </w:t>
      </w:r>
      <w:r>
        <w:t xml:space="preserve">— exactly the conditions present in Astana, where Soviet-era micro-district planning produces a highly heterogeneous urban texture.</w:t>
      </w:r>
    </w:p>
    <w:p>
      <w:pPr>
        <w:pStyle w:val="BodyText"/>
      </w:pPr>
      <w:r>
        <w:t xml:space="preserve">These two data points — Ventura et al. and Dakov and Petrova-Antonova — establish the empirical foundation for the DeepForest branch of the present system and define the performance target: a fine-tuned DeepForest F1 in the 0.65 – 0.73 range, which would match the state of the art for European urban environments.</w:t>
      </w:r>
    </w:p>
    <w:bookmarkEnd w:id="34"/>
    <w:bookmarkStart w:id="35" w:name="foundation-models-segment-anything"/>
    <w:p>
      <w:pPr>
        <w:pStyle w:val="Heading3"/>
      </w:pPr>
      <w:r>
        <w:t xml:space="preserve">1.3.5 Foundation models: Segment Anything</w:t>
      </w:r>
    </w:p>
    <w:p>
      <w:pPr>
        <w:pStyle w:val="FirstParagraph"/>
      </w:pPr>
      <w:r>
        <w:t xml:space="preserve">The newest paradigm in the field is the</w:t>
      </w:r>
      <w:r>
        <w:t xml:space="preserve"> </w:t>
      </w:r>
      <w:r>
        <w:rPr>
          <w:b/>
          <w:bCs/>
        </w:rPr>
        <w:t xml:space="preserve">foundation-model</w:t>
      </w:r>
      <w:r>
        <w:t xml:space="preserve"> </w:t>
      </w:r>
      <w:r>
        <w:t xml:space="preserve">approach exemplified by the Segment Anything Model (SAM) [25]. SAM was trained by Meta AI on the SA-1B dataset of more than one billion masks across eleven million images and exposes a</w:t>
      </w:r>
      <w:r>
        <w:t xml:space="preserve"> </w:t>
      </w:r>
      <w:r>
        <w:rPr>
          <w:i/>
          <w:iCs/>
        </w:rPr>
        <w:t xml:space="preserve">prompt-based</w:t>
      </w:r>
      <w:r>
        <w:t xml:space="preserve"> </w:t>
      </w:r>
      <w:r>
        <w:t xml:space="preserve">interface in which the user supplies a point, a bounding box or a coarse mask, and the model returns a precise segmentation of the corresponding object.</w:t>
      </w:r>
    </w:p>
    <w:p>
      <w:pPr>
        <w:pStyle w:val="BodyText"/>
      </w:pPr>
      <w:r>
        <w:t xml:space="preserve">The critical property of SAM is its</w:t>
      </w:r>
      <w:r>
        <w:t xml:space="preserve"> </w:t>
      </w:r>
      <w:r>
        <w:rPr>
          <w:b/>
          <w:bCs/>
        </w:rPr>
        <w:t xml:space="preserve">zero-shot generalisation</w:t>
      </w:r>
      <w:r>
        <w:t xml:space="preserve">: because the model was trained on such a diverse dataset, it produces sharp masks even on object categories that were never explicitly labelled at training time, including trees in satellite imagery. The implication is that SAM can be used as a</w:t>
      </w:r>
      <w:r>
        <w:t xml:space="preserve"> </w:t>
      </w:r>
      <w:r>
        <w:rPr>
          <w:b/>
          <w:bCs/>
        </w:rPr>
        <w:t xml:space="preserve">mask-refinement stage</w:t>
      </w:r>
      <w:r>
        <w:t xml:space="preserve"> </w:t>
      </w:r>
      <w:r>
        <w:t xml:space="preserve">on top of any bounding-box detector — DeepForest in our case — without requiring an additional fine-tune. This idea is explored in detail in Section 2.6 of the methodology chapter.</w:t>
      </w:r>
    </w:p>
    <w:p>
      <w:pPr>
        <w:pStyle w:val="BodyText"/>
      </w:pPr>
      <w:r>
        <w:t xml:space="preserve">Although no SAM-for-tree-detection paper is present in the surveyed corpus (the closest are concurrent works that apply SAM to general remote-sensing segmentation), the rapid uptake of the model since its 2023 release and the simplicity of its API make its inclusion in the present project a low-risk, high-value design choice.</w:t>
      </w:r>
    </w:p>
    <w:bookmarkEnd w:id="35"/>
    <w:bookmarkEnd w:id="36"/>
    <w:bookmarkStart w:id="37" w:name="X8521abf3afd7b7e467a9475a21d882b36e4ddcb"/>
    <w:p>
      <w:pPr>
        <w:pStyle w:val="Heading2"/>
      </w:pPr>
      <w:r>
        <w:t xml:space="preserve">1.4 Quantitative results reported in the literature</w:t>
      </w:r>
    </w:p>
    <w:p>
      <w:pPr>
        <w:pStyle w:val="FirstParagraph"/>
      </w:pPr>
      <w:r>
        <w:t xml:space="preserve">Table 1.2 consolidates the best per-method results reported by the works surveyed above. It is the empirical basis on which the present project’s architectural choices are made, and the target against which the experimental results of Chapter 3 will be compared.</w:t>
      </w:r>
    </w:p>
    <w:p>
      <w:pPr>
        <w:pStyle w:val="BodyText"/>
      </w:pPr>
      <w:r>
        <w:rPr>
          <w:b/>
          <w:bCs/>
        </w:rPr>
        <w:t xml:space="preserve">Table 1.2 — Best reported results from the surveyed literature, sorted by method family.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Work</w:t>
            </w:r>
          </w:p>
        </w:tc>
        <w:tc>
          <w:tcPr/>
          <w:p>
            <w:pPr>
              <w:pStyle w:val="Compact"/>
            </w:pPr>
            <w:r>
              <w:t xml:space="preserve">Year</w:t>
            </w:r>
          </w:p>
        </w:tc>
        <w:tc>
          <w:tcPr/>
          <w:p>
            <w:pPr>
              <w:pStyle w:val="Compact"/>
            </w:pPr>
            <w:r>
              <w:t xml:space="preserve">Data</w:t>
            </w:r>
          </w:p>
        </w:tc>
        <w:tc>
          <w:tcPr/>
          <w:p>
            <w:pPr>
              <w:pStyle w:val="Compact"/>
            </w:pPr>
            <w:r>
              <w:t xml:space="preserve">Best metric</w:t>
            </w:r>
          </w:p>
        </w:tc>
      </w:tr>
      <w:tr>
        <w:tc>
          <w:tcPr/>
          <w:p>
            <w:pPr>
              <w:pStyle w:val="Compact"/>
            </w:pPr>
            <w:r>
              <w:t xml:space="preserve">Faster R-CNN</w:t>
            </w:r>
          </w:p>
        </w:tc>
        <w:tc>
          <w:tcPr/>
          <w:p>
            <w:pPr>
              <w:pStyle w:val="Compact"/>
            </w:pPr>
            <w:r>
              <w:t xml:space="preserve">dos Santos et al. [11]</w:t>
            </w:r>
          </w:p>
        </w:tc>
        <w:tc>
          <w:tcPr/>
          <w:p>
            <w:pPr>
              <w:pStyle w:val="Compact"/>
            </w:pPr>
            <w:r>
              <w:t xml:space="preserve">2019</w:t>
            </w:r>
          </w:p>
        </w:tc>
        <w:tc>
          <w:tcPr/>
          <w:p>
            <w:pPr>
              <w:pStyle w:val="Compact"/>
            </w:pPr>
            <w:r>
              <w:t xml:space="preserve">UAV RGB, Campo Grande</w:t>
            </w:r>
          </w:p>
        </w:tc>
        <w:tc>
          <w:tcPr/>
          <w:p>
            <w:pPr>
              <w:pStyle w:val="Compact"/>
            </w:pPr>
            <w:r>
              <w:t xml:space="preserve">AP = 82.48 %</w:t>
            </w:r>
          </w:p>
        </w:tc>
      </w:tr>
      <w:tr>
        <w:tc>
          <w:tcPr/>
          <w:p>
            <w:pPr>
              <w:pStyle w:val="Compact"/>
            </w:pPr>
            <w:r>
              <w:t xml:space="preserve">Mask R-CNN (MCAN)</w:t>
            </w:r>
          </w:p>
        </w:tc>
        <w:tc>
          <w:tcPr/>
          <w:p>
            <w:pPr>
              <w:pStyle w:val="Compact"/>
            </w:pPr>
            <w:r>
              <w:t xml:space="preserve">Lv et al. [8]</w:t>
            </w:r>
          </w:p>
        </w:tc>
        <w:tc>
          <w:tcPr/>
          <w:p>
            <w:pPr>
              <w:pStyle w:val="Compact"/>
            </w:pPr>
            <w:r>
              <w:t xml:space="preserve">2023</w:t>
            </w:r>
          </w:p>
        </w:tc>
        <w:tc>
          <w:tcPr/>
          <w:p>
            <w:pPr>
              <w:pStyle w:val="Compact"/>
            </w:pPr>
            <w:r>
              <w:t xml:space="preserve">UAV RGB, Zhejiang</w:t>
            </w:r>
          </w:p>
        </w:tc>
        <w:tc>
          <w:tcPr/>
          <w:p>
            <w:pPr>
              <w:pStyle w:val="Compact"/>
            </w:pPr>
            <w:r>
              <w:t xml:space="preserve">Det AP = 92.40 %, Seg AP = 97.70 %</w:t>
            </w:r>
          </w:p>
        </w:tc>
      </w:tr>
      <w:tr>
        <w:tc>
          <w:tcPr/>
          <w:p>
            <w:pPr>
              <w:pStyle w:val="Compact"/>
            </w:pPr>
            <w:r>
              <w:t xml:space="preserve">RetinaNet</w:t>
            </w:r>
          </w:p>
        </w:tc>
        <w:tc>
          <w:tcPr/>
          <w:p>
            <w:pPr>
              <w:pStyle w:val="Compact"/>
            </w:pPr>
            <w:r>
              <w:t xml:space="preserve">dos Santos et al. [11]</w:t>
            </w:r>
          </w:p>
        </w:tc>
        <w:tc>
          <w:tcPr/>
          <w:p>
            <w:pPr>
              <w:pStyle w:val="Compact"/>
            </w:pPr>
            <w:r>
              <w:t xml:space="preserve">2019</w:t>
            </w:r>
          </w:p>
        </w:tc>
        <w:tc>
          <w:tcPr/>
          <w:p>
            <w:pPr>
              <w:pStyle w:val="Compact"/>
            </w:pPr>
            <w:r>
              <w:t xml:space="preserve">UAV RGB, Campo Grande</w:t>
            </w:r>
          </w:p>
        </w:tc>
        <w:tc>
          <w:tcPr/>
          <w:p>
            <w:pPr>
              <w:pStyle w:val="Compact"/>
            </w:pPr>
            <w:r>
              <w:t xml:space="preserve">AP = 92.64 %</w:t>
            </w:r>
          </w:p>
        </w:tc>
      </w:tr>
      <w:tr>
        <w:tc>
          <w:tcPr/>
          <w:p>
            <w:pPr>
              <w:pStyle w:val="Compact"/>
            </w:pPr>
            <w:r>
              <w:t xml:space="preserve">YOLOv3</w:t>
            </w:r>
          </w:p>
        </w:tc>
        <w:tc>
          <w:tcPr/>
          <w:p>
            <w:pPr>
              <w:pStyle w:val="Compact"/>
            </w:pPr>
            <w:r>
              <w:t xml:space="preserve">dos Santos et al. [11]</w:t>
            </w:r>
          </w:p>
        </w:tc>
        <w:tc>
          <w:tcPr/>
          <w:p>
            <w:pPr>
              <w:pStyle w:val="Compact"/>
            </w:pPr>
            <w:r>
              <w:t xml:space="preserve">2019</w:t>
            </w:r>
          </w:p>
        </w:tc>
        <w:tc>
          <w:tcPr/>
          <w:p>
            <w:pPr>
              <w:pStyle w:val="Compact"/>
            </w:pPr>
            <w:r>
              <w:t xml:space="preserve">UAV RGB, Campo Grande</w:t>
            </w:r>
          </w:p>
        </w:tc>
        <w:tc>
          <w:tcPr/>
          <w:p>
            <w:pPr>
              <w:pStyle w:val="Compact"/>
            </w:pPr>
            <w:r>
              <w:t xml:space="preserve">AP = 85.88 %</w:t>
            </w:r>
          </w:p>
        </w:tc>
      </w:tr>
      <w:tr>
        <w:tc>
          <w:tcPr/>
          <w:p>
            <w:pPr>
              <w:pStyle w:val="Compact"/>
            </w:pPr>
            <w:r>
              <w:t xml:space="preserve">YOLOv4-Lite</w:t>
            </w:r>
          </w:p>
        </w:tc>
        <w:tc>
          <w:tcPr/>
          <w:p>
            <w:pPr>
              <w:pStyle w:val="Compact"/>
            </w:pPr>
            <w:r>
              <w:t xml:space="preserve">Zheng and Wu [12]</w:t>
            </w:r>
          </w:p>
        </w:tc>
        <w:tc>
          <w:tcPr/>
          <w:p>
            <w:pPr>
              <w:pStyle w:val="Compact"/>
            </w:pPr>
            <w:r>
              <w:t xml:space="preserve">2022</w:t>
            </w:r>
          </w:p>
        </w:tc>
        <w:tc>
          <w:tcPr/>
          <w:p>
            <w:pPr>
              <w:pStyle w:val="Compact"/>
            </w:pPr>
            <w:r>
              <w:t xml:space="preserve">Google Earth 0.27 m</w:t>
            </w:r>
          </w:p>
        </w:tc>
        <w:tc>
          <w:tcPr/>
          <w:p>
            <w:pPr>
              <w:pStyle w:val="Compact"/>
            </w:pPr>
            <w:r>
              <w:t xml:space="preserve">Acc = 96.3 % (campus)</w:t>
            </w:r>
          </w:p>
        </w:tc>
      </w:tr>
      <w:tr>
        <w:tc>
          <w:tcPr/>
          <w:p>
            <w:pPr>
              <w:pStyle w:val="Compact"/>
            </w:pPr>
            <w:r>
              <w:t xml:space="preserve">YOLOv5x</w:t>
            </w:r>
          </w:p>
        </w:tc>
        <w:tc>
          <w:tcPr/>
          <w:p>
            <w:pPr>
              <w:pStyle w:val="Compact"/>
            </w:pPr>
            <w:r>
              <w:t xml:space="preserve">Velasquez-Camacho et al. [4]</w:t>
            </w:r>
          </w:p>
        </w:tc>
        <w:tc>
          <w:tcPr/>
          <w:p>
            <w:pPr>
              <w:pStyle w:val="Compact"/>
            </w:pPr>
            <w:r>
              <w:t xml:space="preserve">2023</w:t>
            </w:r>
          </w:p>
        </w:tc>
        <w:tc>
          <w:tcPr/>
          <w:p>
            <w:pPr>
              <w:pStyle w:val="Compact"/>
            </w:pPr>
            <w:r>
              <w:t xml:space="preserve">Aerial + sat., Lleida</w:t>
            </w:r>
          </w:p>
        </w:tc>
        <w:tc>
          <w:tcPr/>
          <w:p>
            <w:pPr>
              <w:pStyle w:val="Compact"/>
            </w:pPr>
            <w:r>
              <w:t xml:space="preserve">F1 = 84.9 %</w:t>
            </w:r>
          </w:p>
        </w:tc>
      </w:tr>
      <w:tr>
        <w:tc>
          <w:tcPr/>
          <w:p>
            <w:pPr>
              <w:pStyle w:val="Compact"/>
            </w:pPr>
            <w:r>
              <w:t xml:space="preserve">YOLOv8 (Wellington)</w:t>
            </w:r>
          </w:p>
        </w:tc>
        <w:tc>
          <w:tcPr/>
          <w:p>
            <w:pPr>
              <w:pStyle w:val="Compact"/>
            </w:pPr>
            <w:r>
              <w:t xml:space="preserve">Sun [7]</w:t>
            </w:r>
          </w:p>
        </w:tc>
        <w:tc>
          <w:tcPr/>
          <w:p>
            <w:pPr>
              <w:pStyle w:val="Compact"/>
            </w:pPr>
            <w:r>
              <w:t xml:space="preserve">2025</w:t>
            </w:r>
          </w:p>
        </w:tc>
        <w:tc>
          <w:tcPr/>
          <w:p>
            <w:pPr>
              <w:pStyle w:val="Compact"/>
            </w:pPr>
            <w:r>
              <w:t xml:space="preserve">Aerial, Wellington</w:t>
            </w:r>
          </w:p>
        </w:tc>
        <w:tc>
          <w:tcPr/>
          <w:p>
            <w:pPr>
              <w:pStyle w:val="Compact"/>
            </w:pPr>
            <w:r>
              <w:t xml:space="preserve">Best Box AP and Mask AP among Mask R-CNN / YOLOv5 / SOLOv2</w:t>
            </w:r>
          </w:p>
        </w:tc>
      </w:tr>
      <w:tr>
        <w:tc>
          <w:tcPr/>
          <w:p>
            <w:pPr>
              <w:pStyle w:val="Compact"/>
            </w:pPr>
            <w:r>
              <w:t xml:space="preserve">YOLOv12m</w:t>
            </w:r>
          </w:p>
        </w:tc>
        <w:tc>
          <w:tcPr/>
          <w:p>
            <w:pPr>
              <w:pStyle w:val="Compact"/>
            </w:pPr>
            <w:r>
              <w:t xml:space="preserve">Abbas and Damaševičius [2]</w:t>
            </w:r>
          </w:p>
        </w:tc>
        <w:tc>
          <w:tcPr/>
          <w:p>
            <w:pPr>
              <w:pStyle w:val="Compact"/>
            </w:pPr>
            <w:r>
              <w:t xml:space="preserve">2025</w:t>
            </w:r>
          </w:p>
        </w:tc>
        <w:tc>
          <w:tcPr/>
          <w:p>
            <w:pPr>
              <w:pStyle w:val="Compact"/>
            </w:pPr>
            <w:r>
              <w:t xml:space="preserve">RGB satellite, 3 157 imgs</w:t>
            </w:r>
          </w:p>
        </w:tc>
        <w:tc>
          <w:tcPr/>
          <w:p>
            <w:pPr>
              <w:pStyle w:val="Compact"/>
            </w:pPr>
            <w:r>
              <w:t xml:space="preserve">mAP@50 =</w:t>
            </w:r>
            <w:r>
              <w:t xml:space="preserve"> </w:t>
            </w:r>
            <w:r>
              <w:rPr>
                <w:b/>
                <w:bCs/>
              </w:rPr>
              <w:t xml:space="preserve">90.8 %</w:t>
            </w:r>
            <w:r>
              <w:t xml:space="preserve">, mAP@50:95 = 58.1 %</w:t>
            </w:r>
          </w:p>
        </w:tc>
      </w:tr>
      <w:tr>
        <w:tc>
          <w:tcPr/>
          <w:p>
            <w:pPr>
              <w:pStyle w:val="Compact"/>
            </w:pPr>
            <w:r>
              <w:t xml:space="preserve">U-Net</w:t>
            </w:r>
          </w:p>
        </w:tc>
        <w:tc>
          <w:tcPr/>
          <w:p>
            <w:pPr>
              <w:pStyle w:val="Compact"/>
            </w:pPr>
            <w:r>
              <w:t xml:space="preserve">Wang et al. [9]</w:t>
            </w:r>
          </w:p>
        </w:tc>
        <w:tc>
          <w:tcPr/>
          <w:p>
            <w:pPr>
              <w:pStyle w:val="Compact"/>
            </w:pPr>
            <w:r>
              <w:t xml:space="preserve">2021</w:t>
            </w:r>
          </w:p>
        </w:tc>
        <w:tc>
          <w:tcPr/>
          <w:p>
            <w:pPr>
              <w:pStyle w:val="Compact"/>
            </w:pPr>
            <w:r>
              <w:t xml:space="preserve">Aerial 32 cm, Vaihingen</w:t>
            </w:r>
          </w:p>
        </w:tc>
        <w:tc>
          <w:tcPr/>
          <w:p>
            <w:pPr>
              <w:pStyle w:val="Compact"/>
            </w:pPr>
            <w:r>
              <w:t xml:space="preserve">OA = 99.14 %, IoU = 96.38 %</w:t>
            </w:r>
          </w:p>
        </w:tc>
      </w:tr>
      <w:tr>
        <w:tc>
          <w:tcPr/>
          <w:p>
            <w:pPr>
              <w:pStyle w:val="Compact"/>
            </w:pPr>
            <w:r>
              <w:t xml:space="preserve">DeepLabV3+</w:t>
            </w:r>
          </w:p>
        </w:tc>
        <w:tc>
          <w:tcPr/>
          <w:p>
            <w:pPr>
              <w:pStyle w:val="Compact"/>
            </w:pPr>
            <w:r>
              <w:t xml:space="preserve">Martins et al. [10]</w:t>
            </w:r>
          </w:p>
        </w:tc>
        <w:tc>
          <w:tcPr/>
          <w:p>
            <w:pPr>
              <w:pStyle w:val="Compact"/>
            </w:pPr>
            <w:r>
              <w:t xml:space="preserve">2021</w:t>
            </w:r>
          </w:p>
        </w:tc>
        <w:tc>
          <w:tcPr/>
          <w:p>
            <w:pPr>
              <w:pStyle w:val="Compact"/>
            </w:pPr>
            <w:r>
              <w:t xml:space="preserve">Aerial 10 cm, Campo Grande</w:t>
            </w:r>
          </w:p>
        </w:tc>
        <w:tc>
          <w:tcPr/>
          <w:p>
            <w:pPr>
              <w:pStyle w:val="Compact"/>
            </w:pPr>
            <w:r>
              <w:t xml:space="preserve">F1 = 91.4 %, IoU = 73.89 %</w:t>
            </w:r>
          </w:p>
        </w:tc>
      </w:tr>
      <w:tr>
        <w:tc>
          <w:tcPr/>
          <w:p>
            <w:pPr>
              <w:pStyle w:val="Compact"/>
            </w:pPr>
            <w:r>
              <w:t xml:space="preserve">DeepForest off-the-shelf (urban)</w:t>
            </w:r>
          </w:p>
        </w:tc>
        <w:tc>
          <w:tcPr/>
          <w:p>
            <w:pPr>
              <w:pStyle w:val="Compact"/>
            </w:pPr>
            <w:r>
              <w:t xml:space="preserve">Ventura et al. [3]</w:t>
            </w:r>
          </w:p>
        </w:tc>
        <w:tc>
          <w:tcPr/>
          <w:p>
            <w:pPr>
              <w:pStyle w:val="Compact"/>
            </w:pPr>
            <w:r>
              <w:t xml:space="preserve">2024</w:t>
            </w:r>
          </w:p>
        </w:tc>
        <w:tc>
          <w:tcPr/>
          <w:p>
            <w:pPr>
              <w:pStyle w:val="Compact"/>
            </w:pPr>
            <w:r>
              <w:t xml:space="preserve">NAIP 60 cm, 8 CA cities</w:t>
            </w:r>
          </w:p>
        </w:tc>
        <w:tc>
          <w:tcPr/>
          <w:p>
            <w:pPr>
              <w:pStyle w:val="Compact"/>
            </w:pPr>
            <w:r>
              <w:t xml:space="preserve">F =</w:t>
            </w:r>
            <w:r>
              <w:t xml:space="preserve"> </w:t>
            </w:r>
            <w:r>
              <w:rPr>
                <w:b/>
                <w:bCs/>
              </w:rPr>
              <w:t xml:space="preserve">0.42</w:t>
            </w:r>
            <w:r>
              <w:t xml:space="preserve"> </w:t>
            </w:r>
            <w:r>
              <w:t xml:space="preserve">(P = 0.74, R = 0.29)</w:t>
            </w:r>
          </w:p>
        </w:tc>
      </w:tr>
      <w:tr>
        <w:tc>
          <w:tcPr/>
          <w:p>
            <w:pPr>
              <w:pStyle w:val="Compact"/>
            </w:pPr>
            <w:r>
              <w:t xml:space="preserve">DeepForest fine-tuned (urban)</w:t>
            </w:r>
          </w:p>
        </w:tc>
        <w:tc>
          <w:tcPr/>
          <w:p>
            <w:pPr>
              <w:pStyle w:val="Compact"/>
            </w:pPr>
            <w:r>
              <w:t xml:space="preserve">Ventura et al. [3]</w:t>
            </w:r>
          </w:p>
        </w:tc>
        <w:tc>
          <w:tcPr/>
          <w:p>
            <w:pPr>
              <w:pStyle w:val="Compact"/>
            </w:pPr>
            <w:r>
              <w:t xml:space="preserve">2024</w:t>
            </w:r>
          </w:p>
        </w:tc>
        <w:tc>
          <w:tcPr/>
          <w:p>
            <w:pPr>
              <w:pStyle w:val="Compact"/>
            </w:pPr>
            <w:r>
              <w:t xml:space="preserve">NAIP 60 cm, 8 CA cities</w:t>
            </w:r>
          </w:p>
        </w:tc>
        <w:tc>
          <w:tcPr/>
          <w:p>
            <w:pPr>
              <w:pStyle w:val="Compact"/>
            </w:pPr>
            <w:r>
              <w:t xml:space="preserve">F =</w:t>
            </w:r>
            <w:r>
              <w:t xml:space="preserve"> </w:t>
            </w:r>
            <w:r>
              <w:rPr>
                <w:b/>
                <w:bCs/>
              </w:rPr>
              <w:t xml:space="preserve">0.729</w:t>
            </w:r>
          </w:p>
        </w:tc>
      </w:tr>
      <w:tr>
        <w:tc>
          <w:tcPr/>
          <w:p>
            <w:pPr>
              <w:pStyle w:val="Compact"/>
            </w:pPr>
            <w:r>
              <w:t xml:space="preserve">DeepForest urban (Sofia)</w:t>
            </w:r>
          </w:p>
        </w:tc>
        <w:tc>
          <w:tcPr/>
          <w:p>
            <w:pPr>
              <w:pStyle w:val="Compact"/>
            </w:pPr>
            <w:r>
              <w:t xml:space="preserve">Dakov and Petrova-Antonova [6]</w:t>
            </w:r>
          </w:p>
        </w:tc>
        <w:tc>
          <w:tcPr/>
          <w:p>
            <w:pPr>
              <w:pStyle w:val="Compact"/>
            </w:pPr>
            <w:r>
              <w:t xml:space="preserve">2024</w:t>
            </w:r>
          </w:p>
        </w:tc>
        <w:tc>
          <w:tcPr/>
          <w:p>
            <w:pPr>
              <w:pStyle w:val="Compact"/>
            </w:pPr>
            <w:r>
              <w:t xml:space="preserve">Aerial 10 cm, Sofia</w:t>
            </w:r>
          </w:p>
        </w:tc>
        <w:tc>
          <w:tcPr/>
          <w:p>
            <w:pPr>
              <w:pStyle w:val="Compact"/>
            </w:pPr>
            <w:r>
              <w:t xml:space="preserve">F1 = 0.674 – 0.685</w:t>
            </w:r>
          </w:p>
        </w:tc>
      </w:tr>
      <w:tr>
        <w:tc>
          <w:tcPr/>
          <w:p>
            <w:pPr>
              <w:pStyle w:val="Compact"/>
            </w:pPr>
            <w:r>
              <w:t xml:space="preserve">DeepForest urban (Lleida)</w:t>
            </w:r>
          </w:p>
        </w:tc>
        <w:tc>
          <w:tcPr/>
          <w:p>
            <w:pPr>
              <w:pStyle w:val="Compact"/>
            </w:pPr>
            <w:r>
              <w:t xml:space="preserve">Velasquez-Camacho et al. [4]</w:t>
            </w:r>
          </w:p>
        </w:tc>
        <w:tc>
          <w:tcPr/>
          <w:p>
            <w:pPr>
              <w:pStyle w:val="Compact"/>
            </w:pPr>
            <w:r>
              <w:t xml:space="preserve">2023</w:t>
            </w:r>
          </w:p>
        </w:tc>
        <w:tc>
          <w:tcPr/>
          <w:p>
            <w:pPr>
              <w:pStyle w:val="Compact"/>
            </w:pPr>
            <w:r>
              <w:t xml:space="preserve">Aerial + sat., Lleida</w:t>
            </w:r>
          </w:p>
        </w:tc>
        <w:tc>
          <w:tcPr/>
          <w:p>
            <w:pPr>
              <w:pStyle w:val="Compact"/>
            </w:pPr>
            <w:r>
              <w:t xml:space="preserve">F = 78.0 %</w:t>
            </w:r>
          </w:p>
        </w:tc>
      </w:tr>
      <w:tr>
        <w:tc>
          <w:tcPr/>
          <w:p>
            <w:pPr>
              <w:pStyle w:val="Compact"/>
            </w:pPr>
            <w:r>
              <w:t xml:space="preserve">CASNet sub-pixel</w:t>
            </w:r>
          </w:p>
        </w:tc>
        <w:tc>
          <w:tcPr/>
          <w:p>
            <w:pPr>
              <w:pStyle w:val="Compact"/>
            </w:pPr>
            <w:r>
              <w:t xml:space="preserve">He et al. [14]</w:t>
            </w:r>
          </w:p>
        </w:tc>
        <w:tc>
          <w:tcPr/>
          <w:p>
            <w:pPr>
              <w:pStyle w:val="Compact"/>
            </w:pPr>
            <w:r>
              <w:t xml:space="preserve">2022</w:t>
            </w:r>
          </w:p>
        </w:tc>
        <w:tc>
          <w:tcPr/>
          <w:p>
            <w:pPr>
              <w:pStyle w:val="Compact"/>
            </w:pPr>
            <w:r>
              <w:t xml:space="preserve">Sentinel-2, 34 Chinese cities</w:t>
            </w:r>
          </w:p>
        </w:tc>
        <w:tc>
          <w:tcPr/>
          <w:p>
            <w:pPr>
              <w:pStyle w:val="Compact"/>
            </w:pPr>
            <w:r>
              <w:t xml:space="preserve">OA = 88.6 %</w:t>
            </w:r>
          </w:p>
        </w:tc>
      </w:tr>
      <w:tr>
        <w:tc>
          <w:tcPr/>
          <w:p>
            <w:pPr>
              <w:pStyle w:val="Compact"/>
            </w:pPr>
            <w:r>
              <w:t xml:space="preserve">MUFCH (canopy height)</w:t>
            </w:r>
          </w:p>
        </w:tc>
        <w:tc>
          <w:tcPr/>
          <w:p>
            <w:pPr>
              <w:pStyle w:val="Compact"/>
            </w:pPr>
            <w:r>
              <w:t xml:space="preserve">Xu et al. [16]</w:t>
            </w:r>
          </w:p>
        </w:tc>
        <w:tc>
          <w:tcPr/>
          <w:p>
            <w:pPr>
              <w:pStyle w:val="Compact"/>
            </w:pPr>
            <w:r>
              <w:t xml:space="preserve">2025</w:t>
            </w:r>
          </w:p>
        </w:tc>
        <w:tc>
          <w:tcPr/>
          <w:p>
            <w:pPr>
              <w:pStyle w:val="Compact"/>
            </w:pPr>
            <w:r>
              <w:t xml:space="preserve">Sentinel-2 + OSM, Beijing</w:t>
            </w:r>
          </w:p>
        </w:tc>
        <w:tc>
          <w:tcPr/>
          <w:p>
            <w:pPr>
              <w:pStyle w:val="Compact"/>
            </w:pPr>
            <w:r>
              <w:t xml:space="preserve">MAE = 2.02 m</w:t>
            </w:r>
          </w:p>
        </w:tc>
      </w:tr>
    </w:tbl>
    <w:p>
      <w:pPr>
        <w:pStyle w:val="BodyText"/>
      </w:pPr>
      <w:r>
        <w:t xml:space="preserve">Three observations follow from this table.</w:t>
      </w:r>
    </w:p>
    <w:p>
      <w:pPr>
        <w:pStyle w:val="BodyText"/>
      </w:pPr>
      <w:r>
        <w:t xml:space="preserve">First,</w:t>
      </w:r>
      <w:r>
        <w:t xml:space="preserve"> </w:t>
      </w:r>
      <w:r>
        <w:rPr>
          <w:b/>
          <w:bCs/>
        </w:rPr>
        <w:t xml:space="preserve">the best reported numbers are very high</w:t>
      </w:r>
      <w:r>
        <w:t xml:space="preserve">. State-of-the-art detection models routinely exceed 90 % mean average precision at IoU = 0.5 and 95 % accuracy in semantic segmentation. The bar for any new work is therefore high in absolute terms.</w:t>
      </w:r>
    </w:p>
    <w:p>
      <w:pPr>
        <w:pStyle w:val="BodyText"/>
      </w:pPr>
      <w:r>
        <w:t xml:space="preserve">Second,</w:t>
      </w:r>
      <w:r>
        <w:t xml:space="preserve"> </w:t>
      </w:r>
      <w:r>
        <w:rPr>
          <w:b/>
          <w:bCs/>
        </w:rPr>
        <w:t xml:space="preserve">all the best results are obtained on datasets from the United States, Europe, China, Brazil or New Zealand</w:t>
      </w:r>
      <w:r>
        <w:t xml:space="preserve">. There is</w:t>
      </w:r>
      <w:r>
        <w:t xml:space="preserve"> </w:t>
      </w:r>
      <w:r>
        <w:rPr>
          <w:b/>
          <w:bCs/>
        </w:rPr>
        <w:t xml:space="preserve">no</w:t>
      </w:r>
      <w:r>
        <w:t xml:space="preserve"> </w:t>
      </w:r>
      <w:r>
        <w:t xml:space="preserve">paper in the surveyed corpus that evaluates any of these methods on Central-Asian imagery, no paper that uses imagery of Kazakhstan, and no paper that addresses the specific architectural and floristic context of a Soviet-era micro-district city.</w:t>
      </w:r>
    </w:p>
    <w:p>
      <w:pPr>
        <w:pStyle w:val="BodyText"/>
      </w:pPr>
      <w:r>
        <w:t xml:space="preserve">Third, the</w:t>
      </w:r>
      <w:r>
        <w:t xml:space="preserve"> </w:t>
      </w:r>
      <w:r>
        <w:rPr>
          <w:b/>
          <w:bCs/>
        </w:rPr>
        <w:t xml:space="preserve">gap between off-the-shelf and fine-tuned DeepForest is enormous</w:t>
      </w:r>
      <w:r>
        <w:t xml:space="preserve">: 0.42 to 0.73 F1 on the same data after a few hundred annotations [3]. This is the single most important quantitative finding of the entire literature for the present work, because it directly justifies the time investment that the team spent on building a custom Astana annotated dataset.</w:t>
      </w:r>
    </w:p>
    <w:bookmarkEnd w:id="37"/>
    <w:bookmarkStart w:id="38" w:name="the-geographic-generalisation-gap"/>
    <w:p>
      <w:pPr>
        <w:pStyle w:val="Heading2"/>
      </w:pPr>
      <w:r>
        <w:t xml:space="preserve">1.5 The geographic generalisation gap</w:t>
      </w:r>
    </w:p>
    <w:p>
      <w:pPr>
        <w:pStyle w:val="FirstParagraph"/>
      </w:pPr>
      <w:r>
        <w:t xml:space="preserve">The pattern observed in the literature — high in-domain performance, large performance drop on out-of-domain imagery — is sometimes called the</w:t>
      </w:r>
      <w:r>
        <w:t xml:space="preserve"> </w:t>
      </w:r>
      <w:r>
        <w:rPr>
          <w:b/>
          <w:bCs/>
        </w:rPr>
        <w:t xml:space="preserve">geographic generalisation gap</w:t>
      </w:r>
      <w:r>
        <w:t xml:space="preserve">. It is not specific to tree detection: similar drops have been reported in building segmentation, land-cover classification and road extraction whenever a model trained in one country is applied without fine-tuning to imagery of another country.</w:t>
      </w:r>
    </w:p>
    <w:p>
      <w:pPr>
        <w:pStyle w:val="BodyText"/>
      </w:pPr>
      <w:r>
        <w:t xml:space="preserve">Four factors are commonly invoked to explain the gap:</w:t>
      </w:r>
    </w:p>
    <w:p>
      <w:pPr>
        <w:numPr>
          <w:ilvl w:val="0"/>
          <w:numId w:val="1005"/>
        </w:numPr>
      </w:pPr>
      <w:r>
        <w:rPr>
          <w:b/>
          <w:bCs/>
        </w:rPr>
        <w:t xml:space="preserve">Floristic differences.</w:t>
      </w:r>
      <w:r>
        <w:t xml:space="preserve"> </w:t>
      </w:r>
      <w:r>
        <w:t xml:space="preserve">Models trained on American oaks, maples and pines learn crown silhouettes that do not match the poplars, elms, birches and apricots that dominate Astana’s urban canopy. The DeepForest authors themselves acknowledge that the model’s NEON pre-training contains</w:t>
      </w:r>
      <w:r>
        <w:t xml:space="preserve"> </w:t>
      </w:r>
      <w:r>
        <w:t xml:space="preserve">“mostly broadleaf and conifer species typical of North-American temperate forests”</w:t>
      </w:r>
      <w:r>
        <w:t xml:space="preserve"> </w:t>
      </w:r>
      <w:r>
        <w:t xml:space="preserve">[1]; Kazakh urban arboriculture is dominated by</w:t>
      </w:r>
      <w:r>
        <w:t xml:space="preserve"> </w:t>
      </w:r>
      <w:r>
        <w:rPr>
          <w:i/>
          <w:iCs/>
        </w:rPr>
        <w:t xml:space="preserve">Populus</w:t>
      </w:r>
      <w:r>
        <w:t xml:space="preserve"> </w:t>
      </w:r>
      <w:r>
        <w:t xml:space="preserve">species which present a tall, narrow, sparse crown that is visually very different from the dense round broadleaf canopies in the NEON data.</w:t>
      </w:r>
    </w:p>
    <w:p>
      <w:pPr>
        <w:numPr>
          <w:ilvl w:val="0"/>
          <w:numId w:val="1005"/>
        </w:numPr>
      </w:pPr>
      <w:r>
        <w:rPr>
          <w:b/>
          <w:bCs/>
        </w:rPr>
        <w:t xml:space="preserve">Urban-morphology differences.</w:t>
      </w:r>
      <w:r>
        <w:t xml:space="preserve"> </w:t>
      </w:r>
      <w:r>
        <w:t xml:space="preserve">Soviet-era micro-district planning produces a regular grid of multi-storey apartment blocks separated by narrow strips of green space, with row-planted street trees along arterial avenues. This morphology is qualitatively different from the suburban-sprawl morphology that dominates the U.S. urban-tree benchmarks and from the dense historic-city morphology of European benchmarks. Shadow patterns, building-cast occlusion and ground-cover composition are therefore all different.</w:t>
      </w:r>
    </w:p>
    <w:p>
      <w:pPr>
        <w:numPr>
          <w:ilvl w:val="0"/>
          <w:numId w:val="1005"/>
        </w:numPr>
      </w:pPr>
      <w:r>
        <w:rPr>
          <w:b/>
          <w:bCs/>
        </w:rPr>
        <w:t xml:space="preserve">Resolution and acquisition-geometry mismatch.</w:t>
      </w:r>
      <w:r>
        <w:t xml:space="preserve"> </w:t>
      </w:r>
      <w:r>
        <w:t xml:space="preserve">Cards trained on UAV imagery with a vertical optical axis cannot transfer trivially to satellite imagery whose look-angle can deviate by up to 30° from nadir. The Astana acquisitions from ESRI World Imagery and Google Earth are made with a variable look-angle and at a variable time of year, leading to large variations in tree-shadow direction and length within a single image.</w:t>
      </w:r>
    </w:p>
    <w:p>
      <w:pPr>
        <w:numPr>
          <w:ilvl w:val="0"/>
          <w:numId w:val="1005"/>
        </w:numPr>
      </w:pPr>
      <w:r>
        <w:rPr>
          <w:b/>
          <w:bCs/>
        </w:rPr>
        <w:t xml:space="preserve">Annotation-policy differences.</w:t>
      </w:r>
      <w:r>
        <w:t xml:space="preserve"> </w:t>
      </w:r>
      <w:r>
        <w:t xml:space="preserve">Even when the model and the imagery are nominally compatible, the labelling convention can differ between datasets: some annotators label every visible tree crown regardless of whether the trunk is visible, others label only trees that can be uniquely traced to a trunk, others still label clusters of trees as a single polygon. The Astana annotation in the present work follows the per-crown convention used by the original DeepForest dataset.</w:t>
      </w:r>
    </w:p>
    <w:p>
      <w:pPr>
        <w:pStyle w:val="FirstParagraph"/>
      </w:pPr>
      <w:r>
        <w:t xml:space="preserve">The conclusion of this section is that an off-the-shelf model cannot be expected to deliver state-of-the-art numbers on Astana imagery and that some form of domain adaptation — fine-tuning, ensemble or both — is mandatory. This conclusion is the principal motivation for the methodology of Chapter 2.</w:t>
      </w:r>
    </w:p>
    <w:bookmarkEnd w:id="38"/>
    <w:bookmarkStart w:id="39" w:name="problem-statement"/>
    <w:p>
      <w:pPr>
        <w:pStyle w:val="Heading2"/>
      </w:pPr>
      <w:r>
        <w:t xml:space="preserve">1.6 Problem statement</w:t>
      </w:r>
    </w:p>
    <w:p>
      <w:pPr>
        <w:pStyle w:val="FirstParagraph"/>
      </w:pPr>
      <w:r>
        <w:t xml:space="preserve">Based on the analysis above, the problem solved in the present work can be stated formally as follows.</w:t>
      </w:r>
    </w:p>
    <w:p>
      <w:pPr>
        <w:pStyle w:val="BodyText"/>
      </w:pPr>
      <w:r>
        <w:rPr>
          <w:b/>
          <w:bCs/>
        </w:rPr>
        <w:t xml:space="preserve">Given:</w:t>
      </w:r>
      <w:r>
        <w:t xml:space="preserve"> </w:t>
      </w:r>
      <w:r>
        <w:t xml:space="preserve">a colour satellite image of an arbitrary area of Astana at a ground sampling distance of approximately 0.3 – 1 m per pixel, optionally accompanied by geographic metadata (a GeoTIFF affine transform, or two/four corner coordinates supplied by the user, or none).</w:t>
      </w:r>
    </w:p>
    <w:p>
      <w:pPr>
        <w:pStyle w:val="BodyText"/>
      </w:pPr>
      <w:r>
        <w:rPr>
          <w:b/>
          <w:bCs/>
        </w:rPr>
        <w:t xml:space="preserve">Produce:</w:t>
      </w:r>
      <w:r>
        <w:t xml:space="preserve"> </w:t>
      </w:r>
      <w:r>
        <w:t xml:space="preserve">an inventory</w:t>
      </w:r>
      <w:r>
        <w:t xml:space="preserve"> </w:t>
      </w:r>
      <m:oMath>
        <m:r>
          <m:t>I</m:t>
        </m:r>
        <m:r>
          <m:rPr>
            <m:sty m:val="p"/>
          </m:rPr>
          <m:t>=</m:t>
        </m:r>
        <m:r>
          <m:rPr>
            <m:sty m:val="p"/>
          </m:rPr>
          <m:t>{</m:t>
        </m:r>
        <m:r>
          <m:rPr>
            <m:sty m:val="p"/>
          </m:rPr>
          <m:t>(</m:t>
        </m:r>
        <m:sSub>
          <m:e>
            <m:r>
              <m:t>p</m:t>
            </m:r>
          </m:e>
          <m:sub>
            <m:r>
              <m:t>i</m:t>
            </m:r>
          </m:sub>
        </m:sSub>
        <m:r>
          <m:rPr>
            <m:sty m:val="p"/>
          </m:rPr>
          <m:t>,</m:t>
        </m:r>
        <m:sSub>
          <m:e>
            <m:r>
              <m:t>c</m:t>
            </m:r>
          </m:e>
          <m:sub>
            <m:r>
              <m:t>i</m:t>
            </m:r>
          </m:sub>
        </m:sSub>
        <m:r>
          <m:rPr>
            <m:sty m:val="p"/>
          </m:rPr>
          <m:t>,</m:t>
        </m:r>
        <m:sSub>
          <m:e>
            <m:r>
              <m:t>s</m:t>
            </m:r>
          </m:e>
          <m:sub>
            <m:r>
              <m:t>i</m:t>
            </m:r>
          </m:sub>
        </m:sSub>
        <m:r>
          <m:rPr>
            <m:sty m:val="p"/>
          </m:rPr>
          <m:t>,</m:t>
        </m:r>
        <m:sSub>
          <m:e>
            <m:r>
              <m:t>a</m:t>
            </m:r>
          </m:e>
          <m:sub>
            <m:r>
              <m:t>i</m:t>
            </m:r>
          </m:sub>
        </m:sSub>
        <m:r>
          <m:rPr>
            <m:sty m:val="p"/>
          </m:rPr>
          <m:t>,</m:t>
        </m:r>
        <m:sSub>
          <m:e>
            <m:r>
              <m:t>l</m:t>
            </m:r>
          </m:e>
          <m:sub>
            <m:r>
              <m:t>i</m:t>
            </m:r>
          </m:sub>
        </m:sSub>
        <m:r>
          <m:rPr>
            <m:sty m:val="p"/>
          </m:rPr>
          <m:t>,</m:t>
        </m:r>
        <m:sSub>
          <m:e>
            <m:r>
              <m:t>λ</m:t>
            </m:r>
          </m:e>
          <m:sub>
            <m:r>
              <m:t>i</m:t>
            </m:r>
          </m:sub>
        </m:sSub>
        <m:r>
          <m:rPr>
            <m:sty m:val="p"/>
          </m:rPr>
          <m:t>,</m:t>
        </m:r>
        <m:sSub>
          <m:e>
            <m:r>
              <m:t>ϕ</m:t>
            </m:r>
          </m:e>
          <m:sub>
            <m:r>
              <m:t>i</m:t>
            </m:r>
          </m:sub>
        </m:sSub>
        <m:r>
          <m:rPr>
            <m:sty m:val="p"/>
          </m:rPr>
          <m:t>)</m:t>
        </m:r>
        <m:sSubSup>
          <m:e>
            <m:r>
              <m:rPr>
                <m:sty m:val="p"/>
              </m:rPr>
              <m:t>}</m:t>
            </m:r>
          </m:e>
          <m:sub>
            <m:r>
              <m:t>i</m:t>
            </m:r>
            <m:r>
              <m:rPr>
                <m:sty m:val="p"/>
              </m:rPr>
              <m:t>=</m:t>
            </m:r>
            <m:r>
              <m:t>1</m:t>
            </m:r>
          </m:sub>
          <m:sup>
            <m:r>
              <m:t>N</m:t>
            </m:r>
          </m:sup>
        </m:sSubSup>
      </m:oMath>
      <w:r>
        <w:t xml:space="preserve"> </w:t>
      </w:r>
      <w:r>
        <w:t xml:space="preserve">of</w:t>
      </w:r>
      <w:r>
        <w:t xml:space="preserve"> </w:t>
      </w:r>
      <m:oMath>
        <m:r>
          <m:t>N</m:t>
        </m:r>
      </m:oMath>
      <w:r>
        <w:t xml:space="preserve"> </w:t>
      </w:r>
      <w:r>
        <w:t xml:space="preserve">trees, where for each tree</w:t>
      </w:r>
      <w:r>
        <w:t xml:space="preserve"> </w:t>
      </w:r>
      <m:oMath>
        <m:r>
          <m:t>i</m:t>
        </m:r>
      </m:oMath>
      <w:r>
        <w:t xml:space="preserve">:</w:t>
      </w:r>
    </w:p>
    <w:p>
      <w:pPr>
        <w:pStyle w:val="Compact"/>
        <w:numPr>
          <w:ilvl w:val="0"/>
          <w:numId w:val="1006"/>
        </w:numPr>
      </w:pPr>
      <m:oMath>
        <m:sSub>
          <m:e>
            <m:r>
              <m:t>p</m:t>
            </m:r>
          </m:e>
          <m:sub>
            <m:r>
              <m:t>i</m:t>
            </m:r>
          </m:sub>
        </m:sSub>
      </m:oMath>
      <w:r>
        <w:t xml:space="preserve"> </w:t>
      </w:r>
      <w:r>
        <w:t xml:space="preserve">is a polygon mask in pixel coordinates approximating the projected crown;</w:t>
      </w:r>
    </w:p>
    <w:p>
      <w:pPr>
        <w:pStyle w:val="Compact"/>
        <w:numPr>
          <w:ilvl w:val="0"/>
          <w:numId w:val="1006"/>
        </w:numPr>
      </w:pPr>
      <m:oMath>
        <m:sSub>
          <m:e>
            <m:r>
              <m:t>c</m:t>
            </m:r>
          </m:e>
          <m:sub>
            <m:r>
              <m:t>i</m:t>
            </m:r>
          </m:sub>
        </m:sSub>
      </m:oMath>
      <w:r>
        <w:t xml:space="preserve"> </w:t>
      </w:r>
      <w:r>
        <w:t xml:space="preserve">is the bounding box of the polygon in pixel coordinates;</w:t>
      </w:r>
    </w:p>
    <w:p>
      <w:pPr>
        <w:pStyle w:val="Compact"/>
        <w:numPr>
          <w:ilvl w:val="0"/>
          <w:numId w:val="1006"/>
        </w:numPr>
      </w:pPr>
      <m:oMath>
        <m:sSub>
          <m:e>
            <m:r>
              <m:t>s</m:t>
            </m:r>
          </m:e>
          <m:sub>
            <m:r>
              <m:t>i</m:t>
            </m:r>
          </m:sub>
        </m:sSub>
        <m:r>
          <m:rPr>
            <m:sty m:val="p"/>
          </m:rPr>
          <m:t>∈</m:t>
        </m:r>
        <m:r>
          <m:rPr>
            <m:sty m:val="p"/>
          </m:rPr>
          <m:t>[</m:t>
        </m:r>
        <m:r>
          <m:t>0</m:t>
        </m:r>
        <m:r>
          <m:rPr>
            <m:sty m:val="p"/>
          </m:rPr>
          <m:t>,</m:t>
        </m:r>
        <m:r>
          <m:t>1</m:t>
        </m:r>
        <m:r>
          <m:rPr>
            <m:sty m:val="p"/>
          </m:rPr>
          <m:t>]</m:t>
        </m:r>
      </m:oMath>
      <w:r>
        <w:t xml:space="preserve"> </w:t>
      </w:r>
      <w:r>
        <w:t xml:space="preserve">is a confidence score;</w:t>
      </w:r>
    </w:p>
    <w:p>
      <w:pPr>
        <w:pStyle w:val="Compact"/>
        <w:numPr>
          <w:ilvl w:val="0"/>
          <w:numId w:val="1006"/>
        </w:numPr>
      </w:pPr>
      <m:oMath>
        <m:sSub>
          <m:e>
            <m:r>
              <m:t>a</m:t>
            </m:r>
          </m:e>
          <m:sub>
            <m:r>
              <m:t>i</m:t>
            </m:r>
          </m:sub>
        </m:sSub>
      </m:oMath>
      <w:r>
        <w:t xml:space="preserve"> </w:t>
      </w:r>
      <w:r>
        <w:t xml:space="preserve">is the crown area in pixels and (when geographic conversion is possible) in square metres;</w:t>
      </w:r>
    </w:p>
    <w:p>
      <w:pPr>
        <w:pStyle w:val="Compact"/>
        <w:numPr>
          <w:ilvl w:val="0"/>
          <w:numId w:val="1006"/>
        </w:numPr>
      </w:pPr>
      <m:oMath>
        <m:sSub>
          <m:e>
            <m:r>
              <m:t>l</m:t>
            </m:r>
          </m:e>
          <m:sub>
            <m:r>
              <m:t>i</m:t>
            </m:r>
          </m:sub>
        </m:sSub>
      </m:oMath>
      <w:r>
        <w:t xml:space="preserve"> </w:t>
      </w:r>
      <w:r>
        <w:t xml:space="preserve">is the class label, restricted in the present work to the single class</w:t>
      </w:r>
      <w:r>
        <w:t xml:space="preserve"> </w:t>
      </w:r>
      <w:r>
        <w:t xml:space="preserve">“Tree”</w:t>
      </w:r>
      <w:r>
        <w:t xml:space="preserve">;</w:t>
      </w:r>
    </w:p>
    <w:p>
      <w:pPr>
        <w:pStyle w:val="Compact"/>
        <w:numPr>
          <w:ilvl w:val="0"/>
          <w:numId w:val="1006"/>
        </w:numPr>
      </w:pPr>
      <m:oMath>
        <m:r>
          <m:rPr>
            <m:sty m:val="p"/>
          </m:rPr>
          <m:t>(</m:t>
        </m:r>
        <m:sSub>
          <m:e>
            <m:r>
              <m:t>λ</m:t>
            </m:r>
          </m:e>
          <m:sub>
            <m:r>
              <m:t>i</m:t>
            </m:r>
          </m:sub>
        </m:sSub>
        <m:r>
          <m:rPr>
            <m:sty m:val="p"/>
          </m:rPr>
          <m:t>,</m:t>
        </m:r>
        <m:sSub>
          <m:e>
            <m:r>
              <m:t>ϕ</m:t>
            </m:r>
          </m:e>
          <m:sub>
            <m:r>
              <m:t>i</m:t>
            </m:r>
          </m:sub>
        </m:sSub>
        <m:r>
          <m:rPr>
            <m:sty m:val="p"/>
          </m:rPr>
          <m:t>)</m:t>
        </m:r>
      </m:oMath>
      <w:r>
        <w:t xml:space="preserve"> </w:t>
      </w:r>
      <w:r>
        <w:t xml:space="preserve">are the longitude and latitude of the crown centroid, in WGS-84, defined when geographic conversion is possible.</w:t>
      </w:r>
    </w:p>
    <w:p>
      <w:pPr>
        <w:pStyle w:val="FirstParagraph"/>
      </w:pPr>
      <w:r>
        <w:rPr>
          <w:b/>
          <w:bCs/>
        </w:rPr>
        <w:t xml:space="preserve">Subject to:</w:t>
      </w:r>
    </w:p>
    <w:p>
      <w:pPr>
        <w:pStyle w:val="Compact"/>
        <w:numPr>
          <w:ilvl w:val="0"/>
          <w:numId w:val="1007"/>
        </w:numPr>
      </w:pPr>
      <w:r>
        <w:t xml:space="preserve">per-image inference time of at most 30 seconds on a single laptop GPU of the GeForce RTX 4060 class with 8 GiB of VRAM;</w:t>
      </w:r>
    </w:p>
    <w:p>
      <w:pPr>
        <w:pStyle w:val="Compact"/>
        <w:numPr>
          <w:ilvl w:val="0"/>
          <w:numId w:val="1007"/>
        </w:numPr>
      </w:pPr>
      <w:r>
        <w:t xml:space="preserve">a Box mAP@50 on a held-out Astana validation set of at least 0.45 — matching the YOLO v1 baseline reported in Chapter 3 — with the implicit target of approaching the 0.65 – 0.73 range demonstrated for fine-tuned DeepForest in European urban data;</w:t>
      </w:r>
    </w:p>
    <w:p>
      <w:pPr>
        <w:pStyle w:val="Compact"/>
        <w:numPr>
          <w:ilvl w:val="0"/>
          <w:numId w:val="1007"/>
        </w:numPr>
      </w:pPr>
      <w:r>
        <w:t xml:space="preserve">support for sliding-window tiled inference so that arbitrarily large input images can be processed;</w:t>
      </w:r>
    </w:p>
    <w:p>
      <w:pPr>
        <w:pStyle w:val="Compact"/>
        <w:numPr>
          <w:ilvl w:val="0"/>
          <w:numId w:val="1007"/>
        </w:numPr>
      </w:pPr>
      <w:r>
        <w:t xml:space="preserve">support for at least three export formats — GeoJSON, CSV and standalone HTML — to satisfy the interoperability requirement of Section 1.1;</w:t>
      </w:r>
    </w:p>
    <w:p>
      <w:pPr>
        <w:pStyle w:val="Compact"/>
        <w:numPr>
          <w:ilvl w:val="0"/>
          <w:numId w:val="1007"/>
        </w:numPr>
      </w:pPr>
      <w:r>
        <w:t xml:space="preserve">compatibility with arbitrary geographic input modes so that the system can be used both with rigorous GeoTIFF deliverables and with informal screenshots supplied by a non-technical user.</w:t>
      </w:r>
    </w:p>
    <w:p>
      <w:pPr>
        <w:pStyle w:val="FirstParagraph"/>
      </w:pPr>
      <w:r>
        <w:t xml:space="preserve">The remainder of the work is devoted to the design of a system that meets these requirements (Chapter 2) and to its experimental evaluation against the literature baselines summarised in Table 1.2 (Chapter 3).</w:t>
      </w:r>
    </w:p>
    <w:bookmarkEnd w:id="39"/>
    <w:bookmarkEnd w:id="40"/>
    <w:bookmarkStart w:id="58" w:name="chapter-2.-methodology"/>
    <w:p>
      <w:pPr>
        <w:pStyle w:val="Heading1"/>
      </w:pPr>
      <w:r>
        <w:t xml:space="preserve">Chapter 2. Methodology</w:t>
      </w:r>
    </w:p>
    <w:p>
      <w:pPr>
        <w:pStyle w:val="FirstParagraph"/>
      </w:pPr>
      <w:r>
        <w:t xml:space="preserve">This chapter describes the technical design of the system. Section 2.1 gives a top-level view of the architecture and the data flow from the raw satellite image to the final inventory. Sections 2.2 through 2.6 detail the three detection models proposed in the literature gap of Chapter 1 — YOLOv8-seg, DeepForest, and SAM — and the ensemble strategy that combines them. Sections 2.7 and 2.8 cover the geographic conversion of pixel coordinates to longitude / latitude and the export of the inventory in formats consumable by GIS specialists. Implementation choices and trade-offs are justified throughout.</w:t>
      </w:r>
    </w:p>
    <w:bookmarkStart w:id="41" w:name="system-architecture-overview"/>
    <w:p>
      <w:pPr>
        <w:pStyle w:val="Heading2"/>
      </w:pPr>
      <w:r>
        <w:t xml:space="preserve">2.1 System architecture overview</w:t>
      </w:r>
    </w:p>
    <w:p>
      <w:pPr>
        <w:pStyle w:val="FirstParagraph"/>
      </w:pPr>
      <w:r>
        <w:t xml:space="preserve">The proposed system follows a classical three-tier separation of concerns: a thin</w:t>
      </w:r>
      <w:r>
        <w:t xml:space="preserve"> </w:t>
      </w:r>
      <w:r>
        <w:rPr>
          <w:b/>
          <w:bCs/>
        </w:rPr>
        <w:t xml:space="preserve">presentation layer</w:t>
      </w:r>
      <w:r>
        <w:t xml:space="preserve"> </w:t>
      </w:r>
      <w:r>
        <w:t xml:space="preserve">(a single-page React 18 application served via CDN-loaded UMD bundles and rendered with Babel-standalone), an</w:t>
      </w:r>
      <w:r>
        <w:t xml:space="preserve"> </w:t>
      </w:r>
      <w:r>
        <w:rPr>
          <w:b/>
          <w:bCs/>
        </w:rPr>
        <w:t xml:space="preserve">application layer</w:t>
      </w:r>
      <w:r>
        <w:t xml:space="preserve"> </w:t>
      </w:r>
      <w:r>
        <w:t xml:space="preserve">(a FastAPI REST backend implemented in Python 3.11) and a</w:t>
      </w:r>
      <w:r>
        <w:t xml:space="preserve"> </w:t>
      </w:r>
      <w:r>
        <w:rPr>
          <w:b/>
          <w:bCs/>
        </w:rPr>
        <w:t xml:space="preserve">model layer</w:t>
      </w:r>
      <w:r>
        <w:t xml:space="preserve"> </w:t>
      </w:r>
      <w:r>
        <w:t xml:space="preserve">(three deep-learning adapters that wrap the underlying frameworks — Ultralytics YOLO for YOLOv8-seg, the DeepForest library for the RetinaNet-based detector and the official Segment Anything implementation from Meta AI for the mask-refinement stage).</w:t>
      </w:r>
    </w:p>
    <w:p>
      <w:pPr>
        <w:pStyle w:val="BodyText"/>
      </w:pPr>
      <w:r>
        <w:t xml:space="preserve">The data flow through the system can be summarised as follows:</w:t>
      </w:r>
    </w:p>
    <w:p>
      <w:pPr>
        <w:pStyle w:val="Compact"/>
        <w:numPr>
          <w:ilvl w:val="0"/>
          <w:numId w:val="1008"/>
        </w:numPr>
      </w:pPr>
      <w:r>
        <w:t xml:space="preserve">The user opens the web interface and either uploads a satellite image as a file (PNG, JPG, TIFF or GeoTIFF) or selects an area directly on a Leaflet map; in the latter case the backend downloads the appropriate ESRI World Imagery tiles, stitches and crops them, and returns the resulting image with embedded geographic bounds.</w:t>
      </w:r>
    </w:p>
    <w:p>
      <w:pPr>
        <w:pStyle w:val="Compact"/>
        <w:numPr>
          <w:ilvl w:val="0"/>
          <w:numId w:val="1008"/>
        </w:numPr>
      </w:pPr>
      <w:r>
        <w:t xml:space="preserve">The image is stored on the server and assigned an opaque identifier. Image dimensions and, if available, GeoTIFF projection metadata are extracted via the</w:t>
      </w:r>
      <w:r>
        <w:t xml:space="preserve"> </w:t>
      </w:r>
      <w:r>
        <w:rPr>
          <w:rStyle w:val="VerbatimChar"/>
        </w:rPr>
        <w:t xml:space="preserve">rasterio</w:t>
      </w:r>
      <w:r>
        <w:t xml:space="preserve"> </w:t>
      </w:r>
      <w:r>
        <w:t xml:space="preserve">library.</w:t>
      </w:r>
    </w:p>
    <w:p>
      <w:pPr>
        <w:pStyle w:val="Compact"/>
        <w:numPr>
          <w:ilvl w:val="0"/>
          <w:numId w:val="1008"/>
        </w:numPr>
      </w:pPr>
      <w:r>
        <w:t xml:space="preserve">The user selects one of three detection backends (YOLO, DeepForest, Ensemble) and a confidence threshold, and triggers inference. The corresponding adapter is loaded lazily on first request and reused for subsequent calls.</w:t>
      </w:r>
    </w:p>
    <w:p>
      <w:pPr>
        <w:pStyle w:val="Compact"/>
        <w:numPr>
          <w:ilvl w:val="0"/>
          <w:numId w:val="1008"/>
        </w:numPr>
      </w:pPr>
      <w:r>
        <w:t xml:space="preserve">For images larger than the network’s native input resolution, the adapter performs sliding-window tiled inference, runs the model on each tile and aggregates the per-tile predictions through Non-Maximum Suppression to produce a single global set of detections.</w:t>
      </w:r>
    </w:p>
    <w:p>
      <w:pPr>
        <w:pStyle w:val="Compact"/>
        <w:numPr>
          <w:ilvl w:val="0"/>
          <w:numId w:val="1008"/>
        </w:numPr>
      </w:pPr>
      <w:r>
        <w:t xml:space="preserve">Each detection is annotated with geographic coordinates via the geographic-conversion module, which supports four operating modes depending on the metadata available (GeoTIFF affine transform, four-corner bilinear interpolation, two-corner axis-aligned conversion, or no conversion).</w:t>
      </w:r>
    </w:p>
    <w:p>
      <w:pPr>
        <w:pStyle w:val="Compact"/>
        <w:numPr>
          <w:ilvl w:val="0"/>
          <w:numId w:val="1008"/>
        </w:numPr>
      </w:pPr>
      <w:r>
        <w:t xml:space="preserve">The result is stored as an immutable job record, returned to the frontend for interactive visualisation on a Leaflet map, and made available for export in three formats (GeoJSON, CSV, standalone HTML).</w:t>
      </w:r>
    </w:p>
    <w:p>
      <w:pPr>
        <w:pStyle w:val="FirstParagraph"/>
      </w:pPr>
      <w:r>
        <w:t xml:space="preserve">A key architectural decision is the use of the</w:t>
      </w:r>
      <w:r>
        <w:t xml:space="preserve"> </w:t>
      </w:r>
      <w:r>
        <w:rPr>
          <w:b/>
          <w:bCs/>
        </w:rPr>
        <w:t xml:space="preserve">adapter pattern</w:t>
      </w:r>
      <w:r>
        <w:t xml:space="preserve"> </w:t>
      </w:r>
      <w:r>
        <w:t xml:space="preserve">for the model layer: every model adheres to a single abstract base class with a</w:t>
      </w:r>
      <w:r>
        <w:t xml:space="preserve"> </w:t>
      </w:r>
      <w:r>
        <w:rPr>
          <w:rStyle w:val="VerbatimChar"/>
        </w:rPr>
        <w:t xml:space="preserve">predict(image_path, confidence) -&gt; List[Detection]</w:t>
      </w:r>
      <w:r>
        <w:t xml:space="preserve"> </w:t>
      </w:r>
      <w:r>
        <w:t xml:space="preserve">method, so that new models can be added without changes to the rest of the system. The base class also provides lazy initialisation, automatic weight loading from a dedicated</w:t>
      </w:r>
      <w:r>
        <w:t xml:space="preserve"> </w:t>
      </w:r>
      <w:r>
        <w:rPr>
          <w:rStyle w:val="VerbatimChar"/>
        </w:rPr>
        <w:t xml:space="preserve">weights/</w:t>
      </w:r>
      <w:r>
        <w:t xml:space="preserve"> </w:t>
      </w:r>
      <w:r>
        <w:t xml:space="preserve">directory, and exception conversion to FastAPI HTTP responses.</w:t>
      </w:r>
    </w:p>
    <w:p>
      <w:pPr>
        <w:pStyle w:val="BodyText"/>
      </w:pPr>
      <w:r>
        <w:t xml:space="preserve">The technology stack and the responsibilities of each component are summarised in Table 2.1.</w:t>
      </w:r>
    </w:p>
    <w:p>
      <w:pPr>
        <w:pStyle w:val="BodyText"/>
      </w:pPr>
      <w:r>
        <w:rPr>
          <w:b/>
          <w:bCs/>
        </w:rPr>
        <w:t xml:space="preserve">Table 2.1 — Technology stack of the proposed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Responsibility</w:t>
            </w:r>
          </w:p>
        </w:tc>
      </w:tr>
      <w:tr>
        <w:tc>
          <w:tcPr/>
          <w:p>
            <w:pPr>
              <w:pStyle w:val="Compact"/>
            </w:pPr>
            <w:r>
              <w:t xml:space="preserve">Frontend</w:t>
            </w:r>
          </w:p>
        </w:tc>
        <w:tc>
          <w:tcPr/>
          <w:p>
            <w:pPr>
              <w:pStyle w:val="Compact"/>
            </w:pPr>
            <w:r>
              <w:t xml:space="preserve">React 18 (UMD), Leaflet, Babel-standalone</w:t>
            </w:r>
          </w:p>
        </w:tc>
        <w:tc>
          <w:tcPr/>
          <w:p>
            <w:pPr>
              <w:pStyle w:val="Compact"/>
            </w:pPr>
            <w:r>
              <w:t xml:space="preserve">Drag-and-drop upload, interactive map, statistics, export buttons</w:t>
            </w:r>
          </w:p>
        </w:tc>
      </w:tr>
      <w:tr>
        <w:tc>
          <w:tcPr/>
          <w:p>
            <w:pPr>
              <w:pStyle w:val="Compact"/>
            </w:pPr>
            <w:r>
              <w:t xml:space="preserve">Backend</w:t>
            </w:r>
          </w:p>
        </w:tc>
        <w:tc>
          <w:tcPr/>
          <w:p>
            <w:pPr>
              <w:pStyle w:val="Compact"/>
            </w:pPr>
            <w:r>
              <w:t xml:space="preserve">FastAPI, Pydantic, Uvicorn</w:t>
            </w:r>
          </w:p>
        </w:tc>
        <w:tc>
          <w:tcPr/>
          <w:p>
            <w:pPr>
              <w:pStyle w:val="Compact"/>
            </w:pPr>
            <w:r>
              <w:t xml:space="preserve">REST API, request validation, lazy model loading, in-memory job store</w:t>
            </w:r>
          </w:p>
        </w:tc>
      </w:tr>
      <w:tr>
        <w:tc>
          <w:tcPr/>
          <w:p>
            <w:pPr>
              <w:pStyle w:val="Compact"/>
            </w:pPr>
            <w:r>
              <w:t xml:space="preserve">Geo</w:t>
            </w:r>
          </w:p>
        </w:tc>
        <w:tc>
          <w:tcPr/>
          <w:p>
            <w:pPr>
              <w:pStyle w:val="Compact"/>
            </w:pPr>
            <w:r>
              <w:t xml:space="preserve">rasterio, NumPy, Shapely</w:t>
            </w:r>
          </w:p>
        </w:tc>
        <w:tc>
          <w:tcPr/>
          <w:p>
            <w:pPr>
              <w:pStyle w:val="Compact"/>
            </w:pPr>
            <w:r>
              <w:t xml:space="preserve">GeoTIFF parsing, pixel-to-geo conversion, polygon clipping</w:t>
            </w:r>
          </w:p>
        </w:tc>
      </w:tr>
      <w:tr>
        <w:tc>
          <w:tcPr/>
          <w:p>
            <w:pPr>
              <w:pStyle w:val="Compact"/>
            </w:pPr>
            <w:r>
              <w:t xml:space="preserve">Model — YOLO</w:t>
            </w:r>
          </w:p>
        </w:tc>
        <w:tc>
          <w:tcPr/>
          <w:p>
            <w:pPr>
              <w:pStyle w:val="Compact"/>
            </w:pPr>
            <w:r>
              <w:t xml:space="preserve">Ultralytics YOLO 8.4, PyTorch 2.5 + CUDA 12.1</w:t>
            </w:r>
          </w:p>
        </w:tc>
        <w:tc>
          <w:tcPr/>
          <w:p>
            <w:pPr>
              <w:pStyle w:val="Compact"/>
            </w:pPr>
            <w:r>
              <w:t xml:space="preserve">Instance segmentation of tree crowns</w:t>
            </w:r>
          </w:p>
        </w:tc>
      </w:tr>
      <w:tr>
        <w:tc>
          <w:tcPr/>
          <w:p>
            <w:pPr>
              <w:pStyle w:val="Compact"/>
            </w:pPr>
            <w:r>
              <w:t xml:space="preserve">Model — DeepForest</w:t>
            </w:r>
          </w:p>
        </w:tc>
        <w:tc>
          <w:tcPr/>
          <w:p>
            <w:pPr>
              <w:pStyle w:val="Compact"/>
            </w:pPr>
            <w:r>
              <w:t xml:space="preserve">DeepForest 1.5 (RetinaNet)</w:t>
            </w:r>
          </w:p>
        </w:tc>
        <w:tc>
          <w:tcPr/>
          <w:p>
            <w:pPr>
              <w:pStyle w:val="Compact"/>
            </w:pPr>
            <w:r>
              <w:t xml:space="preserve">Bounding-box detection of tree crowns</w:t>
            </w:r>
          </w:p>
        </w:tc>
      </w:tr>
      <w:tr>
        <w:tc>
          <w:tcPr/>
          <w:p>
            <w:pPr>
              <w:pStyle w:val="Compact"/>
            </w:pPr>
            <w:r>
              <w:t xml:space="preserve">Model — SAM</w:t>
            </w:r>
          </w:p>
        </w:tc>
        <w:tc>
          <w:tcPr/>
          <w:p>
            <w:pPr>
              <w:pStyle w:val="Compact"/>
            </w:pPr>
            <w:r>
              <w:t xml:space="preserve">segment-anything (ViT-B)</w:t>
            </w:r>
          </w:p>
        </w:tc>
        <w:tc>
          <w:tcPr/>
          <w:p>
            <w:pPr>
              <w:pStyle w:val="Compact"/>
            </w:pPr>
            <w:r>
              <w:t xml:space="preserve">Zero-shot mask refinement of DeepForest boxes</w:t>
            </w:r>
          </w:p>
        </w:tc>
      </w:tr>
      <w:tr>
        <w:tc>
          <w:tcPr/>
          <w:p>
            <w:pPr>
              <w:pStyle w:val="Compact"/>
            </w:pPr>
            <w:r>
              <w:t xml:space="preserve">Ensemble</w:t>
            </w:r>
          </w:p>
        </w:tc>
        <w:tc>
          <w:tcPr/>
          <w:p>
            <w:pPr>
              <w:pStyle w:val="Compact"/>
            </w:pPr>
            <w:r>
              <w:t xml:space="preserve">ensemble-boxes (Weighted Box Fusion)</w:t>
            </w:r>
          </w:p>
        </w:tc>
        <w:tc>
          <w:tcPr/>
          <w:p>
            <w:pPr>
              <w:pStyle w:val="Compact"/>
            </w:pPr>
            <w:r>
              <w:t xml:space="preserve">Score-weighted combination of YOLO and DeepForest predictions</w:t>
            </w:r>
          </w:p>
        </w:tc>
      </w:tr>
      <w:tr>
        <w:tc>
          <w:tcPr/>
          <w:p>
            <w:pPr>
              <w:pStyle w:val="Compact"/>
            </w:pPr>
            <w:r>
              <w:t xml:space="preserve">Map capture</w:t>
            </w:r>
          </w:p>
        </w:tc>
        <w:tc>
          <w:tcPr/>
          <w:p>
            <w:pPr>
              <w:pStyle w:val="Compact"/>
            </w:pPr>
            <w:r>
              <w:t xml:space="preserve">urllib + Pillow (PIL)</w:t>
            </w:r>
          </w:p>
        </w:tc>
        <w:tc>
          <w:tcPr/>
          <w:p>
            <w:pPr>
              <w:pStyle w:val="Compact"/>
            </w:pPr>
            <w:r>
              <w:t xml:space="preserve">ESRI World Imagery tile download, stitching, crop to bbox</w:t>
            </w:r>
          </w:p>
        </w:tc>
      </w:tr>
      <w:tr>
        <w:tc>
          <w:tcPr/>
          <w:p>
            <w:pPr>
              <w:pStyle w:val="Compact"/>
            </w:pPr>
            <w:r>
              <w:t xml:space="preserve">Export</w:t>
            </w:r>
          </w:p>
        </w:tc>
        <w:tc>
          <w:tcPr/>
          <w:p>
            <w:pPr>
              <w:pStyle w:val="Compact"/>
            </w:pPr>
            <w:r>
              <w:t xml:space="preserve">Custom serialisers + Leaflet HTML template</w:t>
            </w:r>
          </w:p>
        </w:tc>
        <w:tc>
          <w:tcPr/>
          <w:p>
            <w:pPr>
              <w:pStyle w:val="Compact"/>
            </w:pPr>
            <w:r>
              <w:t xml:space="preserve">GeoJSON / CSV / standalone HTML output</w:t>
            </w:r>
          </w:p>
        </w:tc>
      </w:tr>
    </w:tbl>
    <w:p>
      <w:pPr>
        <w:pStyle w:val="BodyText"/>
      </w:pPr>
      <w:r>
        <w:t xml:space="preserve">The complete source tree of the prototype is organised in three top-level directories —</w:t>
      </w:r>
      <w:r>
        <w:t xml:space="preserve"> </w:t>
      </w:r>
      <w:r>
        <w:rPr>
          <w:rStyle w:val="VerbatimChar"/>
        </w:rPr>
        <w:t xml:space="preserve">backend/</w:t>
      </w:r>
      <w:r>
        <w:t xml:space="preserve">,</w:t>
      </w:r>
      <w:r>
        <w:t xml:space="preserve"> </w:t>
      </w:r>
      <w:r>
        <w:rPr>
          <w:rStyle w:val="VerbatimChar"/>
        </w:rPr>
        <w:t xml:space="preserve">frontend/</w:t>
      </w:r>
      <w:r>
        <w:t xml:space="preserve"> </w:t>
      </w:r>
      <w:r>
        <w:t xml:space="preserve">and</w:t>
      </w:r>
      <w:r>
        <w:t xml:space="preserve"> </w:t>
      </w:r>
      <w:r>
        <w:rPr>
          <w:rStyle w:val="VerbatimChar"/>
        </w:rPr>
        <w:t xml:space="preserve">ml/</w:t>
      </w:r>
      <w:r>
        <w:t xml:space="preserve"> </w:t>
      </w:r>
      <w:r>
        <w:t xml:space="preserve">— and is approximately 6 000 lines of code. The training and dataset-preparation scripts in</w:t>
      </w:r>
      <w:r>
        <w:t xml:space="preserve"> </w:t>
      </w:r>
      <w:r>
        <w:rPr>
          <w:rStyle w:val="VerbatimChar"/>
        </w:rPr>
        <w:t xml:space="preserve">ml/</w:t>
      </w:r>
      <w:r>
        <w:t xml:space="preserve"> </w:t>
      </w:r>
      <w:r>
        <w:t xml:space="preserve">are independent from the backend and can be run on a separate machine.</w:t>
      </w:r>
    </w:p>
    <w:bookmarkEnd w:id="41"/>
    <w:bookmarkStart w:id="42" w:name="image-input-and-pre-processing"/>
    <w:p>
      <w:pPr>
        <w:pStyle w:val="Heading2"/>
      </w:pPr>
      <w:r>
        <w:t xml:space="preserve">2.2 Image input and pre-processing</w:t>
      </w:r>
    </w:p>
    <w:p>
      <w:pPr>
        <w:pStyle w:val="FirstParagraph"/>
      </w:pPr>
      <w:r>
        <w:t xml:space="preserve">The system accepts three categories of input, each with its own pre-processing path.</w:t>
      </w:r>
    </w:p>
    <w:p>
      <w:pPr>
        <w:pStyle w:val="BodyText"/>
      </w:pPr>
      <w:r>
        <w:rPr>
          <w:b/>
          <w:bCs/>
        </w:rPr>
        <w:t xml:space="preserve">Regular images</w:t>
      </w:r>
      <w:r>
        <w:t xml:space="preserve"> </w:t>
      </w:r>
      <w:r>
        <w:t xml:space="preserve">(PNG, JPG, WebP) are stored as-is and decoded with Pillow on the first call. The width and height are recorded as part of the image metadata. Such images carry no geographic information, and the user is expected to supply geographic anchors manually — either as two corners (north-west and south-east) or as four corners (one per image corner) — through draggable markers on the map widget.</w:t>
      </w:r>
    </w:p>
    <w:p>
      <w:pPr>
        <w:pStyle w:val="BodyText"/>
      </w:pPr>
      <w:r>
        <w:rPr>
          <w:b/>
          <w:bCs/>
        </w:rPr>
        <w:t xml:space="preserve">GeoTIFF images</w:t>
      </w:r>
      <w:r>
        <w:t xml:space="preserve"> </w:t>
      </w:r>
      <w:r>
        <w:t xml:space="preserve">carry an affine transform and a coordinate reference system in their internal metadata. The backend parses this metadata with</w:t>
      </w:r>
      <w:r>
        <w:t xml:space="preserve"> </w:t>
      </w:r>
      <w:r>
        <w:rPr>
          <w:rStyle w:val="VerbatimChar"/>
        </w:rPr>
        <w:t xml:space="preserve">rasterio.open()</w:t>
      </w:r>
      <w:r>
        <w:t xml:space="preserve"> </w:t>
      </w:r>
      <w:r>
        <w:t xml:space="preserve">and extracts the bounds in WGS-84 (EPSG:4326). For GeoTIFFs in other projections (a common case for satellite data delivered in UTM zones) the bounds are re-projected with</w:t>
      </w:r>
      <w:r>
        <w:t xml:space="preserve"> </w:t>
      </w:r>
      <w:r>
        <w:rPr>
          <w:rStyle w:val="VerbatimChar"/>
        </w:rPr>
        <w:t xml:space="preserve">pyproj</w:t>
      </w:r>
      <w:r>
        <w:t xml:space="preserve">. This path is the most accurate and is the recommended workflow for final, reproducible inventories.</w:t>
      </w:r>
    </w:p>
    <w:p>
      <w:pPr>
        <w:pStyle w:val="BodyText"/>
      </w:pPr>
      <w:r>
        <w:rPr>
          <w:b/>
          <w:bCs/>
        </w:rPr>
        <w:t xml:space="preserve">In-browser map capture</w:t>
      </w:r>
      <w:r>
        <w:t xml:space="preserve"> </w:t>
      </w:r>
      <w:r>
        <w:t xml:space="preserve">is the third option, designed for the user who has neither a pre-downloaded GeoTIFF nor a screenshot but wants to inspect a specific area of the city interactively. The user draws a rectangle on a Leaflet map (visualised against the ESRI World Imagery basemap), specifies a zoom level between 17 and 19, and submits the request to the</w:t>
      </w:r>
      <w:r>
        <w:t xml:space="preserve"> </w:t>
      </w:r>
      <w:r>
        <w:rPr>
          <w:rStyle w:val="VerbatimChar"/>
        </w:rPr>
        <w:t xml:space="preserve">/api/capture_from_map</w:t>
      </w:r>
      <w:r>
        <w:t xml:space="preserve"> </w:t>
      </w:r>
      <w:r>
        <w:t xml:space="preserve">endpoint. The backend then:</w:t>
      </w:r>
    </w:p>
    <w:p>
      <w:pPr>
        <w:pStyle w:val="Compact"/>
        <w:numPr>
          <w:ilvl w:val="0"/>
          <w:numId w:val="1009"/>
        </w:numPr>
      </w:pPr>
      <w:r>
        <w:t xml:space="preserve">Converts the two corner coordinates from longitude / latitude into floating-point tile coordinates using the Web-Mercator projection:</w:t>
      </w:r>
      <w:r>
        <w:t xml:space="preserve"> </w:t>
      </w:r>
      <m:oMath>
        <m:r>
          <m:t>x</m:t>
        </m:r>
        <m:r>
          <m:rPr>
            <m:sty m:val="p"/>
          </m:rPr>
          <m:t>=</m:t>
        </m:r>
        <m:r>
          <m:rPr>
            <m:sty m:val="p"/>
          </m:rPr>
          <m:t>(</m:t>
        </m:r>
        <m:r>
          <m:t>λ</m:t>
        </m:r>
        <m:r>
          <m:rPr>
            <m:sty m:val="p"/>
          </m:rPr>
          <m:t>+</m:t>
        </m:r>
        <m:r>
          <m:t>180</m:t>
        </m:r>
        <m:r>
          <m:rPr>
            <m:sty m:val="p"/>
          </m:rPr>
          <m:t>)</m:t>
        </m:r>
        <m:r>
          <m:rPr>
            <m:sty m:val="p"/>
          </m:rPr>
          <m:t>/</m:t>
        </m:r>
        <m:r>
          <m:t>360</m:t>
        </m:r>
        <m:r>
          <m:rPr>
            <m:sty m:val="p"/>
          </m:rPr>
          <m:t>⋅</m:t>
        </m:r>
        <m:sSup>
          <m:e>
            <m:r>
              <m:t>2</m:t>
            </m:r>
          </m:e>
          <m:sup>
            <m:r>
              <m:t>z</m:t>
            </m:r>
          </m:sup>
        </m:sSup>
      </m:oMath>
      <w:r>
        <w:t xml:space="preserve"> </w:t>
      </w:r>
      <w:r>
        <w:t xml:space="preserve">and</w:t>
      </w:r>
      <w:r>
        <w:t xml:space="preserve"> </w:t>
      </w:r>
      <m:oMath>
        <m:r>
          <m:t>y</m:t>
        </m:r>
        <m:r>
          <m:rPr>
            <m:sty m:val="p"/>
          </m:rPr>
          <m:t>=</m:t>
        </m:r>
        <m:r>
          <m:rPr>
            <m:sty m:val="p"/>
          </m:rPr>
          <m:t>(</m:t>
        </m:r>
        <m:r>
          <m:t>1</m:t>
        </m:r>
        <m:r>
          <m:rPr>
            <m:sty m:val="p"/>
          </m:rPr>
          <m:t>−</m:t>
        </m:r>
        <m:r>
          <m:rPr>
            <m:sty m:val="p"/>
          </m:rPr>
          <m:t>log</m:t>
        </m:r>
        <m:r>
          <m:rPr>
            <m:sty m:val="p"/>
          </m:rPr>
          <m:t>(</m:t>
        </m:r>
        <m:r>
          <m:rPr>
            <m:sty m:val="p"/>
          </m:rPr>
          <m:t>tan</m:t>
        </m:r>
        <m:r>
          <m:t>ϕ</m:t>
        </m:r>
        <m:r>
          <m:rPr>
            <m:sty m:val="p"/>
          </m:rPr>
          <m:t>+</m:t>
        </m:r>
        <m:r>
          <m:rPr>
            <m:sty m:val="p"/>
          </m:rPr>
          <m:t>sec</m:t>
        </m:r>
        <m:r>
          <m:t>ϕ</m:t>
        </m:r>
        <m:r>
          <m:rPr>
            <m:sty m:val="p"/>
          </m:rPr>
          <m:t>)</m:t>
        </m:r>
        <m:r>
          <m:rPr>
            <m:sty m:val="p"/>
          </m:rPr>
          <m:t>/</m:t>
        </m:r>
        <m:r>
          <m:t>π</m:t>
        </m:r>
        <m:r>
          <m:rPr>
            <m:sty m:val="p"/>
          </m:rPr>
          <m:t>)</m:t>
        </m:r>
        <m:r>
          <m:rPr>
            <m:sty m:val="p"/>
          </m:rPr>
          <m:t>/</m:t>
        </m:r>
        <m:r>
          <m:t>2</m:t>
        </m:r>
        <m:r>
          <m:rPr>
            <m:sty m:val="p"/>
          </m:rPr>
          <m:t>⋅</m:t>
        </m:r>
        <m:sSup>
          <m:e>
            <m:r>
              <m:t>2</m:t>
            </m:r>
          </m:e>
          <m:sup>
            <m:r>
              <m:t>z</m:t>
            </m:r>
          </m:sup>
        </m:sSup>
      </m:oMath>
      <w:r>
        <w:t xml:space="preserve">, where</w:t>
      </w:r>
      <w:r>
        <w:t xml:space="preserve"> </w:t>
      </w:r>
      <m:oMath>
        <m:r>
          <m:t>z</m:t>
        </m:r>
      </m:oMath>
      <w:r>
        <w:t xml:space="preserve"> </w:t>
      </w:r>
      <w:r>
        <w:t xml:space="preserve">is the zoom level.</w:t>
      </w:r>
    </w:p>
    <w:p>
      <w:pPr>
        <w:pStyle w:val="Compact"/>
        <w:numPr>
          <w:ilvl w:val="0"/>
          <w:numId w:val="1009"/>
        </w:numPr>
      </w:pPr>
      <w:r>
        <w:t xml:space="preserve">Computes the integer range of tiles that must be downloaded to cover the requested bounding box, with an upper limit of 144 tiles (i.e. a 12×12 grid, approximately 3 072 × 3 072 pixels at the standard tile size of 256 pixels). This limit protects the server from accidental bulk downloads.</w:t>
      </w:r>
    </w:p>
    <w:p>
      <w:pPr>
        <w:pStyle w:val="Compact"/>
        <w:numPr>
          <w:ilvl w:val="0"/>
          <w:numId w:val="1009"/>
        </w:numPr>
      </w:pPr>
      <w:r>
        <w:t xml:space="preserve">Downloads the tiles in parallel through a thread pool of eight workers, retrying each tile up to three times with the academic-project user-agent string mandated by the ESRI terms of use. Failed tiles are replaced by a small grey placeholder so that a single missing tile does not invalidate the entire capture.</w:t>
      </w:r>
    </w:p>
    <w:p>
      <w:pPr>
        <w:pStyle w:val="Compact"/>
        <w:numPr>
          <w:ilvl w:val="0"/>
          <w:numId w:val="1009"/>
        </w:numPr>
      </w:pPr>
      <w:r>
        <w:t xml:space="preserve">Stitches the tiles into a single canvas, crops the canvas to the exact bounding box (using the fractional part of the original tile coordinates as sub-tile offsets) and returns a PNG image with the geographic bounds embedded as part of the response.</w:t>
      </w:r>
    </w:p>
    <w:p>
      <w:pPr>
        <w:pStyle w:val="FirstParagraph"/>
      </w:pPr>
      <w:r>
        <w:t xml:space="preserve">Subsequent inference on the captured image proceeds as if the user had uploaded a GeoTIFF — the two corners are known with sub-pixel precision and the conversion module switches automatically into two-corner axis-aligned mode.</w:t>
      </w:r>
    </w:p>
    <w:p>
      <w:pPr>
        <w:pStyle w:val="BodyText"/>
      </w:pPr>
      <w:r>
        <w:t xml:space="preserve">For all three input categories the maximum file size is currently limited to 100 MiB and the supported extensions are</w:t>
      </w:r>
      <w:r>
        <w:t xml:space="preserve"> </w:t>
      </w:r>
      <w:r>
        <w:rPr>
          <w:rStyle w:val="VerbatimChar"/>
        </w:rPr>
        <w:t xml:space="preserve">.png</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.tif</w:t>
      </w:r>
      <w:r>
        <w:t xml:space="preserve">,</w:t>
      </w:r>
      <w:r>
        <w:t xml:space="preserve"> </w:t>
      </w:r>
      <w:r>
        <w:rPr>
          <w:rStyle w:val="VerbatimChar"/>
        </w:rPr>
        <w:t xml:space="preserve">.tiff</w:t>
      </w:r>
      <w:r>
        <w:t xml:space="preserve"> </w:t>
      </w:r>
      <w:r>
        <w:t xml:space="preserve">and</w:t>
      </w:r>
      <w:r>
        <w:t xml:space="preserve"> </w:t>
      </w:r>
      <w:r>
        <w:rPr>
          <w:rStyle w:val="VerbatimChar"/>
        </w:rPr>
        <w:t xml:space="preserve">.webp</w:t>
      </w:r>
      <w:r>
        <w:t xml:space="preserve">.</w:t>
      </w:r>
    </w:p>
    <w:bookmarkEnd w:id="42"/>
    <w:bookmarkStart w:id="43" w:name="X342f25e6bbac58a3c19d4c7ddb5609914ec1aea"/>
    <w:p>
      <w:pPr>
        <w:pStyle w:val="Heading2"/>
      </w:pPr>
      <w:r>
        <w:t xml:space="preserve">2.3 Tiled processing of high-resolution images</w:t>
      </w:r>
    </w:p>
    <w:p>
      <w:pPr>
        <w:pStyle w:val="FirstParagraph"/>
      </w:pPr>
      <w:r>
        <w:t xml:space="preserve">A central design challenge of the system is the</w:t>
      </w:r>
      <w:r>
        <w:t xml:space="preserve"> </w:t>
      </w:r>
      <w:r>
        <w:rPr>
          <w:b/>
          <w:bCs/>
        </w:rPr>
        <w:t xml:space="preserve">scale mismatch</w:t>
      </w:r>
      <w:r>
        <w:t xml:space="preserve"> </w:t>
      </w:r>
      <w:r>
        <w:t xml:space="preserve">between the typical satellite image and the input resolution of the underlying networks. A YOLOv8-seg or DeepForest model operates on inputs of approximately 640 × 640 pixels; a single satellite screenshot of a city block, however, is often 1 600 × 1 100 pixels or larger. If such an image were resized to fit the network’s input, each individual tree crown — typically 20 – 40 pixels in diameter at zoom 18 — would shrink to fewer than ten pixels, well below the resolution that any modern detector can reliably handle. This effect was confirmed empirically in early experiments: a YOLOv8-seg model trained at imgsz=640 directly on the full-resolution inputs detected zero trees on the validation set.</w:t>
      </w:r>
    </w:p>
    <w:p>
      <w:pPr>
        <w:pStyle w:val="BodyText"/>
      </w:pPr>
      <w:r>
        <w:t xml:space="preserve">The proposed solution is</w:t>
      </w:r>
      <w:r>
        <w:t xml:space="preserve"> </w:t>
      </w:r>
      <w:r>
        <w:rPr>
          <w:b/>
          <w:bCs/>
        </w:rPr>
        <w:t xml:space="preserve">sliding-window tiled inference</w:t>
      </w:r>
      <w:r>
        <w:t xml:space="preserve"> </w:t>
      </w:r>
      <w:r>
        <w:t xml:space="preserve">at the same resolution as training. The original image is partitioned into overlapping tiles of fixed size (640 pixels) with an overlap region (128 pixels) on each side, so that any tree crown is fully contained in at least one tile. The model is then applied independently to each tile and the per-tile detections are translated back into the global image coordinate system by adding the tile offset to every polygon vertex and bounding-box coordinate.</w:t>
      </w:r>
    </w:p>
    <w:p>
      <w:pPr>
        <w:pStyle w:val="BodyText"/>
      </w:pPr>
      <w:r>
        <w:t xml:space="preserve">To remove duplicate detections of the same tree that appears in two or more overlapping tiles, the system applies</w:t>
      </w:r>
      <w:r>
        <w:t xml:space="preserve"> </w:t>
      </w:r>
      <w:r>
        <w:rPr>
          <w:b/>
          <w:bCs/>
        </w:rPr>
        <w:t xml:space="preserve">global Non-Maximum Suppression</w:t>
      </w:r>
      <w:r>
        <w:t xml:space="preserve"> </w:t>
      </w:r>
      <w:r>
        <w:t xml:space="preserve">with an IoU threshold of 0.5. The procedure is vectorised in NumPy and operates on the full set of global bounding boxes, sorting by confidence and iteratively discarding any box that overlaps a higher-confidence box above the threshold.</w:t>
      </w:r>
    </w:p>
    <w:p>
      <w:pPr>
        <w:pStyle w:val="BodyText"/>
      </w:pPr>
      <w:r>
        <w:t xml:space="preserve">The same tiling-and-NMS pattern is used in three places: in</w:t>
      </w:r>
      <w:r>
        <w:t xml:space="preserve"> </w:t>
      </w:r>
      <w:r>
        <w:rPr>
          <w:rStyle w:val="VerbatimChar"/>
        </w:rPr>
        <w:t xml:space="preserve">predict_tiled()</w:t>
      </w:r>
      <w:r>
        <w:t xml:space="preserve"> </w:t>
      </w:r>
      <w:r>
        <w:t xml:space="preserve">inside the YOLO adapter at inference time; in the dataset-preparation script (</w:t>
      </w:r>
      <w:r>
        <w:rPr>
          <w:rStyle w:val="VerbatimChar"/>
        </w:rPr>
        <w:t xml:space="preserve">ml/tile_dataset.py</w:t>
      </w:r>
      <w:r>
        <w:t xml:space="preserve">) that re-tiles the training data; and in the pre-labelling tool (</w:t>
      </w:r>
      <w:r>
        <w:rPr>
          <w:rStyle w:val="VerbatimChar"/>
        </w:rPr>
        <w:t xml:space="preserve">ml/prelabel_coco.py</w:t>
      </w:r>
      <w:r>
        <w:t xml:space="preserve">) that uses the v1 model to generate pre-annotations for new images.</w:t>
      </w:r>
    </w:p>
    <w:bookmarkEnd w:id="43"/>
    <w:bookmarkStart w:id="48" w:name="yolov8-seg-branch"/>
    <w:p>
      <w:pPr>
        <w:pStyle w:val="Heading2"/>
      </w:pPr>
      <w:r>
        <w:t xml:space="preserve">2.4 YOLOv8-seg branch</w:t>
      </w:r>
    </w:p>
    <w:bookmarkStart w:id="44" w:name="architecture"/>
    <w:p>
      <w:pPr>
        <w:pStyle w:val="Heading3"/>
      </w:pPr>
      <w:r>
        <w:t xml:space="preserve">2.4.1 Architecture</w:t>
      </w:r>
    </w:p>
    <w:p>
      <w:pPr>
        <w:pStyle w:val="FirstParagraph"/>
      </w:pPr>
      <w:r>
        <w:t xml:space="preserve">YOLOv8 [32] is a single-stage anchor-free object detector that operates as a fully-convolutional network with a CSP-Darknet53 backbone, a Path Aggregation Network neck and three detection heads producing predictions at three scales (down-sampling factors of 8, 16 and 32). The segmentation variant</w:t>
      </w:r>
      <w:r>
        <w:t xml:space="preserve"> </w:t>
      </w:r>
      <w:r>
        <w:rPr>
          <w:rStyle w:val="VerbatimChar"/>
        </w:rPr>
        <w:t xml:space="preserve">YOLOv8x-seg</w:t>
      </w:r>
      <w:r>
        <w:t xml:space="preserve"> </w:t>
      </w:r>
      <w:r>
        <w:t xml:space="preserve">extends this architecture with an additional</w:t>
      </w:r>
      <w:r>
        <w:t xml:space="preserve"> </w:t>
      </w:r>
      <w:r>
        <w:rPr>
          <w:b/>
          <w:bCs/>
        </w:rPr>
        <w:t xml:space="preserve">prototype mask head</w:t>
      </w:r>
      <w:r>
        <w:t xml:space="preserve"> </w:t>
      </w:r>
      <w:r>
        <w:t xml:space="preserve">that produces 32 prototype masks at one quarter the input resolution; each detected instance is then represented by a vector of 32 coefficients that, when linearly combined with the prototype masks and thresholded, produce a binary segmentation mask aligned with the detected bounding box. This design — borrowed from the YOLACT family of real-time instance segmenters — separates the per-pixel and the per-instance computations, so the cost of generating masks scales with the number of detections rather than with the number of pixels.</w:t>
      </w:r>
    </w:p>
    <w:p>
      <w:pPr>
        <w:pStyle w:val="BodyText"/>
      </w:pPr>
      <w:r>
        <w:t xml:space="preserve">The variant chosen for this work,</w:t>
      </w:r>
      <w:r>
        <w:t xml:space="preserve"> </w:t>
      </w:r>
      <w:r>
        <w:rPr>
          <w:rStyle w:val="VerbatimChar"/>
        </w:rPr>
        <w:t xml:space="preserve">yolov8x-seg</w:t>
      </w:r>
      <w:r>
        <w:t xml:space="preserve">, contains approximately 71 million parameters and is the largest of the YOLOv8 segmentation models. The choice of the extra-large variant is motivated by the small size of the training set: with only a few thousand polygon annotations available, the additional regularisation of a deeper, slower-but-more-expressive model is welcome.</w:t>
      </w:r>
    </w:p>
    <w:bookmarkEnd w:id="44"/>
    <w:bookmarkStart w:id="45" w:name="X8a9189c4676fd6ae073a3bac0e57948fd265628"/>
    <w:p>
      <w:pPr>
        <w:pStyle w:val="Heading3"/>
      </w:pPr>
      <w:r>
        <w:t xml:space="preserve">2.4.2 Why instance segmentation rather than detection</w:t>
      </w:r>
    </w:p>
    <w:p>
      <w:pPr>
        <w:pStyle w:val="FirstParagraph"/>
      </w:pPr>
      <w:r>
        <w:t xml:space="preserve">Bounding-box detection is sufficient for counting trees but is poorly suited to the downstream tasks expected from the system. The municipal user is interested not only in the number of trees but also in their</w:t>
      </w:r>
      <w:r>
        <w:t xml:space="preserve"> </w:t>
      </w:r>
      <w:r>
        <w:rPr>
          <w:b/>
          <w:bCs/>
        </w:rPr>
        <w:t xml:space="preserve">crown size</w:t>
      </w:r>
      <w:r>
        <w:t xml:space="preserve">, which is a proxy for both species and age, and in the</w:t>
      </w:r>
      <w:r>
        <w:t xml:space="preserve"> </w:t>
      </w:r>
      <w:r>
        <w:rPr>
          <w:b/>
          <w:bCs/>
        </w:rPr>
        <w:t xml:space="preserve">green-coverage percentage</w:t>
      </w:r>
      <w:r>
        <w:t xml:space="preserve"> </w:t>
      </w:r>
      <w:r>
        <w:t xml:space="preserve">of a given area, which is a standard indicator in urban-planning regulations. Both quantities require pixel-level masks rather than rectangular boxes — a poplar tree and a birch tree of the same canopy area can have radically different crown silhouettes, and the rectangular bounding box of two adjacent overlapping trees can cover an area that includes a substantial fraction of bare ground.</w:t>
      </w:r>
    </w:p>
    <w:p>
      <w:pPr>
        <w:pStyle w:val="BodyText"/>
      </w:pPr>
      <w:r>
        <w:t xml:space="preserve">For these reasons the YOLO branch of the system performs full instance segmentation. The output of the adapter is a list of objects each containing: a bounding box, a polygon mask (the YOLO mask compressed into a closed sequence of</w:t>
      </w:r>
      <w:r>
        <w:t xml:space="preserve"> </w:t>
      </w:r>
      <m:oMath>
        <m:r>
          <m:rPr>
            <m:sty m:val="p"/>
          </m:rPr>
          <m:t>(</m:t>
        </m:r>
        <m:r>
          <m:t>x</m:t>
        </m:r>
        <m:r>
          <m:rPr>
            <m:sty m:val="p"/>
          </m:rPr>
          <m:t>,</m:t>
        </m:r>
        <m:r>
          <m:t>y</m:t>
        </m:r>
        <m:r>
          <m:rPr>
            <m:sty m:val="p"/>
          </m:rPr>
          <m:t>)</m:t>
        </m:r>
      </m:oMath>
      <w:r>
        <w:t xml:space="preserve"> </w:t>
      </w:r>
      <w:r>
        <w:t xml:space="preserve">vertices via Suzuki–Abe contour extraction), a confidence score, and — derived from the mask — the crown area in pixels and (if pixel size in metres is known) in square metres.</w:t>
      </w:r>
    </w:p>
    <w:bookmarkEnd w:id="45"/>
    <w:bookmarkStart w:id="46" w:name="training-data-and-pre-processing"/>
    <w:p>
      <w:pPr>
        <w:pStyle w:val="Heading3"/>
      </w:pPr>
      <w:r>
        <w:t xml:space="preserve">2.4.3 Training data and pre-processing</w:t>
      </w:r>
    </w:p>
    <w:p>
      <w:pPr>
        <w:pStyle w:val="FirstParagraph"/>
      </w:pPr>
      <w:r>
        <w:t xml:space="preserve">The training data for the YOLO branch is a collection of satellite screenshots of Astana taken from Google Earth and ESRI World Imagery at zoom levels 17 to 19. The annotation effort proceeded in two iterations.</w:t>
      </w:r>
    </w:p>
    <w:p>
      <w:pPr>
        <w:pStyle w:val="BodyText"/>
      </w:pPr>
      <w:r>
        <w:rPr>
          <w:b/>
          <w:bCs/>
        </w:rPr>
        <w:t xml:space="preserve">Version 1</w:t>
      </w:r>
      <w:r>
        <w:t xml:space="preserve"> </w:t>
      </w:r>
      <w:r>
        <w:t xml:space="preserve">(April 2026): 20 source images were annotated manually in CVAT, producing 2 242 individual tree polygons. The class taxonomy was deliberately kept minimal — a single class</w:t>
      </w:r>
      <w:r>
        <w:t xml:space="preserve"> </w:t>
      </w:r>
      <w:r>
        <w:t xml:space="preserve">“Tree”</w:t>
      </w:r>
      <w:r>
        <w:t xml:space="preserve"> </w:t>
      </w:r>
      <w:r>
        <w:t xml:space="preserve">(in the source:</w:t>
      </w:r>
      <w:r>
        <w:t xml:space="preserve"> </w:t>
      </w:r>
      <w:r>
        <w:t xml:space="preserve">“Дерево”</w:t>
      </w:r>
      <w:r>
        <w:t xml:space="preserve">) — because the satellite resolution available does not allow reliable species discrimination. The dataset was split into 16 training images and 4 validation images at the source-image level (so that no tile from a single source can leak between splits) and tiled into 62 tiles of 640 × 640 pixels with 128-pixel overlap, of which 58 were used for training and 4 for validation. After the polygon-clipping and minimum-area filtering performed by the tiler, the resulting tiled dataset contained 4 628 polygons.</w:t>
      </w:r>
    </w:p>
    <w:p>
      <w:pPr>
        <w:pStyle w:val="BodyText"/>
      </w:pPr>
      <w:r>
        <w:rPr>
          <w:b/>
          <w:bCs/>
        </w:rPr>
        <w:t xml:space="preserve">Version 2</w:t>
      </w:r>
      <w:r>
        <w:t xml:space="preserve"> </w:t>
      </w:r>
      <w:r>
        <w:t xml:space="preserve">(May 2026, current): 57 additional source images were collected and pre-labelled with the v1 model through the iterative tool described in section 2.3, producing a coarse first pass that was then manually refined in CVAT. The new annotations were merged with the version-1 annotations through a custom COCO-merge script that re-numbers</w:t>
      </w:r>
      <w:r>
        <w:t xml:space="preserve"> </w:t>
      </w:r>
      <w:r>
        <w:rPr>
          <w:rStyle w:val="VerbatimChar"/>
        </w:rPr>
        <w:t xml:space="preserve">image_id</w:t>
      </w:r>
      <w:r>
        <w:t xml:space="preserve"> </w:t>
      </w:r>
      <w:r>
        <w:t xml:space="preserve">and</w:t>
      </w:r>
      <w:r>
        <w:t xml:space="preserve"> </w:t>
      </w:r>
      <w:r>
        <w:rPr>
          <w:rStyle w:val="VerbatimChar"/>
        </w:rPr>
        <w:t xml:space="preserve">annotation_id</w:t>
      </w:r>
      <w:r>
        <w:t xml:space="preserve"> </w:t>
      </w:r>
      <w:r>
        <w:t xml:space="preserve">to avoid collisions while de-duplicating overlapping filenames. The combined dataset contains approximately 77 source images and, after tiling, approximately 5 000 polygon-level annotations distributed over 111 training tiles and 10 validation tiles.</w:t>
      </w:r>
    </w:p>
    <w:p>
      <w:pPr>
        <w:pStyle w:val="BodyText"/>
      </w:pPr>
      <w:r>
        <w:t xml:space="preserve">Two custom Python tools support this workflow.</w:t>
      </w:r>
      <w:r>
        <w:t xml:space="preserve"> </w:t>
      </w:r>
      <w:r>
        <w:rPr>
          <w:rStyle w:val="VerbatimChar"/>
        </w:rPr>
        <w:t xml:space="preserve">ml/coco_to_yolo_seg.py</w:t>
      </w:r>
      <w:r>
        <w:t xml:space="preserve"> </w:t>
      </w:r>
      <w:r>
        <w:t xml:space="preserve">converts a CVAT-exported COCO 1.0 annotation file into the polygon-line format expected by Ultralytics YOLO, with sanitisation of Cyrillic filenames into ASCII to avoid Windows-path issues, an explicit duplicate-policy flag for images shared between train and val splits, and explicit handling of the Cyrillic class name.</w:t>
      </w:r>
      <w:r>
        <w:t xml:space="preserve"> </w:t>
      </w:r>
      <w:r>
        <w:rPr>
          <w:rStyle w:val="VerbatimChar"/>
        </w:rPr>
        <w:t xml:space="preserve">ml/tile_dataset.py</w:t>
      </w:r>
      <w:r>
        <w:t xml:space="preserve"> </w:t>
      </w:r>
      <w:r>
        <w:t xml:space="preserve">performs the sliding-window tiling itself using Shapely for polygon clipping, dropping any clipped fragment whose area falls below 25 square pixels (the assumption being that a tree fragment that small is more likely to be an artefact than a useful training signal).</w:t>
      </w:r>
    </w:p>
    <w:bookmarkEnd w:id="46"/>
    <w:bookmarkStart w:id="47" w:name="training-procedure"/>
    <w:p>
      <w:pPr>
        <w:pStyle w:val="Heading3"/>
      </w:pPr>
      <w:r>
        <w:t xml:space="preserve">2.4.4 Training procedure</w:t>
      </w:r>
    </w:p>
    <w:p>
      <w:pPr>
        <w:pStyle w:val="FirstParagraph"/>
      </w:pPr>
      <w:r>
        <w:t xml:space="preserve">The training of the v1 model was performed on a single workstation with an Intel Core i7-13620H CPU, 16 GiB of system RAM and an NVIDIA GeForce RTX 4060 Laptop GPU with 8 GiB of VRAM. The hyper-parameters are listed in Table 2.2.</w:t>
      </w:r>
    </w:p>
    <w:p>
      <w:pPr>
        <w:pStyle w:val="BodyText"/>
      </w:pPr>
      <w:r>
        <w:rPr>
          <w:b/>
          <w:bCs/>
        </w:rPr>
        <w:t xml:space="preserve">Table 2.2 — Training hyper-parameters for the YOLOv8-seg v1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Base model</w:t>
            </w:r>
          </w:p>
        </w:tc>
        <w:tc>
          <w:tcPr/>
          <w:p>
            <w:pPr>
              <w:pStyle w:val="Compact"/>
            </w:pPr>
            <w:r>
              <w:rPr>
                <w:rStyle w:val="VerbatimChar"/>
              </w:rPr>
              <w:t xml:space="preserve">yolov8x-seg.pt</w:t>
            </w:r>
            <w:r>
              <w:t xml:space="preserve"> </w:t>
            </w:r>
            <w:r>
              <w:t xml:space="preserve">(COCO pre-trained)</w:t>
            </w:r>
          </w:p>
        </w:tc>
      </w:tr>
      <w:tr>
        <w:tc>
          <w:tcPr/>
          <w:p>
            <w:pPr>
              <w:pStyle w:val="Compact"/>
            </w:pPr>
            <w:r>
              <w:t xml:space="preserve">Input resolution</w:t>
            </w:r>
          </w:p>
        </w:tc>
        <w:tc>
          <w:tcPr/>
          <w:p>
            <w:pPr>
              <w:pStyle w:val="Compact"/>
            </w:pPr>
            <w:r>
              <w:t xml:space="preserve">640 × 640</w:t>
            </w:r>
          </w:p>
        </w:tc>
      </w:tr>
      <w:tr>
        <w:tc>
          <w:tcPr/>
          <w:p>
            <w:pPr>
              <w:pStyle w:val="Compact"/>
            </w:pPr>
            <w:r>
              <w:t xml:space="preserve">Batch size</w:t>
            </w:r>
          </w:p>
        </w:tc>
        <w:tc>
          <w:tcPr/>
          <w:p>
            <w:pPr>
              <w:pStyle w:val="Compact"/>
            </w:pPr>
            <w:r>
              <w:t xml:space="preserve">2</w:t>
            </w:r>
          </w:p>
        </w:tc>
      </w:tr>
      <w:tr>
        <w:tc>
          <w:tcPr/>
          <w:p>
            <w:pPr>
              <w:pStyle w:val="Compact"/>
            </w:pPr>
            <w:r>
              <w:t xml:space="preserve">Epochs (max)</w:t>
            </w:r>
          </w:p>
        </w:tc>
        <w:tc>
          <w:tcPr/>
          <w:p>
            <w:pPr>
              <w:pStyle w:val="Compact"/>
            </w:pPr>
            <w:r>
              <w:t xml:space="preserve">500</w:t>
            </w:r>
          </w:p>
        </w:tc>
      </w:tr>
      <w:tr>
        <w:tc>
          <w:tcPr/>
          <w:p>
            <w:pPr>
              <w:pStyle w:val="Compact"/>
            </w:pPr>
            <w:r>
              <w:t xml:space="preserve">Early-stopping patience</w:t>
            </w:r>
          </w:p>
        </w:tc>
        <w:tc>
          <w:tcPr/>
          <w:p>
            <w:pPr>
              <w:pStyle w:val="Compact"/>
            </w:pPr>
            <w:r>
              <w:t xml:space="preserve">100</w:t>
            </w:r>
          </w:p>
        </w:tc>
      </w:tr>
      <w:tr>
        <w:tc>
          <w:tcPr/>
          <w:p>
            <w:pPr>
              <w:pStyle w:val="Compact"/>
            </w:pPr>
            <w:r>
              <w:t xml:space="preserve">Optimiser</w:t>
            </w:r>
          </w:p>
        </w:tc>
        <w:tc>
          <w:tcPr/>
          <w:p>
            <w:pPr>
              <w:pStyle w:val="Compact"/>
            </w:pPr>
            <w:r>
              <w:t xml:space="preserve">AdamW (auto-selected by Ultralytics)</w:t>
            </w:r>
          </w:p>
        </w:tc>
      </w:tr>
      <w:tr>
        <w:tc>
          <w:tcPr/>
          <w:p>
            <w:pPr>
              <w:pStyle w:val="Compact"/>
            </w:pPr>
            <w:r>
              <w:t xml:space="preserve">Initial learning rate</w:t>
            </w:r>
          </w:p>
        </w:tc>
        <w:tc>
          <w:tcPr/>
          <w:p>
            <w:pPr>
              <w:pStyle w:val="Compact"/>
            </w:pPr>
            <w:r>
              <w:t xml:space="preserve">0.01 (decayed with cosine schedule)</w:t>
            </w:r>
          </w:p>
        </w:tc>
      </w:tr>
      <w:tr>
        <w:tc>
          <w:tcPr/>
          <w:p>
            <w:pPr>
              <w:pStyle w:val="Compact"/>
            </w:pPr>
            <w:r>
              <w:t xml:space="preserve">Box loss weight</w:t>
            </w:r>
          </w:p>
        </w:tc>
        <w:tc>
          <w:tcPr/>
          <w:p>
            <w:pPr>
              <w:pStyle w:val="Compact"/>
            </w:pPr>
            <w:r>
              <w:t xml:space="preserve">7.5</w:t>
            </w:r>
          </w:p>
        </w:tc>
      </w:tr>
      <w:tr>
        <w:tc>
          <w:tcPr/>
          <w:p>
            <w:pPr>
              <w:pStyle w:val="Compact"/>
            </w:pPr>
            <w:r>
              <w:t xml:space="preserve">Classification loss weight</w:t>
            </w:r>
          </w:p>
        </w:tc>
        <w:tc>
          <w:tcPr/>
          <w:p>
            <w:pPr>
              <w:pStyle w:val="Compact"/>
            </w:pPr>
            <w:r>
              <w:t xml:space="preserve">0.5</w:t>
            </w:r>
          </w:p>
        </w:tc>
      </w:tr>
      <w:tr>
        <w:tc>
          <w:tcPr/>
          <w:p>
            <w:pPr>
              <w:pStyle w:val="Compact"/>
            </w:pPr>
            <w:r>
              <w:t xml:space="preserve">DFL loss weight</w:t>
            </w:r>
          </w:p>
        </w:tc>
        <w:tc>
          <w:tcPr/>
          <w:p>
            <w:pPr>
              <w:pStyle w:val="Compact"/>
            </w:pPr>
            <w:r>
              <w:t xml:space="preserve">1.5</w:t>
            </w:r>
          </w:p>
        </w:tc>
      </w:tr>
      <w:tr>
        <w:tc>
          <w:tcPr/>
          <w:p>
            <w:pPr>
              <w:pStyle w:val="Compact"/>
            </w:pPr>
            <w:r>
              <w:t xml:space="preserve">Mosaic augmentation</w:t>
            </w:r>
          </w:p>
        </w:tc>
        <w:tc>
          <w:tcPr/>
          <w:p>
            <w:pPr>
              <w:pStyle w:val="Compact"/>
            </w:pPr>
            <w:r>
              <w:t xml:space="preserve">1.0</w:t>
            </w:r>
          </w:p>
        </w:tc>
      </w:tr>
      <w:tr>
        <w:tc>
          <w:tcPr/>
          <w:p>
            <w:pPr>
              <w:pStyle w:val="Compact"/>
            </w:pPr>
            <w:r>
              <w:t xml:space="preserve">Mix-up augmentation</w:t>
            </w:r>
          </w:p>
        </w:tc>
        <w:tc>
          <w:tcPr/>
          <w:p>
            <w:pPr>
              <w:pStyle w:val="Compact"/>
            </w:pPr>
            <w:r>
              <w:t xml:space="preserve">0.1</w:t>
            </w:r>
          </w:p>
        </w:tc>
      </w:tr>
      <w:tr>
        <w:tc>
          <w:tcPr/>
          <w:p>
            <w:pPr>
              <w:pStyle w:val="Compact"/>
            </w:pPr>
            <w:r>
              <w:t xml:space="preserve">Copy-paste augmentation</w:t>
            </w:r>
          </w:p>
        </w:tc>
        <w:tc>
          <w:tcPr/>
          <w:p>
            <w:pPr>
              <w:pStyle w:val="Compact"/>
            </w:pPr>
            <w:r>
              <w:t xml:space="preserve">0.1</w:t>
            </w:r>
          </w:p>
        </w:tc>
      </w:tr>
      <w:tr>
        <w:tc>
          <w:tcPr/>
          <w:p>
            <w:pPr>
              <w:pStyle w:val="Compact"/>
            </w:pPr>
            <w:r>
              <w:t xml:space="preserve">HSV-S / HSV-V jitter</w:t>
            </w:r>
          </w:p>
        </w:tc>
        <w:tc>
          <w:tcPr/>
          <w:p>
            <w:pPr>
              <w:pStyle w:val="Compact"/>
            </w:pPr>
            <w:r>
              <w:t xml:space="preserve">0.4 / 0.3</w:t>
            </w:r>
          </w:p>
        </w:tc>
      </w:tr>
      <w:tr>
        <w:tc>
          <w:tcPr/>
          <w:p>
            <w:pPr>
              <w:pStyle w:val="Compact"/>
            </w:pPr>
            <w:r>
              <w:t xml:space="preserve">Rotation jitter</w:t>
            </w:r>
          </w:p>
        </w:tc>
        <w:tc>
          <w:tcPr/>
          <w:p>
            <w:pPr>
              <w:pStyle w:val="Compact"/>
            </w:pPr>
            <w:r>
              <w:t xml:space="preserve">±20°</w:t>
            </w:r>
          </w:p>
        </w:tc>
      </w:tr>
      <w:tr>
        <w:tc>
          <w:tcPr/>
          <w:p>
            <w:pPr>
              <w:pStyle w:val="Compact"/>
            </w:pPr>
            <w:r>
              <w:t xml:space="preserve">Mixed-precision (AMP)</w:t>
            </w:r>
          </w:p>
        </w:tc>
        <w:tc>
          <w:tcPr/>
          <w:p>
            <w:pPr>
              <w:pStyle w:val="Compact"/>
            </w:pPr>
            <w:r>
              <w:t xml:space="preserve">enabled</w:t>
            </w:r>
          </w:p>
        </w:tc>
      </w:tr>
    </w:tbl>
    <w:p>
      <w:pPr>
        <w:pStyle w:val="BodyText"/>
      </w:pPr>
      <w:r>
        <w:t xml:space="preserve">Mixed-precision training was essential — without it the model with a batch size of two exceeded the available 8 GiB of VRAM. Even with AMP enabled, the peak measured VRAM usage was approximately 6.4 GiB. The same configuration with a batch size of four reproducibly triggered an out-of-memory error.</w:t>
      </w:r>
    </w:p>
    <w:p>
      <w:pPr>
        <w:pStyle w:val="BodyText"/>
      </w:pPr>
      <w:r>
        <w:t xml:space="preserve">The training was started with a maximum of 500 epochs and was allowed to early-stop with a patience of 100 epochs. The actual run stopped at epoch 397 after approximately one hour of wall-clock training, with the best checkpoint produced at epoch 296. The detailed numerical results of this training run are reported in Chapter 3.</w:t>
      </w:r>
    </w:p>
    <w:p>
      <w:pPr>
        <w:pStyle w:val="BodyText"/>
      </w:pPr>
      <w:r>
        <w:t xml:space="preserve">The version-2 run, currently in progress on the expanded dataset, follows the same hyper-parameters but with the v1 best checkpoint as the starting point in order to retain the learned crown priors and accelerate convergence.</w:t>
      </w:r>
    </w:p>
    <w:bookmarkEnd w:id="47"/>
    <w:bookmarkEnd w:id="48"/>
    <w:bookmarkStart w:id="52" w:name="deepforest-branch"/>
    <w:p>
      <w:pPr>
        <w:pStyle w:val="Heading2"/>
      </w:pPr>
      <w:r>
        <w:t xml:space="preserve">2.5 DeepForest branch</w:t>
      </w:r>
    </w:p>
    <w:bookmarkStart w:id="49" w:name="architecture-1"/>
    <w:p>
      <w:pPr>
        <w:pStyle w:val="Heading3"/>
      </w:pPr>
      <w:r>
        <w:t xml:space="preserve">2.5.1 Architecture</w:t>
      </w:r>
    </w:p>
    <w:p>
      <w:pPr>
        <w:pStyle w:val="FirstParagraph"/>
      </w:pPr>
      <w:r>
        <w:t xml:space="preserve">DeepForest [1] is a tree-detection library built on top of a RetinaNet single-stage detector with a ResNet-50 backbone. RetinaNet was selected over two-stage architectures such as Faster R-CNN because of its better speed–accuracy trade-off on dense detection tasks, and over earlier YOLO versions because of its dedicated focal-loss formulation, which is particularly well-suited to the highly-imbalanced background-to-foreground ratio typical of dense forest scenes — a single satellite tile can easily contain dozens of small tree instances surrounded by hundreds of background patches.</w:t>
      </w:r>
    </w:p>
    <w:p>
      <w:pPr>
        <w:pStyle w:val="BodyText"/>
      </w:pPr>
      <w:r>
        <w:t xml:space="preserve">The model is shipped with two pre-trained weight sets. The first, generally referred to as the</w:t>
      </w:r>
      <w:r>
        <w:t xml:space="preserve"> </w:t>
      </w:r>
      <w:r>
        <w:t xml:space="preserve">“tree”</w:t>
      </w:r>
      <w:r>
        <w:t xml:space="preserve"> </w:t>
      </w:r>
      <w:r>
        <w:t xml:space="preserve">model and identified in the HuggingFace registry as</w:t>
      </w:r>
      <w:r>
        <w:t xml:space="preserve"> </w:t>
      </w:r>
      <w:r>
        <w:rPr>
          <w:rStyle w:val="VerbatimChar"/>
        </w:rPr>
        <w:t xml:space="preserve">weecology/deepforest-tree</w:t>
      </w:r>
      <w:r>
        <w:t xml:space="preserve">, was originally trained on hundreds of thousands of semi-supervised annotations derived from National Ecological Observatory Network (NEON) lidar data over forested sites in the United States. The second, the</w:t>
      </w:r>
      <w:r>
        <w:t xml:space="preserve"> </w:t>
      </w:r>
      <w:r>
        <w:t xml:space="preserve">“bird”</w:t>
      </w:r>
      <w:r>
        <w:t xml:space="preserve"> </w:t>
      </w:r>
      <w:r>
        <w:t xml:space="preserve">model, is irrelevant to the present work. The default model used in this project is the tree variant.</w:t>
      </w:r>
    </w:p>
    <w:bookmarkEnd w:id="49"/>
    <w:bookmarkStart w:id="50" w:name="inference-patch-based-tiled-processing"/>
    <w:p>
      <w:pPr>
        <w:pStyle w:val="Heading3"/>
      </w:pPr>
      <w:r>
        <w:t xml:space="preserve">2.5.2 Inference: patch-based tiled processing</w:t>
      </w:r>
    </w:p>
    <w:p>
      <w:pPr>
        <w:pStyle w:val="FirstParagraph"/>
      </w:pPr>
      <w:r>
        <w:t xml:space="preserve">DeepForest’s recommended inference mode for a full satellite image is the</w:t>
      </w:r>
      <w:r>
        <w:t xml:space="preserve"> </w:t>
      </w:r>
      <w:r>
        <w:rPr>
          <w:rStyle w:val="VerbatimChar"/>
        </w:rPr>
        <w:t xml:space="preserve">predict_tile()</w:t>
      </w:r>
      <w:r>
        <w:t xml:space="preserve"> </w:t>
      </w:r>
      <w:r>
        <w:t xml:space="preserve">method, which performs sliding-window patch-based inference on patches of a configurable size — by default 400 × 400 pixels — with a configurable overlap, typically 5%. Per-patch detections are merged with a Non-Maximum Suppression step internal to the library. The output is a pandas DataFrame with one row per detection, containing the columns</w:t>
      </w:r>
      <w:r>
        <w:t xml:space="preserve"> </w:t>
      </w:r>
      <w:r>
        <w:rPr>
          <w:rStyle w:val="VerbatimChar"/>
        </w:rPr>
        <w:t xml:space="preserve">xmin</w:t>
      </w:r>
      <w:r>
        <w:t xml:space="preserve">,</w:t>
      </w:r>
      <w:r>
        <w:t xml:space="preserve"> </w:t>
      </w:r>
      <w:r>
        <w:rPr>
          <w:rStyle w:val="VerbatimChar"/>
        </w:rPr>
        <w:t xml:space="preserve">ymin</w:t>
      </w:r>
      <w:r>
        <w:t xml:space="preserve">,</w:t>
      </w:r>
      <w:r>
        <w:t xml:space="preserve"> </w:t>
      </w:r>
      <w:r>
        <w:rPr>
          <w:rStyle w:val="VerbatimChar"/>
        </w:rPr>
        <w:t xml:space="preserve">xmax</w:t>
      </w:r>
      <w:r>
        <w:t xml:space="preserve">,</w:t>
      </w:r>
      <w:r>
        <w:t xml:space="preserve"> </w:t>
      </w:r>
      <w:r>
        <w:rPr>
          <w:rStyle w:val="VerbatimChar"/>
        </w:rPr>
        <w:t xml:space="preserve">ymax</w:t>
      </w:r>
      <w:r>
        <w:t xml:space="preserve">,</w:t>
      </w:r>
      <w:r>
        <w:t xml:space="preserve"> </w:t>
      </w:r>
      <w:r>
        <w:rPr>
          <w:rStyle w:val="VerbatimChar"/>
        </w:rPr>
        <w:t xml:space="preserve">label</w:t>
      </w:r>
      <w:r>
        <w:t xml:space="preserve"> </w:t>
      </w:r>
      <w:r>
        <w:t xml:space="preserve">and</w:t>
      </w:r>
      <w:r>
        <w:t xml:space="preserve"> </w:t>
      </w:r>
      <w:r>
        <w:rPr>
          <w:rStyle w:val="VerbatimChar"/>
        </w:rPr>
        <w:t xml:space="preserve">score</w:t>
      </w:r>
      <w:r>
        <w:t xml:space="preserve">. The DeepForest adapter in this project wraps this method and translates the DataFrame into the same</w:t>
      </w:r>
      <w:r>
        <w:t xml:space="preserve"> </w:t>
      </w:r>
      <w:r>
        <w:rPr>
          <w:rStyle w:val="VerbatimChar"/>
        </w:rPr>
        <w:t xml:space="preserve">Detection</w:t>
      </w:r>
      <w:r>
        <w:t xml:space="preserve"> </w:t>
      </w:r>
      <w:r>
        <w:t xml:space="preserve">dataclass that the YOLO adapter produces, so that the two branches are interchangeable downstream.</w:t>
      </w:r>
    </w:p>
    <w:p>
      <w:pPr>
        <w:pStyle w:val="BodyText"/>
      </w:pPr>
      <w:r>
        <w:t xml:space="preserve">The choice of a patch size of 400 (rather than the 640 used by the YOLO branch) reflects the network’s training distribution: the NEON imagery on which DeepForest was originally trained has a ground sampling distance of approximately 10 cm per pixel, and the relative crown size in the pre-training data is best matched by the smaller patch.</w:t>
      </w:r>
    </w:p>
    <w:bookmarkEnd w:id="50"/>
    <w:bookmarkStart w:id="51" w:name="fine-tuning-on-astana-data"/>
    <w:p>
      <w:pPr>
        <w:pStyle w:val="Heading3"/>
      </w:pPr>
      <w:r>
        <w:t xml:space="preserve">2.5.3 Fine-tuning on Astana data</w:t>
      </w:r>
    </w:p>
    <w:p>
      <w:pPr>
        <w:pStyle w:val="FirstParagraph"/>
      </w:pPr>
      <w:r>
        <w:t xml:space="preserve">The pre-trained DeepForest model already performs reasonably well on Astana imagery — in early baseline experiments it detected approximately 67 % of visible trees out of the box, comparable to its reported behaviour on European urban scenes [6]. To narrow the remaining domain gap a fine-tuning stage was performed by team member Anuar Totin on an</w:t>
      </w:r>
      <w:r>
        <w:t xml:space="preserve"> </w:t>
      </w:r>
      <w:r>
        <w:rPr>
          <w:b/>
          <w:bCs/>
        </w:rPr>
        <w:t xml:space="preserve">independent annotation set</w:t>
      </w:r>
      <w:r>
        <w:t xml:space="preserve"> </w:t>
      </w:r>
      <w:r>
        <w:t xml:space="preserve">maintained for the DeepForest branch (a separate corpus of Astana satellite tiles, annotated as bounding boxes rather than polygons, and held distinct from the YOLO polygon dataset described in Section 2.4). The motivation for the separate annotation set is twofold: first, DeepForest’s RetinaNet head consumes bounding-box labels natively and benefits little from the polygon refinement that the YOLO branch requires; second, maintaining two independently-curated datasets reduces the risk of validation-set leakage between the two branches and gives a cleaner methodological story for the head-to-head comparisons of Chapter 3.</w:t>
      </w:r>
    </w:p>
    <w:p>
      <w:pPr>
        <w:pStyle w:val="BodyText"/>
      </w:pPr>
      <w:r>
        <w:t xml:space="preserve">Fine-tuning is driven by the DeepForest</w:t>
      </w:r>
      <w:r>
        <w:t xml:space="preserve"> </w:t>
      </w:r>
      <w:r>
        <w:rPr>
          <w:rStyle w:val="VerbatimChar"/>
        </w:rPr>
        <w:t xml:space="preserve">Trainer</w:t>
      </w:r>
      <w:r>
        <w:t xml:space="preserve"> </w:t>
      </w:r>
      <w:r>
        <w:t xml:space="preserve">interface, which is a thin wrapper around PyTorch Lightning. The configuration used for the fine-tune is documented in the</w:t>
      </w:r>
      <w:r>
        <w:t xml:space="preserve"> </w:t>
      </w:r>
      <w:r>
        <w:rPr>
          <w:rStyle w:val="VerbatimChar"/>
        </w:rPr>
        <w:t xml:space="preserve">lightning_logs/</w:t>
      </w:r>
      <w:r>
        <w:t xml:space="preserve"> </w:t>
      </w:r>
      <w:r>
        <w:t xml:space="preserve">directory of the repository and includes: batch size 1, AdamW with learning rate</w:t>
      </w:r>
      <w:r>
        <w:t xml:space="preserve"> </w:t>
      </w:r>
      <m:oMath>
        <m:r>
          <m:t>1</m:t>
        </m:r>
        <m:r>
          <m:rPr>
            <m:sty m:val="p"/>
          </m:rPr>
          <m:t>×</m:t>
        </m:r>
        <m:sSup>
          <m:e>
            <m:r>
              <m:t>10</m:t>
            </m:r>
          </m:e>
          <m:sup>
            <m:r>
              <m:rPr>
                <m:sty m:val="p"/>
              </m:rPr>
              <m:t>−</m:t>
            </m:r>
            <m:r>
              <m:t>3</m:t>
            </m:r>
          </m:sup>
        </m:sSup>
      </m:oMath>
      <w:r>
        <w:t xml:space="preserve">, ReduceLROnPlateau scheduler on</w:t>
      </w:r>
      <w:r>
        <w:t xml:space="preserve"> </w:t>
      </w:r>
      <w:r>
        <w:rPr>
          <w:rStyle w:val="VerbatimChar"/>
        </w:rPr>
        <w:t xml:space="preserve">val_loss</w:t>
      </w:r>
      <w:r>
        <w:t xml:space="preserve"> </w:t>
      </w:r>
      <w:r>
        <w:t xml:space="preserve">with patience 10 and factor 0.5, horizontal-flip augmentation only, and a single training pass over the dataset per epoch (which matches the library’s default</w:t>
      </w:r>
      <w:r>
        <w:t xml:space="preserve"> </w:t>
      </w:r>
      <w:r>
        <w:rPr>
          <w:rStyle w:val="VerbatimChar"/>
        </w:rPr>
        <w:t xml:space="preserve">epochs: 1</w:t>
      </w:r>
      <w:r>
        <w:t xml:space="preserve"> </w:t>
      </w:r>
      <w:r>
        <w:t xml:space="preserve">setting and is appropriate given that DeepForest performs one full pass per call by convention). Multiple successive epochs are obtained by re-invoking the trainer.</w:t>
      </w:r>
    </w:p>
    <w:p>
      <w:pPr>
        <w:pStyle w:val="BodyText"/>
      </w:pPr>
      <w:r>
        <w:t xml:space="preserve">The fine-tuned weights are stored on disk as a Lightning checkpoint and re-loaded by the adapter through</w:t>
      </w:r>
      <w:r>
        <w:t xml:space="preserve"> </w:t>
      </w:r>
      <w:r>
        <w:rPr>
          <w:rStyle w:val="VerbatimChar"/>
        </w:rPr>
        <w:t xml:space="preserve">torch.load()</w:t>
      </w:r>
      <w:r>
        <w:t xml:space="preserve"> </w:t>
      </w:r>
      <w:r>
        <w:t xml:space="preserve">followed by a non-strict</w:t>
      </w:r>
      <w:r>
        <w:t xml:space="preserve"> </w:t>
      </w:r>
      <w:r>
        <w:rPr>
          <w:rStyle w:val="VerbatimChar"/>
        </w:rPr>
        <w:t xml:space="preserve">load_state_dict()</w:t>
      </w:r>
      <w:r>
        <w:t xml:space="preserve">. The adapter’s behaviour is fully backwards-compatible: if the fine-tuned checkpoint is not present, the model falls back automatically to the public</w:t>
      </w:r>
      <w:r>
        <w:t xml:space="preserve"> </w:t>
      </w:r>
      <w:r>
        <w:rPr>
          <w:rStyle w:val="VerbatimChar"/>
        </w:rPr>
        <w:t xml:space="preserve">weecology/deepforest-tree</w:t>
      </w:r>
      <w:r>
        <w:t xml:space="preserve"> </w:t>
      </w:r>
      <w:r>
        <w:t xml:space="preserve">weights, so the system remains usable on machines that do not have the proprietary checkpoint.</w:t>
      </w:r>
    </w:p>
    <w:bookmarkEnd w:id="51"/>
    <w:bookmarkEnd w:id="52"/>
    <w:bookmarkStart w:id="53" w:name="sam-mask-refinement-branch"/>
    <w:p>
      <w:pPr>
        <w:pStyle w:val="Heading2"/>
      </w:pPr>
      <w:r>
        <w:t xml:space="preserve">2.6 SAM mask-refinement branch</w:t>
      </w:r>
    </w:p>
    <w:p>
      <w:pPr>
        <w:pStyle w:val="FirstParagraph"/>
      </w:pPr>
      <w:r>
        <w:t xml:space="preserve">The Segment Anything Model [25] is a recent foundation model for class-agnostic image segmentation. It was trained on a dataset of more than one billion masks across eleven million images and exposes a prompt-based interface in which the user supplies a</w:t>
      </w:r>
      <w:r>
        <w:t xml:space="preserve"> </w:t>
      </w:r>
      <w:r>
        <w:t xml:space="preserve">“prompt”</w:t>
      </w:r>
      <w:r>
        <w:t xml:space="preserve"> </w:t>
      </w:r>
      <w:r>
        <w:t xml:space="preserve">— a point, a bounding box, or a coarse mask — and the model returns the precise segmentation of the corresponding object. Crucially for the present application, SAM is</w:t>
      </w:r>
      <w:r>
        <w:t xml:space="preserve"> </w:t>
      </w:r>
      <w:r>
        <w:rPr>
          <w:b/>
          <w:bCs/>
        </w:rPr>
        <w:t xml:space="preserve">zero-shot</w:t>
      </w:r>
      <w:r>
        <w:t xml:space="preserve">: it does not need to be trained or fine-tuned on the target domain to produce sharp object masks, provided that the prompt is approximately correct.</w:t>
      </w:r>
    </w:p>
    <w:p>
      <w:pPr>
        <w:pStyle w:val="BodyText"/>
      </w:pPr>
      <w:r>
        <w:t xml:space="preserve">The third branch of the proposed system exploits this property to upgrade DeepForest’s bounding-box detections into precise crown polygons without spending additional annotation effort or training time. The pipeline of this branch is the following:</w:t>
      </w:r>
    </w:p>
    <w:p>
      <w:pPr>
        <w:pStyle w:val="Compact"/>
        <w:numPr>
          <w:ilvl w:val="0"/>
          <w:numId w:val="1010"/>
        </w:numPr>
      </w:pPr>
      <w:r>
        <w:t xml:space="preserve">The DeepForest detector is run on the input image and produces a list of bounding boxes with associated confidence scores, exactly as in section 2.5.</w:t>
      </w:r>
    </w:p>
    <w:p>
      <w:pPr>
        <w:pStyle w:val="Compact"/>
        <w:numPr>
          <w:ilvl w:val="0"/>
          <w:numId w:val="1010"/>
        </w:numPr>
      </w:pPr>
      <w:r>
        <w:t xml:space="preserve">For each detection above the confidence threshold, the bounding box is converted into a SAM box prompt in the image coordinate frame.</w:t>
      </w:r>
    </w:p>
    <w:p>
      <w:pPr>
        <w:pStyle w:val="Compact"/>
        <w:numPr>
          <w:ilvl w:val="0"/>
          <w:numId w:val="1010"/>
        </w:numPr>
      </w:pPr>
      <w:r>
        <w:t xml:space="preserve">The SAM</w:t>
      </w:r>
      <w:r>
        <w:t xml:space="preserve"> </w:t>
      </w:r>
      <w:r>
        <w:rPr>
          <w:rStyle w:val="VerbatimChar"/>
        </w:rPr>
        <w:t xml:space="preserve">predictor.predict()</w:t>
      </w:r>
      <w:r>
        <w:t xml:space="preserve"> </w:t>
      </w:r>
      <w:r>
        <w:t xml:space="preserve">call returns three candidate masks per prompt and a score for each. The mask with the highest predicted IoU is kept.</w:t>
      </w:r>
    </w:p>
    <w:p>
      <w:pPr>
        <w:pStyle w:val="Compact"/>
        <w:numPr>
          <w:ilvl w:val="0"/>
          <w:numId w:val="1010"/>
        </w:numPr>
      </w:pPr>
      <w:r>
        <w:t xml:space="preserve">The returned binary mask is converted into a polygon contour through the same OpenCV contour-extraction step that the YOLO branch uses, and the resulting</w:t>
      </w:r>
      <w:r>
        <w:t xml:space="preserve"> </w:t>
      </w:r>
      <w:r>
        <w:rPr>
          <w:rStyle w:val="VerbatimChar"/>
        </w:rPr>
        <w:t xml:space="preserve">Detection</w:t>
      </w:r>
      <w:r>
        <w:t xml:space="preserve"> </w:t>
      </w:r>
      <w:r>
        <w:t xml:space="preserve">is emitted as if it had been produced by an end-to-end instance segmenter.</w:t>
      </w:r>
    </w:p>
    <w:p>
      <w:pPr>
        <w:pStyle w:val="FirstParagraph"/>
      </w:pPr>
      <w:r>
        <w:t xml:space="preserve">This branch is implemented as a separate adapter (</w:t>
      </w:r>
      <w:r>
        <w:rPr>
          <w:rStyle w:val="VerbatimChar"/>
        </w:rPr>
        <w:t xml:space="preserve">SAMDeepForestAdapter</w:t>
      </w:r>
      <w:r>
        <w:t xml:space="preserve">) that takes the DeepForest adapter as a constructor argument and follows the same interface as the other adapters. The SAM backbone used is the ViT-B variant, chosen as a compromise between accuracy and inference speed on a laptop GPU; the larger ViT-L and ViT-H variants are also supported through a configuration switch but are too slow for the interactive use case.</w:t>
      </w:r>
    </w:p>
    <w:p>
      <w:pPr>
        <w:pStyle w:val="BodyText"/>
      </w:pPr>
      <w:r>
        <w:t xml:space="preserve">Conceptually, this design treats SAM as a</w:t>
      </w:r>
      <w:r>
        <w:t xml:space="preserve"> </w:t>
      </w:r>
      <w:r>
        <w:rPr>
          <w:b/>
          <w:bCs/>
        </w:rPr>
        <w:t xml:space="preserve">post-processing step</w:t>
      </w:r>
      <w:r>
        <w:t xml:space="preserve"> </w:t>
      </w:r>
      <w:r>
        <w:t xml:space="preserve">that decorates an otherwise pure bounding-box detector with high-quality polygon masks. The cost is a roughly two-fold increase in inference time per image; the benefit is that the system gains crown-area and crown-coverage statistics without requiring a re-trained polygon-level model.</w:t>
      </w:r>
    </w:p>
    <w:bookmarkEnd w:id="53"/>
    <w:bookmarkStart w:id="54" w:name="ensemble-via-weighted-box-fusion"/>
    <w:p>
      <w:pPr>
        <w:pStyle w:val="Heading2"/>
      </w:pPr>
      <w:r>
        <w:t xml:space="preserve">2.7 Ensemble via Weighted Box Fusion</w:t>
      </w:r>
    </w:p>
    <w:p>
      <w:pPr>
        <w:pStyle w:val="FirstParagraph"/>
      </w:pPr>
      <w:r>
        <w:t xml:space="preserve">The YOLO and DeepForest branches are trained on the same data but with different network architectures, different patch sizes and different loss formulations. Their errors are therefore partly de-correlated: YOLO tends to over-segment large, dense canopies into several smaller crowns, while DeepForest tends to merge adjacent crowns into a single bounding box. An ensemble that combines the two should benefit from this complementarity.</w:t>
      </w:r>
    </w:p>
    <w:p>
      <w:pPr>
        <w:pStyle w:val="BodyText"/>
      </w:pPr>
      <w:r>
        <w:t xml:space="preserve">The chosen ensemble strategy is</w:t>
      </w:r>
      <w:r>
        <w:t xml:space="preserve"> </w:t>
      </w:r>
      <w:r>
        <w:rPr>
          <w:b/>
          <w:bCs/>
        </w:rPr>
        <w:t xml:space="preserve">Weighted Box Fusion</w:t>
      </w:r>
      <w:r>
        <w:t xml:space="preserve"> </w:t>
      </w:r>
      <w:r>
        <w:t xml:space="preserve">[26], a recent improvement over the older Non-Maximum-Suppression and Soft-NMS ensembles. Where NMS keeps the single highest-confidence box and discards every overlapping box, WBF instead</w:t>
      </w:r>
      <w:r>
        <w:t xml:space="preserve"> </w:t>
      </w:r>
      <w:r>
        <w:rPr>
          <w:b/>
          <w:bCs/>
        </w:rPr>
        <w:t xml:space="preserve">averages</w:t>
      </w:r>
      <w:r>
        <w:t xml:space="preserve"> </w:t>
      </w:r>
      <w:r>
        <w:t xml:space="preserve">the coordinates of the overlapping boxes weighted by their confidence scores, producing a single fused box whose coordinates and confidence are functions of all the contributing detections.</w:t>
      </w:r>
    </w:p>
    <w:p>
      <w:pPr>
        <w:pStyle w:val="BodyText"/>
      </w:pPr>
      <w:r>
        <w:t xml:space="preserve">The WBF procedure as implemented in the system is:</w:t>
      </w:r>
    </w:p>
    <w:p>
      <w:pPr>
        <w:pStyle w:val="Compact"/>
        <w:numPr>
          <w:ilvl w:val="0"/>
          <w:numId w:val="1011"/>
        </w:numPr>
      </w:pPr>
      <w:r>
        <w:t xml:space="preserve">Run the YOLO and DeepForest adapters on the same image and collect the two sets of bounding boxes with their confidence scores.</w:t>
      </w:r>
    </w:p>
    <w:p>
      <w:pPr>
        <w:pStyle w:val="Compact"/>
        <w:numPr>
          <w:ilvl w:val="0"/>
          <w:numId w:val="1011"/>
        </w:numPr>
      </w:pPr>
      <w:r>
        <w:t xml:space="preserve">Normalise the box coordinates to</w:t>
      </w:r>
      <w:r>
        <w:t xml:space="preserve"> </w:t>
      </w:r>
      <m:oMath>
        <m:r>
          <m:rPr>
            <m:sty m:val="p"/>
          </m:rPr>
          <m:t>[</m:t>
        </m:r>
        <m:r>
          <m:t>0</m:t>
        </m:r>
        <m:r>
          <m:rPr>
            <m:sty m:val="p"/>
          </m:rPr>
          <m:t>,</m:t>
        </m:r>
        <m:r>
          <m:t>1</m:t>
        </m:r>
        <m:r>
          <m:rPr>
            <m:sty m:val="p"/>
          </m:rPr>
          <m:t>]</m:t>
        </m:r>
      </m:oMath>
      <w:r>
        <w:t xml:space="preserve"> </w:t>
      </w:r>
      <w:r>
        <w:t xml:space="preserve">by dividing by the image dimensions.</w:t>
      </w:r>
    </w:p>
    <w:p>
      <w:pPr>
        <w:pStyle w:val="Compact"/>
        <w:numPr>
          <w:ilvl w:val="0"/>
          <w:numId w:val="1011"/>
        </w:numPr>
      </w:pPr>
      <w:r>
        <w:t xml:space="preserve">Sort the union of both sets by confidence in decreasing order and process each box in turn: if the current box has IoU</w:t>
      </w:r>
      <w:r>
        <w:t xml:space="preserve"> </w:t>
      </w:r>
      <m:oMath>
        <m:r>
          <m:rPr>
            <m:sty m:val="p"/>
          </m:rPr>
          <m:t>≥</m:t>
        </m:r>
        <m:sSub>
          <m:e>
            <m:r>
              <m:t>T</m:t>
            </m:r>
          </m:e>
          <m:sub>
            <m:r>
              <m:rPr>
                <m:nor/>
                <m:sty m:val="p"/>
              </m:rPr>
              <m:t>IoU</m:t>
            </m:r>
          </m:sub>
        </m:sSub>
      </m:oMath>
      <w:r>
        <w:t xml:space="preserve"> </w:t>
      </w:r>
      <w:r>
        <w:t xml:space="preserve">with the existing fused box of an already-formed cluster, add it to that cluster; otherwise, start a new cluster with the current box alone.</w:t>
      </w:r>
    </w:p>
    <w:p>
      <w:pPr>
        <w:pStyle w:val="Compact"/>
        <w:numPr>
          <w:ilvl w:val="0"/>
          <w:numId w:val="1011"/>
        </w:numPr>
      </w:pPr>
      <w:r>
        <w:t xml:space="preserve">After all boxes have been processed, replace each cluster of</w:t>
      </w:r>
      <w:r>
        <w:t xml:space="preserve"> </w:t>
      </w:r>
      <m:oMath>
        <m:r>
          <m:t>n</m:t>
        </m:r>
      </m:oMath>
      <w:r>
        <w:t xml:space="preserve"> </w:t>
      </w:r>
      <w:r>
        <w:t xml:space="preserve">boxes with a single fused box whose coordinates are the confidence-weighted average of the cluster members and whose confidence is the sum of the cluster members’ confidences scaled by</w:t>
      </w:r>
      <w:r>
        <w:t xml:space="preserve"> </w:t>
      </w:r>
      <m:oMath>
        <m:r>
          <m:rPr>
            <m:sty m:val="p"/>
          </m:rPr>
          <m:t>min</m:t>
        </m:r>
        <m:r>
          <m:rPr>
            <m:sty m:val="p"/>
          </m:rPr>
          <m:t>(</m:t>
        </m:r>
        <m:r>
          <m:t>n</m:t>
        </m:r>
        <m:r>
          <m:rPr>
            <m:sty m:val="p"/>
          </m:rPr>
          <m:t>,</m:t>
        </m:r>
        <m:r>
          <m:rPr>
            <m:nor/>
            <m:sty m:val="p"/>
          </m:rPr>
          <m:t>models</m:t>
        </m:r>
        <m:r>
          <m:rPr>
            <m:sty m:val="p"/>
          </m:rPr>
          <m:t>)</m:t>
        </m:r>
        <m:r>
          <m:rPr>
            <m:sty m:val="p"/>
          </m:rPr>
          <m:t>/</m:t>
        </m:r>
        <m:r>
          <m:rPr>
            <m:nor/>
            <m:sty m:val="p"/>
          </m:rPr>
          <m:t>models</m:t>
        </m:r>
      </m:oMath>
      <w:r>
        <w:t xml:space="preserve"> </w:t>
      </w:r>
      <w:r>
        <w:t xml:space="preserve">where</w:t>
      </w:r>
      <w:r>
        <w:t xml:space="preserve"> </w:t>
      </w:r>
      <m:oMath>
        <m:r>
          <m:rPr>
            <m:nor/>
            <m:sty m:val="p"/>
          </m:rPr>
          <m:t>models</m:t>
        </m:r>
        <m:r>
          <m:rPr>
            <m:sty m:val="p"/>
          </m:rPr>
          <m:t>=</m:t>
        </m:r>
        <m:r>
          <m:t>2</m:t>
        </m:r>
      </m:oMath>
      <w:r>
        <w:t xml:space="preserve">.</w:t>
      </w:r>
    </w:p>
    <w:p>
      <w:pPr>
        <w:pStyle w:val="Compact"/>
        <w:numPr>
          <w:ilvl w:val="0"/>
          <w:numId w:val="1011"/>
        </w:numPr>
      </w:pPr>
      <w:r>
        <w:t xml:space="preserve">De-normalise the coordinates back to pixel space and return the result.</w:t>
      </w:r>
    </w:p>
    <w:p>
      <w:pPr>
        <w:pStyle w:val="FirstParagraph"/>
      </w:pPr>
      <w:r>
        <w:t xml:space="preserve">The implementation uses the open-source</w:t>
      </w:r>
      <w:r>
        <w:t xml:space="preserve"> </w:t>
      </w:r>
      <w:r>
        <w:rPr>
          <w:rStyle w:val="VerbatimChar"/>
        </w:rPr>
        <w:t xml:space="preserve">ensemble-boxes</w:t>
      </w:r>
      <w:r>
        <w:t xml:space="preserve"> </w:t>
      </w:r>
      <w:r>
        <w:t xml:space="preserve">package from Roman Solovyev’s reference repository. The IoU threshold</w:t>
      </w:r>
      <w:r>
        <w:t xml:space="preserve"> </w:t>
      </w:r>
      <m:oMath>
        <m:sSub>
          <m:e>
            <m:r>
              <m:t>T</m:t>
            </m:r>
          </m:e>
          <m:sub>
            <m:r>
              <m:rPr>
                <m:nor/>
                <m:sty m:val="p"/>
              </m:rPr>
              <m:t>IoU</m:t>
            </m:r>
          </m:sub>
        </m:sSub>
      </m:oMath>
      <w:r>
        <w:t xml:space="preserve"> </w:t>
      </w:r>
      <w:r>
        <w:t xml:space="preserve">is set to 0.55, slightly higher than the typical 0.5 used for plain NMS, in order to compensate for the systematic location offset between YOLO and DeepForest boxes (the two networks tend to localise the centre of a crown slightly differently due to their different receptive fields). The per-model weights are set to 1.0 for both branches in the current prototype; an ablation study of weight calibration is reserved for future work.</w:t>
      </w:r>
    </w:p>
    <w:bookmarkEnd w:id="54"/>
    <w:bookmarkStart w:id="55" w:name="geographic-conversion"/>
    <w:p>
      <w:pPr>
        <w:pStyle w:val="Heading2"/>
      </w:pPr>
      <w:r>
        <w:t xml:space="preserve">2.8 Geographic conversion</w:t>
      </w:r>
    </w:p>
    <w:p>
      <w:pPr>
        <w:pStyle w:val="FirstParagraph"/>
      </w:pPr>
      <w:r>
        <w:t xml:space="preserve">A pixel coordinate</w:t>
      </w:r>
      <w:r>
        <w:t xml:space="preserve"> </w:t>
      </w:r>
      <m:oMath>
        <m:r>
          <m:rPr>
            <m:sty m:val="p"/>
          </m:rPr>
          <m:t>(</m:t>
        </m:r>
        <m:r>
          <m:t>x</m:t>
        </m:r>
        <m:r>
          <m:rPr>
            <m:sty m:val="p"/>
          </m:rPr>
          <m:t>,</m:t>
        </m:r>
        <m:r>
          <m:t>y</m:t>
        </m:r>
        <m:r>
          <m:rPr>
            <m:sty m:val="p"/>
          </m:rPr>
          <m:t>)</m:t>
        </m:r>
      </m:oMath>
      <w:r>
        <w:t xml:space="preserve"> </w:t>
      </w:r>
      <w:r>
        <w:t xml:space="preserve">inside the detection mask has no immediate meaning to a municipal user; the system must convert it into a</w:t>
      </w:r>
      <w:r>
        <w:t xml:space="preserve"> </w:t>
      </w:r>
      <m:oMath>
        <m:r>
          <m:rPr>
            <m:sty m:val="p"/>
          </m:rPr>
          <m:t>(</m:t>
        </m:r>
        <m:r>
          <m:rPr>
            <m:nor/>
            <m:sty m:val="p"/>
          </m:rPr>
          <m:t>longitude</m:t>
        </m:r>
        <m:r>
          <m:rPr>
            <m:sty m:val="p"/>
          </m:rPr>
          <m:t>,</m:t>
        </m:r>
        <m:r>
          <m:rPr>
            <m:nor/>
            <m:sty m:val="p"/>
          </m:rPr>
          <m:t>latitude</m:t>
        </m:r>
        <m:r>
          <m:rPr>
            <m:sty m:val="p"/>
          </m:rPr>
          <m:t>)</m:t>
        </m:r>
      </m:oMath>
      <w:r>
        <w:t xml:space="preserve"> </w:t>
      </w:r>
      <w:r>
        <w:t xml:space="preserve">pair in WGS-84. The conversion is implemented in</w:t>
      </w:r>
      <w:r>
        <w:t xml:space="preserve"> </w:t>
      </w:r>
      <w:r>
        <w:rPr>
          <w:rStyle w:val="VerbatimChar"/>
        </w:rPr>
        <w:t xml:space="preserve">backend/geo.py</w:t>
      </w:r>
      <w:r>
        <w:t xml:space="preserve"> </w:t>
      </w:r>
      <w:r>
        <w:t xml:space="preserve">and supports four operating modes, selected automatically by the system depending on the metadata available.</w:t>
      </w:r>
    </w:p>
    <w:p>
      <w:pPr>
        <w:pStyle w:val="BodyText"/>
      </w:pPr>
      <w:r>
        <w:rPr>
          <w:b/>
          <w:bCs/>
        </w:rPr>
        <w:t xml:space="preserve">Mode 1 — GeoTIFF affine.</w:t>
      </w:r>
      <w:r>
        <w:t xml:space="preserve"> </w:t>
      </w:r>
      <w:r>
        <w:t xml:space="preserve">If the input image is a GeoTIFF, the affine transform written in the file’s metadata maps any pixel coordinate to a coordinate in the projection of the file. The system reads the transform with</w:t>
      </w:r>
      <w:r>
        <w:t xml:space="preserve"> </w:t>
      </w:r>
      <w:r>
        <w:rPr>
          <w:rStyle w:val="VerbatimChar"/>
        </w:rPr>
        <w:t xml:space="preserve">rasterio.transform.AffineTransformer.xy(row, col)</w:t>
      </w:r>
      <w:r>
        <w:t xml:space="preserve"> </w:t>
      </w:r>
      <w:r>
        <w:t xml:space="preserve">and then re-projects the result to EPSG:4326 with</w:t>
      </w:r>
      <w:r>
        <w:t xml:space="preserve"> </w:t>
      </w:r>
      <w:r>
        <w:rPr>
          <w:rStyle w:val="VerbatimChar"/>
        </w:rPr>
        <w:t xml:space="preserve">pyproj.Transformer</w:t>
      </w:r>
      <w:r>
        <w:t xml:space="preserve"> </w:t>
      </w:r>
      <w:r>
        <w:t xml:space="preserve">if needed. This mode is the most accurate and is the recommended workflow for production use.</w:t>
      </w:r>
    </w:p>
    <w:p>
      <w:pPr>
        <w:pStyle w:val="BodyText"/>
      </w:pPr>
      <w:r>
        <w:rPr>
          <w:b/>
          <w:bCs/>
        </w:rPr>
        <w:t xml:space="preserve">Mode 2 — Four-corner bilinear.</w:t>
      </w:r>
      <w:r>
        <w:t xml:space="preserve"> </w:t>
      </w:r>
      <w:r>
        <w:t xml:space="preserve">If the user supplies the geographic coordinates of all four corners of the image (typically by dragging four markers on the Leaflet map until the screenshot is aligned with the underlying satellite basemap), the conversion uses bilinear interpolation: for a pixel at relative coordinates</w:t>
      </w:r>
      <w:r>
        <w:t xml:space="preserve"> </w:t>
      </w:r>
      <m:oMath>
        <m:r>
          <m:rPr>
            <m:sty m:val="p"/>
          </m:rPr>
          <m:t>(</m:t>
        </m:r>
        <m:r>
          <m:t>u</m:t>
        </m:r>
        <m:r>
          <m:rPr>
            <m:sty m:val="p"/>
          </m:rPr>
          <m:t>,</m:t>
        </m:r>
        <m:r>
          <m:t>v</m:t>
        </m:r>
        <m:r>
          <m:rPr>
            <m:sty m:val="p"/>
          </m:rPr>
          <m:t>)</m:t>
        </m:r>
        <m:r>
          <m:rPr>
            <m:sty m:val="p"/>
          </m:rPr>
          <m:t>∈</m:t>
        </m:r>
        <m:r>
          <m:rPr>
            <m:sty m:val="p"/>
          </m:rPr>
          <m:t>[</m:t>
        </m:r>
        <m:r>
          <m:t>0</m:t>
        </m:r>
        <m:r>
          <m:rPr>
            <m:sty m:val="p"/>
          </m:rPr>
          <m:t>,</m:t>
        </m:r>
        <m:r>
          <m:t>1</m:t>
        </m:r>
        <m:sSup>
          <m:e>
            <m:r>
              <m:rPr>
                <m:sty m:val="p"/>
              </m:rPr>
              <m:t>]</m:t>
            </m:r>
          </m:e>
          <m:sup>
            <m:r>
              <m:t>2</m:t>
            </m:r>
          </m:sup>
        </m:sSup>
      </m:oMath>
      <w:r>
        <w:t xml:space="preserve">, the geographic position is</w:t>
      </w:r>
    </w:p>
    <w:p>
      <w:pPr>
        <w:pStyle w:val="BodyText"/>
      </w:pPr>
      <m:oMathPara>
        <m:oMathParaPr>
          <m:jc m:val="center"/>
        </m:oMathParaPr>
        <m:oMath>
          <m:r>
            <m:rPr>
              <m:sty m:val="bi"/>
            </m:rPr>
            <m:t>g</m:t>
          </m:r>
          <m:r>
            <m:rPr>
              <m:sty m:val="p"/>
            </m:rPr>
            <m:t>(</m:t>
          </m:r>
          <m:r>
            <m:t>u</m:t>
          </m:r>
          <m:r>
            <m:rPr>
              <m:sty m:val="p"/>
            </m:rPr>
            <m:t>,</m:t>
          </m:r>
          <m:r>
            <m:t>v</m:t>
          </m:r>
          <m:r>
            <m:rPr>
              <m:sty m:val="p"/>
            </m:rPr>
            <m:t>)</m:t>
          </m:r>
          <m:r>
            <m:rPr>
              <m:sty m:val="p"/>
            </m:rPr>
            <m:t>=</m:t>
          </m:r>
          <m:r>
            <m:rPr>
              <m:sty m:val="p"/>
            </m:rPr>
            <m:t>(</m:t>
          </m:r>
          <m:r>
            <m:t>1</m:t>
          </m:r>
          <m:r>
            <m:rPr>
              <m:sty m:val="p"/>
            </m:rPr>
            <m:t>−</m:t>
          </m:r>
          <m:r>
            <m:t>u</m:t>
          </m:r>
          <m:r>
            <m:rPr>
              <m:sty m:val="p"/>
            </m:rPr>
            <m:t>)</m:t>
          </m:r>
          <m:r>
            <m:rPr>
              <m:sty m:val="p"/>
            </m:rPr>
            <m:t>(</m:t>
          </m:r>
          <m:r>
            <m:t>1</m:t>
          </m:r>
          <m:r>
            <m:rPr>
              <m:sty m:val="p"/>
            </m:rPr>
            <m:t>−</m:t>
          </m:r>
          <m:r>
            <m:t>v</m:t>
          </m:r>
          <m:r>
            <m:rPr>
              <m:sty m:val="p"/>
            </m:rPr>
            <m:t>)</m:t>
          </m:r>
          <m:sSub>
            <m:e>
              <m:r>
                <m:rPr>
                  <m:sty m:val="bi"/>
                </m:rPr>
                <m:t>g</m:t>
              </m:r>
            </m:e>
            <m:sub>
              <m:r>
                <m:rPr>
                  <m:nor/>
                  <m:sty m:val="p"/>
                </m:rPr>
                <m:t>nw</m:t>
              </m:r>
            </m:sub>
          </m:sSub>
          <m:r>
            <m:rPr>
              <m:sty m:val="p"/>
            </m:rPr>
            <m:t>+</m:t>
          </m:r>
          <m:r>
            <m:t>u</m:t>
          </m:r>
          <m:r>
            <m:rPr>
              <m:sty m:val="p"/>
            </m:rPr>
            <m:t>(</m:t>
          </m:r>
          <m:r>
            <m:t>1</m:t>
          </m:r>
          <m:r>
            <m:rPr>
              <m:sty m:val="p"/>
            </m:rPr>
            <m:t>−</m:t>
          </m:r>
          <m:r>
            <m:t>v</m:t>
          </m:r>
          <m:r>
            <m:rPr>
              <m:sty m:val="p"/>
            </m:rPr>
            <m:t>)</m:t>
          </m:r>
          <m:sSub>
            <m:e>
              <m:r>
                <m:rPr>
                  <m:sty m:val="bi"/>
                </m:rPr>
                <m:t>g</m:t>
              </m:r>
            </m:e>
            <m:sub>
              <m:r>
                <m:rPr>
                  <m:nor/>
                  <m:sty m:val="p"/>
                </m:rPr>
                <m:t>ne</m:t>
              </m:r>
            </m:sub>
          </m:sSub>
          <m:r>
            <m:rPr>
              <m:sty m:val="p"/>
            </m:rPr>
            <m:t>+</m:t>
          </m:r>
          <m:r>
            <m:rPr>
              <m:sty m:val="p"/>
            </m:rPr>
            <m:t>(</m:t>
          </m:r>
          <m:r>
            <m:t>1</m:t>
          </m:r>
          <m:r>
            <m:rPr>
              <m:sty m:val="p"/>
            </m:rPr>
            <m:t>−</m:t>
          </m:r>
          <m:r>
            <m:t>u</m:t>
          </m:r>
          <m:r>
            <m:rPr>
              <m:sty m:val="p"/>
            </m:rPr>
            <m:t>)</m:t>
          </m:r>
          <m:r>
            <m:t>v</m:t>
          </m:r>
          <m:sSub>
            <m:e>
              <m:r>
                <m:rPr>
                  <m:sty m:val="bi"/>
                </m:rPr>
                <m:t>g</m:t>
              </m:r>
            </m:e>
            <m:sub>
              <m:r>
                <m:rPr>
                  <m:nor/>
                  <m:sty m:val="p"/>
                </m:rPr>
                <m:t>sw</m:t>
              </m:r>
            </m:sub>
          </m:sSub>
          <m:r>
            <m:rPr>
              <m:sty m:val="p"/>
            </m:rPr>
            <m:t>+</m:t>
          </m:r>
          <m:r>
            <m:t>u</m:t>
          </m:r>
          <m:r>
            <m:t>v</m:t>
          </m:r>
          <m:sSub>
            <m:e>
              <m:r>
                <m:rPr>
                  <m:sty m:val="bi"/>
                </m:rPr>
                <m:t>g</m:t>
              </m:r>
            </m:e>
            <m:sub>
              <m:r>
                <m:rPr>
                  <m:nor/>
                  <m:sty m:val="p"/>
                </m:rPr>
                <m:t>se</m:t>
              </m:r>
            </m:sub>
          </m:sSub>
          <m:r>
            <m:rPr>
              <m:sty m:val="p"/>
            </m:rPr>
            <m:t>.</m:t>
          </m:r>
        </m:oMath>
      </m:oMathPara>
    </w:p>
    <w:p>
      <w:pPr>
        <w:pStyle w:val="FirstParagraph"/>
      </w:pPr>
      <w:r>
        <w:t xml:space="preserve">This mode is appropriate when the image is a rectified satellite view but the precise corners are not known from EXIF or from a GeoTIFF.</w:t>
      </w:r>
    </w:p>
    <w:p>
      <w:pPr>
        <w:pStyle w:val="BodyText"/>
      </w:pPr>
      <w:r>
        <w:rPr>
          <w:b/>
          <w:bCs/>
        </w:rPr>
        <w:t xml:space="preserve">Mode 3 — Two-corner axis-aligned.</w:t>
      </w:r>
      <w:r>
        <w:t xml:space="preserve"> </w:t>
      </w:r>
      <w:r>
        <w:t xml:space="preserve">When only the north-west and south-east corners are known (the common case after the in-browser map-capture workflow described in section 2.2), the conversion degenerates to a simple linear interpolation along each axis:</w:t>
      </w:r>
    </w:p>
    <w:p>
      <w:pPr>
        <w:pStyle w:val="BodyText"/>
      </w:pPr>
      <m:oMathPara>
        <m:oMathParaPr>
          <m:jc m:val="center"/>
        </m:oMathParaPr>
        <m:oMath>
          <m:r>
            <m:t>λ</m:t>
          </m:r>
          <m:r>
            <m:rPr>
              <m:sty m:val="p"/>
            </m:rPr>
            <m:t>(</m:t>
          </m:r>
          <m:r>
            <m:t>x</m:t>
          </m:r>
          <m:r>
            <m:rPr>
              <m:sty m:val="p"/>
            </m:rPr>
            <m:t>)</m:t>
          </m:r>
          <m:r>
            <m:rPr>
              <m:sty m:val="p"/>
            </m:rPr>
            <m:t>=</m:t>
          </m:r>
          <m:sSub>
            <m:e>
              <m:r>
                <m:t>λ</m:t>
              </m:r>
            </m:e>
            <m:sub>
              <m:r>
                <m:rPr>
                  <m:nor/>
                  <m:sty m:val="p"/>
                </m:rPr>
                <m:t>nw</m:t>
              </m:r>
            </m:sub>
          </m:sSub>
          <m:r>
            <m:rPr>
              <m:sty m:val="p"/>
            </m:rPr>
            <m:t>+</m:t>
          </m:r>
          <m:r>
            <m:rPr>
              <m:sty m:val="p"/>
            </m:rPr>
            <m:t>(</m:t>
          </m:r>
          <m:r>
            <m:t>x</m:t>
          </m:r>
          <m:r>
            <m:rPr>
              <m:sty m:val="p"/>
            </m:rPr>
            <m:t>/</m:t>
          </m:r>
          <m:r>
            <m:t>W</m:t>
          </m:r>
          <m:r>
            <m:rPr>
              <m:sty m:val="p"/>
            </m:rPr>
            <m:t>)</m:t>
          </m:r>
          <m:r>
            <m:rPr>
              <m:sty m:val="p"/>
            </m:rPr>
            <m:t>(</m:t>
          </m:r>
          <m:sSub>
            <m:e>
              <m:r>
                <m:t>λ</m:t>
              </m:r>
            </m:e>
            <m:sub>
              <m:r>
                <m:rPr>
                  <m:nor/>
                  <m:sty m:val="p"/>
                </m:rPr>
                <m:t>se</m:t>
              </m:r>
            </m:sub>
          </m:sSub>
          <m:r>
            <m:rPr>
              <m:sty m:val="p"/>
            </m:rPr>
            <m:t>−</m:t>
          </m:r>
          <m:sSub>
            <m:e>
              <m:r>
                <m:t>λ</m:t>
              </m:r>
            </m:e>
            <m:sub>
              <m:r>
                <m:rPr>
                  <m:nor/>
                  <m:sty m:val="p"/>
                </m:rPr>
                <m:t>nw</m:t>
              </m:r>
            </m:sub>
          </m:sSub>
          <m:r>
            <m:rPr>
              <m:sty m:val="p"/>
            </m:rPr>
            <m:t>)</m:t>
          </m:r>
          <m:r>
            <m:rPr>
              <m:sty m:val="p"/>
            </m:rPr>
            <m:t>,</m:t>
          </m:r>
          <m:r>
            <m:t>  </m:t>
          </m:r>
          <m:r>
            <m:t>ϕ</m:t>
          </m:r>
          <m:r>
            <m:rPr>
              <m:sty m:val="p"/>
            </m:rPr>
            <m:t>(</m:t>
          </m:r>
          <m:r>
            <m:t>y</m:t>
          </m:r>
          <m:r>
            <m:rPr>
              <m:sty m:val="p"/>
            </m:rPr>
            <m:t>)</m:t>
          </m:r>
          <m:r>
            <m:rPr>
              <m:sty m:val="p"/>
            </m:rPr>
            <m:t>=</m:t>
          </m:r>
          <m:sSub>
            <m:e>
              <m:r>
                <m:t>ϕ</m:t>
              </m:r>
            </m:e>
            <m:sub>
              <m:r>
                <m:rPr>
                  <m:nor/>
                  <m:sty m:val="p"/>
                </m:rPr>
                <m:t>nw</m:t>
              </m:r>
            </m:sub>
          </m:sSub>
          <m:r>
            <m:rPr>
              <m:sty m:val="p"/>
            </m:rPr>
            <m:t>+</m:t>
          </m:r>
          <m:r>
            <m:rPr>
              <m:sty m:val="p"/>
            </m:rPr>
            <m:t>(</m:t>
          </m:r>
          <m:r>
            <m:t>y</m:t>
          </m:r>
          <m:r>
            <m:rPr>
              <m:sty m:val="p"/>
            </m:rPr>
            <m:t>/</m:t>
          </m:r>
          <m:r>
            <m:t>H</m:t>
          </m:r>
          <m:r>
            <m:rPr>
              <m:sty m:val="p"/>
            </m:rPr>
            <m:t>)</m:t>
          </m:r>
          <m:r>
            <m:rPr>
              <m:sty m:val="p"/>
            </m:rPr>
            <m:t>(</m:t>
          </m:r>
          <m:sSub>
            <m:e>
              <m:r>
                <m:t>ϕ</m:t>
              </m:r>
            </m:e>
            <m:sub>
              <m:r>
                <m:rPr>
                  <m:nor/>
                  <m:sty m:val="p"/>
                </m:rPr>
                <m:t>se</m:t>
              </m:r>
            </m:sub>
          </m:sSub>
          <m:r>
            <m:rPr>
              <m:sty m:val="p"/>
            </m:rPr>
            <m:t>−</m:t>
          </m:r>
          <m:sSub>
            <m:e>
              <m:r>
                <m:t>ϕ</m:t>
              </m:r>
            </m:e>
            <m:sub>
              <m:r>
                <m:rPr>
                  <m:nor/>
                  <m:sty m:val="p"/>
                </m:rPr>
                <m:t>nw</m:t>
              </m:r>
            </m:sub>
          </m:sSub>
          <m:r>
            <m:rPr>
              <m:sty m:val="p"/>
            </m:rPr>
            <m:t>)</m:t>
          </m:r>
          <m:r>
            <m:rPr>
              <m:sty m:val="p"/>
            </m:rPr>
            <m:t>.</m:t>
          </m:r>
        </m:oMath>
      </m:oMathPara>
    </w:p>
    <w:p>
      <w:pPr>
        <w:pStyle w:val="FirstParagraph"/>
      </w:pPr>
      <w:r>
        <w:t xml:space="preserve">This is exact under the assumption of an axis-aligned, equirectangular projection at the city scale (the meridian curvature is negligible across a few hundred metres of Astana).</w:t>
      </w:r>
    </w:p>
    <w:p>
      <w:pPr>
        <w:pStyle w:val="BodyText"/>
      </w:pPr>
      <w:r>
        <w:rPr>
          <w:b/>
          <w:bCs/>
        </w:rPr>
        <w:t xml:space="preserve">Mode 4 — None.</w:t>
      </w:r>
      <w:r>
        <w:t xml:space="preserve"> </w:t>
      </w:r>
      <w:r>
        <w:t xml:space="preserve">If the user does not supply any geographic information and the input is not a GeoTIFF, the system returns the detections in pixel coordinates only and the corresponding fields of the JSON response are left as</w:t>
      </w:r>
      <w:r>
        <w:t xml:space="preserve"> </w:t>
      </w:r>
      <w:r>
        <w:rPr>
          <w:rStyle w:val="VerbatimChar"/>
        </w:rPr>
        <w:t xml:space="preserve">null</w:t>
      </w:r>
      <w:r>
        <w:t xml:space="preserve">. The Leaflet map is then disabled in the frontend and only the raw detections are displayed.</w:t>
      </w:r>
    </w:p>
    <w:p>
      <w:pPr>
        <w:pStyle w:val="BodyText"/>
      </w:pPr>
      <w:r>
        <w:t xml:space="preserve">The choice of mode is recorded in the response metadata so that downstream users can know what level of geographic accuracy to expect.</w:t>
      </w:r>
    </w:p>
    <w:p>
      <w:pPr>
        <w:pStyle w:val="BodyText"/>
      </w:pPr>
      <w:r>
        <w:t xml:space="preserve">In addition to the pure coordinate conversion, the geographic module estimates the</w:t>
      </w:r>
      <w:r>
        <w:t xml:space="preserve"> </w:t>
      </w:r>
      <w:r>
        <w:rPr>
          <w:b/>
          <w:bCs/>
        </w:rPr>
        <w:t xml:space="preserve">pixel size in metres</w:t>
      </w:r>
      <w:r>
        <w:t xml:space="preserve"> </w:t>
      </w:r>
      <w:r>
        <w:t xml:space="preserve">at the centre of the image, using the Haversine formula on the image diagonal. The estimated pixel size is propagated through to all downstream statistics — average crown area in square metres, total green coverage in hectares, total tree count per hectare — and is reported alongside the inventory.</w:t>
      </w:r>
    </w:p>
    <w:bookmarkEnd w:id="55"/>
    <w:bookmarkStart w:id="56" w:name="result-aggregation-and-export"/>
    <w:p>
      <w:pPr>
        <w:pStyle w:val="Heading2"/>
      </w:pPr>
      <w:r>
        <w:t xml:space="preserve">2.9 Result aggregation and export</w:t>
      </w:r>
    </w:p>
    <w:p>
      <w:pPr>
        <w:pStyle w:val="FirstParagraph"/>
      </w:pPr>
      <w:r>
        <w:t xml:space="preserve">After the geographic conversion the system produces a final</w:t>
      </w:r>
      <w:r>
        <w:t xml:space="preserve"> </w:t>
      </w:r>
      <w:r>
        <w:rPr>
          <w:rStyle w:val="VerbatimChar"/>
        </w:rPr>
        <w:t xml:space="preserve">PredictResult</w:t>
      </w:r>
      <w:r>
        <w:t xml:space="preserve"> </w:t>
      </w:r>
      <w:r>
        <w:t xml:space="preserve">object that contains:</w:t>
      </w:r>
    </w:p>
    <w:p>
      <w:pPr>
        <w:pStyle w:val="Compact"/>
        <w:numPr>
          <w:ilvl w:val="0"/>
          <w:numId w:val="1012"/>
        </w:numPr>
      </w:pPr>
      <w:r>
        <w:t xml:space="preserve">The job identifier and the originating image identifier.</w:t>
      </w:r>
    </w:p>
    <w:p>
      <w:pPr>
        <w:pStyle w:val="Compact"/>
        <w:numPr>
          <w:ilvl w:val="0"/>
          <w:numId w:val="1012"/>
        </w:numPr>
      </w:pPr>
      <w:r>
        <w:t xml:space="preserve">The list of detections, each with an integer index, a bounding box in pixel and geographic coordinates, a polygon mask, a confidence score, a crown area in pixels and (if applicable) in square metres.</w:t>
      </w:r>
    </w:p>
    <w:p>
      <w:pPr>
        <w:pStyle w:val="Compact"/>
        <w:numPr>
          <w:ilvl w:val="0"/>
          <w:numId w:val="1012"/>
        </w:numPr>
      </w:pPr>
      <w:r>
        <w:t xml:space="preserve">The total time taken by the inference, in milliseconds, for performance benchmarking.</w:t>
      </w:r>
    </w:p>
    <w:p>
      <w:pPr>
        <w:pStyle w:val="Compact"/>
        <w:numPr>
          <w:ilvl w:val="0"/>
          <w:numId w:val="1012"/>
        </w:numPr>
      </w:pPr>
      <w:r>
        <w:t xml:space="preserve">A</w:t>
      </w:r>
      <w:r>
        <w:t xml:space="preserve"> </w:t>
      </w:r>
      <w:r>
        <w:rPr>
          <w:rStyle w:val="VerbatimChar"/>
        </w:rPr>
        <w:t xml:space="preserve">stats</w:t>
      </w:r>
      <w:r>
        <w:t xml:space="preserve"> </w:t>
      </w:r>
      <w:r>
        <w:t xml:space="preserve">block with the tree count, the mean/min/max confidence, the average crown area, the green-coverage percentage and (when pixel size is known) the analysed area in hectares.</w:t>
      </w:r>
    </w:p>
    <w:p>
      <w:pPr>
        <w:pStyle w:val="FirstParagraph"/>
      </w:pPr>
      <w:r>
        <w:t xml:space="preserve">The result is stored in an in-memory job dictionary keyed by job identifier; the prototype does not persist results across restarts, which is appropriate for the present demonstration scope but would have to be replaced by an SQLite or Postgres backing store for production deployment.</w:t>
      </w:r>
    </w:p>
    <w:p>
      <w:pPr>
        <w:pStyle w:val="BodyText"/>
      </w:pPr>
      <w:r>
        <w:t xml:space="preserve">Three exporters are provided:</w:t>
      </w:r>
    </w:p>
    <w:p>
      <w:pPr>
        <w:pStyle w:val="Compact"/>
        <w:numPr>
          <w:ilvl w:val="0"/>
          <w:numId w:val="1013"/>
        </w:numPr>
      </w:pPr>
      <w:r>
        <w:rPr>
          <w:b/>
          <w:bCs/>
        </w:rPr>
        <w:t xml:space="preserve">GeoJSON</w:t>
      </w:r>
      <w:r>
        <w:t xml:space="preserve"> </w:t>
      </w:r>
      <w:r>
        <w:t xml:space="preserve">— a FeatureCollection in which each detection is a single Feature whose geometry is a Polygon (the crown mask in WGS-84) and whose properties contain the confidence, the crown area and the bounding box. The GeoJSON file can be loaded directly into QGIS, ArcGIS or any compatible GIS tool.</w:t>
      </w:r>
    </w:p>
    <w:p>
      <w:pPr>
        <w:pStyle w:val="Compact"/>
        <w:numPr>
          <w:ilvl w:val="0"/>
          <w:numId w:val="1013"/>
        </w:numPr>
      </w:pPr>
      <w:r>
        <w:rPr>
          <w:b/>
          <w:bCs/>
        </w:rPr>
        <w:t xml:space="preserve">CSV</w:t>
      </w:r>
      <w:r>
        <w:t xml:space="preserve"> </w:t>
      </w:r>
      <w:r>
        <w:t xml:space="preserve">— a flat table with one row per detection and columns for the index, the centroid coordinates, the bounding box, the confidence and the area. The CSV is intended for spreadsheet-based inspection and for direct ingestion by Zelenstroy’s existing reporting workflow.</w:t>
      </w:r>
    </w:p>
    <w:p>
      <w:pPr>
        <w:pStyle w:val="Compact"/>
        <w:numPr>
          <w:ilvl w:val="0"/>
          <w:numId w:val="1013"/>
        </w:numPr>
      </w:pPr>
      <w:r>
        <w:rPr>
          <w:b/>
          <w:bCs/>
        </w:rPr>
        <w:t xml:space="preserve">Standalone HTML</w:t>
      </w:r>
      <w:r>
        <w:t xml:space="preserve"> </w:t>
      </w:r>
      <w:r>
        <w:t xml:space="preserve">— a single self-contained HTML file with a Leaflet map embedded inline, the OpenStreetMap and ESRI World Imagery basemaps loaded from CDN, and the detections rendered as a vector layer with on-hover popups. The file is intended for sharing the inventory with a non-technical audience that does not have access to a GIS tool.</w:t>
      </w:r>
    </w:p>
    <w:p>
      <w:pPr>
        <w:pStyle w:val="FirstParagraph"/>
      </w:pPr>
      <w:r>
        <w:t xml:space="preserve">The three export endpoints share a common implementation in</w:t>
      </w:r>
      <w:r>
        <w:t xml:space="preserve"> </w:t>
      </w:r>
      <w:r>
        <w:rPr>
          <w:rStyle w:val="VerbatimChar"/>
        </w:rPr>
        <w:t xml:space="preserve">backend/export.py</w:t>
      </w:r>
      <w:r>
        <w:t xml:space="preserve"> </w:t>
      </w:r>
      <w:r>
        <w:t xml:space="preserve">and are reachable via</w:t>
      </w:r>
      <w:r>
        <w:t xml:space="preserve"> </w:t>
      </w:r>
      <w:r>
        <w:rPr>
          <w:rStyle w:val="VerbatimChar"/>
        </w:rPr>
        <w:t xml:space="preserve">POST /api/export/{job_id}/{format}</w:t>
      </w:r>
      <w:r>
        <w:t xml:space="preserve">.</w:t>
      </w:r>
    </w:p>
    <w:bookmarkEnd w:id="56"/>
    <w:bookmarkStart w:id="57" w:name="summary"/>
    <w:p>
      <w:pPr>
        <w:pStyle w:val="Heading2"/>
      </w:pPr>
      <w:r>
        <w:t xml:space="preserve">2.10 Summary</w:t>
      </w:r>
    </w:p>
    <w:p>
      <w:pPr>
        <w:pStyle w:val="FirstParagraph"/>
      </w:pPr>
      <w:r>
        <w:t xml:space="preserve">This chapter has presented the methodological foundation of the system: a layered architecture in which a thin presentation layer and a stateless REST backend are connected to a pluggable set of three deep-learning model adapters. The three adapters implement complementary detection paradigms — instance segmentation with YOLOv8-seg, bounding-box detection with DeepForest, zero-shot mask refinement with SAM — and are combined through a Weighted-Box-Fusion ensemble. Tiled inference allows the system to scale to satellite images of arbitrary resolution; four-mode geographic conversion supports inputs ranging from raw screenshots to fully-georeferenced GeoTIFFs; and three exporters deliver the resulting inventory in formats suitable for GIS specialists, spreadsheet users and non-technical viewers. The next chapter reports the experimental evaluation of the trained models and the integrated system on the Astana dataset.</w:t>
      </w:r>
    </w:p>
    <w:bookmarkEnd w:id="57"/>
    <w:bookmarkEnd w:id="58"/>
    <w:bookmarkStart w:id="81" w:name="chapter-3.-experiments-and-results"/>
    <w:p>
      <w:pPr>
        <w:pStyle w:val="Heading1"/>
      </w:pPr>
      <w:r>
        <w:t xml:space="preserve">Chapter 3. Experiments and results</w:t>
      </w:r>
    </w:p>
    <w:p>
      <w:pPr>
        <w:pStyle w:val="FirstParagraph"/>
      </w:pPr>
      <w:r>
        <w:t xml:space="preserve">This chapter reports the experimental evaluation of the system described in Chapter 2. Section 3.1 documents the hardware and software environment used. Section 3.2 details the dataset of Astana satellite imagery, its two annotation iterations and the tile-level splits actually used for training. Section 3.3 presents the quantitative and qualitative results of the YOLOv8-seg branch. Section 3.4 reports the corresponding results for the DeepForest branch, both before and after fine-tuning on Astana data. Section 3.5 shows the integration of the Segment Anything Model as a mask-refinement stage. Section 3.6 compares the three branches against the literature baselines summarised in Chapter 1. Sections 3.7 and 3.8 describe the integrated pipeline as deployed in the prototype and the limitations of the current implementation.</w:t>
      </w:r>
    </w:p>
    <w:bookmarkStart w:id="59" w:name="hardware-and-software-environment"/>
    <w:p>
      <w:pPr>
        <w:pStyle w:val="Heading2"/>
      </w:pPr>
      <w:r>
        <w:t xml:space="preserve">3.1 Hardware and software environment</w:t>
      </w:r>
    </w:p>
    <w:p>
      <w:pPr>
        <w:pStyle w:val="FirstParagraph"/>
      </w:pPr>
      <w:r>
        <w:t xml:space="preserve">All experiments documented in this chapter were performed on a single laptop workstation with the following configuration:</w:t>
      </w:r>
    </w:p>
    <w:p>
      <w:pPr>
        <w:pStyle w:val="Compact"/>
        <w:numPr>
          <w:ilvl w:val="0"/>
          <w:numId w:val="1014"/>
        </w:numPr>
      </w:pPr>
      <w:r>
        <w:rPr>
          <w:b/>
          <w:bCs/>
        </w:rPr>
        <w:t xml:space="preserve">CPU</w:t>
      </w:r>
      <w:r>
        <w:t xml:space="preserve">: Intel Core i7-13620H, 10 cores / 16 threads, 4.9 GHz boost.</w:t>
      </w:r>
    </w:p>
    <w:p>
      <w:pPr>
        <w:pStyle w:val="Compact"/>
        <w:numPr>
          <w:ilvl w:val="0"/>
          <w:numId w:val="1014"/>
        </w:numPr>
      </w:pPr>
      <w:r>
        <w:rPr>
          <w:b/>
          <w:bCs/>
        </w:rPr>
        <w:t xml:space="preserve">System memory</w:t>
      </w:r>
      <w:r>
        <w:t xml:space="preserve">: 16 GiB DDR5-4800 dual-channel.</w:t>
      </w:r>
    </w:p>
    <w:p>
      <w:pPr>
        <w:pStyle w:val="Compact"/>
        <w:numPr>
          <w:ilvl w:val="0"/>
          <w:numId w:val="1014"/>
        </w:numPr>
      </w:pPr>
      <w:r>
        <w:rPr>
          <w:b/>
          <w:bCs/>
        </w:rPr>
        <w:t xml:space="preserve">GPU</w:t>
      </w:r>
      <w:r>
        <w:t xml:space="preserve">: NVIDIA GeForce RTX 4060 Laptop, 8 GiB GDDR6, 3 072 CUDA cores, compute capability 8.9 (Ada Lovelace architecture).</w:t>
      </w:r>
    </w:p>
    <w:p>
      <w:pPr>
        <w:pStyle w:val="Compact"/>
        <w:numPr>
          <w:ilvl w:val="0"/>
          <w:numId w:val="1014"/>
        </w:numPr>
      </w:pPr>
      <w:r>
        <w:rPr>
          <w:b/>
          <w:bCs/>
        </w:rPr>
        <w:t xml:space="preserve">Storage</w:t>
      </w:r>
      <w:r>
        <w:t xml:space="preserve">: 1 TiB NVMe SSD; an additional 1 TiB external SSD for training-data backup.</w:t>
      </w:r>
    </w:p>
    <w:p>
      <w:pPr>
        <w:pStyle w:val="Compact"/>
        <w:numPr>
          <w:ilvl w:val="0"/>
          <w:numId w:val="1014"/>
        </w:numPr>
      </w:pPr>
      <w:r>
        <w:rPr>
          <w:b/>
          <w:bCs/>
        </w:rPr>
        <w:t xml:space="preserve">Operating system</w:t>
      </w:r>
      <w:r>
        <w:t xml:space="preserve">: Windows 11 Pro 23H2.</w:t>
      </w:r>
    </w:p>
    <w:p>
      <w:pPr>
        <w:pStyle w:val="Compact"/>
        <w:numPr>
          <w:ilvl w:val="0"/>
          <w:numId w:val="1014"/>
        </w:numPr>
      </w:pPr>
      <w:r>
        <w:rPr>
          <w:b/>
          <w:bCs/>
        </w:rPr>
        <w:t xml:space="preserve">CUDA driver</w:t>
      </w:r>
      <w:r>
        <w:t xml:space="preserve">: 12.1; NVIDIA driver 551.86.</w:t>
      </w:r>
    </w:p>
    <w:p>
      <w:pPr>
        <w:pStyle w:val="FirstParagraph"/>
      </w:pPr>
      <w:r>
        <w:t xml:space="preserve">The software stack was deliberately kept to two virtual environments. The first,</w:t>
      </w:r>
      <w:r>
        <w:t xml:space="preserve"> </w:t>
      </w:r>
      <w:r>
        <w:rPr>
          <w:rStyle w:val="VerbatimChar"/>
        </w:rPr>
        <w:t xml:space="preserve">venv/</w:t>
      </w:r>
      <w:r>
        <w:t xml:space="preserve">, contains a CPU-only PyTorch build and is used exclusively for data-preparation scripts that do not require a GPU (COCO-to-YOLO conversion, tiling, dataset merging, COCO pre-labelling). The second,</w:t>
      </w:r>
      <w:r>
        <w:t xml:space="preserve"> </w:t>
      </w:r>
      <w:r>
        <w:rPr>
          <w:rStyle w:val="VerbatimChar"/>
        </w:rPr>
        <w:t xml:space="preserve">pipeline/venv/</w:t>
      </w:r>
      <w:r>
        <w:t xml:space="preserve">, contains PyTorch 2.5.1 with CUDA 12.1 support, Ultralytics 8.4 and the DeepForest 1.5 library; it is used for training and GPU-bound inference. This separation was a deliberate engineering choice — installing PyTorch with CUDA support on Windows is brittle and is preferably done once and frozen, while the data-preparation environment is rewritten frequently.</w:t>
      </w:r>
    </w:p>
    <w:p>
      <w:pPr>
        <w:pStyle w:val="BodyText"/>
      </w:pPr>
      <w:r>
        <w:t xml:space="preserve">The peak GPU memory consumption during training was approximately</w:t>
      </w:r>
      <w:r>
        <w:t xml:space="preserve"> </w:t>
      </w:r>
      <w:r>
        <w:rPr>
          <w:b/>
          <w:bCs/>
        </w:rPr>
        <w:t xml:space="preserve">6.4 GiB</w:t>
      </w:r>
      <w:r>
        <w:t xml:space="preserve"> </w:t>
      </w:r>
      <w:r>
        <w:t xml:space="preserve">at an input resolution of 640 × 640 pixels and a batch size of 2 with mixed-precision training enabled. A batch size of 4 reproducibly triggered an out-of-memory error; this is the single hardware constraint that determined the choice of</w:t>
      </w:r>
      <w:r>
        <w:t xml:space="preserve"> </w:t>
      </w:r>
      <w:r>
        <w:rPr>
          <w:rStyle w:val="VerbatimChar"/>
        </w:rPr>
        <w:t xml:space="preserve">yolov8x-seg</w:t>
      </w:r>
      <w:r>
        <w:t xml:space="preserve"> </w:t>
      </w:r>
      <w:r>
        <w:t xml:space="preserve">over the larger</w:t>
      </w:r>
      <w:r>
        <w:t xml:space="preserve"> </w:t>
      </w:r>
      <w:r>
        <w:rPr>
          <w:rStyle w:val="VerbatimChar"/>
        </w:rPr>
        <w:t xml:space="preserve">yolov8x6-seg</w:t>
      </w:r>
      <w:r>
        <w:t xml:space="preserve"> </w:t>
      </w:r>
      <w:r>
        <w:t xml:space="preserve">variant.</w:t>
      </w:r>
    </w:p>
    <w:bookmarkEnd w:id="59"/>
    <w:bookmarkStart w:id="64" w:name="dataset"/>
    <w:p>
      <w:pPr>
        <w:pStyle w:val="Heading2"/>
      </w:pPr>
      <w:r>
        <w:t xml:space="preserve">3.2 Dataset</w:t>
      </w:r>
    </w:p>
    <w:bookmarkStart w:id="60" w:name="source-images-and-annotation-strategy"/>
    <w:p>
      <w:pPr>
        <w:pStyle w:val="Heading3"/>
      </w:pPr>
      <w:r>
        <w:t xml:space="preserve">3.2.1 Source images and annotation strategy</w:t>
      </w:r>
    </w:p>
    <w:p>
      <w:pPr>
        <w:pStyle w:val="FirstParagraph"/>
      </w:pPr>
      <w:r>
        <w:t xml:space="preserve">The training data is a collection of satellite screenshots of the city of Astana, captured manually from Google Earth Pro and ESRI World Imagery at zoom levels 17 to 19 (approximately 0.3 m to 1.2 m ground sampling distance, depending on geographic latitude and imagery provider). Districts of Astana with varied urban morphology were selected to obtain a balanced training set: dense residential micro-districts on the left bank, sparse private-house yards on the right bank, central avenues with row-planted street trees, and the green corridors along the Yesil River.</w:t>
      </w:r>
    </w:p>
    <w:p>
      <w:pPr>
        <w:pStyle w:val="BodyText"/>
      </w:pPr>
      <w:r>
        <w:t xml:space="preserve">All annotation was performed manually in the Computer Vision Annotation Tool (CVAT), with a single class —</w:t>
      </w:r>
      <w:r>
        <w:t xml:space="preserve"> </w:t>
      </w:r>
      <w:r>
        <w:t xml:space="preserve">“Дерево”</w:t>
      </w:r>
      <w:r>
        <w:t xml:space="preserve"> </w:t>
      </w:r>
      <w:r>
        <w:t xml:space="preserve">(Russian for</w:t>
      </w:r>
      <w:r>
        <w:t xml:space="preserve"> </w:t>
      </w:r>
      <w:r>
        <w:rPr>
          <w:i/>
          <w:iCs/>
        </w:rPr>
        <w:t xml:space="preserve">Tree</w:t>
      </w:r>
      <w:r>
        <w:t xml:space="preserve">) — and per-crown polygon labels. The annotators (the three diploma-project authors) followed a uniform convention: every tree crown visible in the image was annotated as a closed polygon approximating the visible outline, with no distinction by species or apparent health. The annotation was deliberately accepted as</w:t>
      </w:r>
      <w:r>
        <w:t xml:space="preserve"> </w:t>
      </w:r>
      <w:r>
        <w:rPr>
          <w:b/>
          <w:bCs/>
        </w:rPr>
        <w:t xml:space="preserve">moderately noisy</w:t>
      </w:r>
      <w:r>
        <w:t xml:space="preserve">: shadow boundaries, partial occlusion by tall buildings, and ambiguous cases of tightly-clustered crowns inevitably introduce labelling variability of approximately ± 10 % in both the count and the polygon outline. This noise floor is consistent with the labelling reported by the DeepForest authors in [1] and by the Sofia work [6].</w:t>
      </w:r>
    </w:p>
    <w:bookmarkEnd w:id="60"/>
    <w:bookmarkStart w:id="61" w:name="version-1-dataset"/>
    <w:p>
      <w:pPr>
        <w:pStyle w:val="Heading3"/>
      </w:pPr>
      <w:r>
        <w:t xml:space="preserve">3.2.2 Version-1 dataset</w:t>
      </w:r>
    </w:p>
    <w:p>
      <w:pPr>
        <w:pStyle w:val="FirstParagraph"/>
      </w:pPr>
      <w:r>
        <w:t xml:space="preserve">The first iteration of the dataset, completed in April 2026, consists of</w:t>
      </w:r>
      <w:r>
        <w:t xml:space="preserve"> </w:t>
      </w:r>
      <w:r>
        <w:rPr>
          <w:b/>
          <w:bCs/>
        </w:rPr>
        <w:t xml:space="preserve">20 source images</w:t>
      </w:r>
      <w:r>
        <w:t xml:space="preserve"> </w:t>
      </w:r>
      <w:r>
        <w:t xml:space="preserve">with a combined</w:t>
      </w:r>
      <w:r>
        <w:t xml:space="preserve"> </w:t>
      </w:r>
      <w:r>
        <w:rPr>
          <w:b/>
          <w:bCs/>
        </w:rPr>
        <w:t xml:space="preserve">2 242 polygon annotations</w:t>
      </w:r>
      <w:r>
        <w:t xml:space="preserve">. The source images were divided into a training split (16 images) and a validation split (4 images) at the source-image level, so that no tile from a single source image can leak between the splits.</w:t>
      </w:r>
    </w:p>
    <w:p>
      <w:pPr>
        <w:pStyle w:val="BodyText"/>
      </w:pPr>
      <w:r>
        <w:t xml:space="preserve">The full-image dataset was then converted into the tile-level dataset actually used for training by the procedure of Section 2.3: each source image was sliced into 640 × 640 tiles with 128-pixel overlap, polygons were clipped to tile boundaries through Shapely, and fragments below 25 square pixels were discarded. The resulting tiled dataset contains:</w:t>
      </w:r>
    </w:p>
    <w:p>
      <w:pPr>
        <w:pStyle w:val="Compact"/>
        <w:numPr>
          <w:ilvl w:val="0"/>
          <w:numId w:val="1015"/>
        </w:numPr>
      </w:pPr>
      <w:r>
        <w:rPr>
          <w:b/>
          <w:bCs/>
        </w:rPr>
        <w:t xml:space="preserve">58 training tiles</w:t>
      </w:r>
      <w:r>
        <w:t xml:space="preserve"> </w:t>
      </w:r>
      <w:r>
        <w:t xml:space="preserve">with approximately 4 350 polygons;</w:t>
      </w:r>
    </w:p>
    <w:p>
      <w:pPr>
        <w:pStyle w:val="Compact"/>
        <w:numPr>
          <w:ilvl w:val="0"/>
          <w:numId w:val="1015"/>
        </w:numPr>
      </w:pPr>
      <w:r>
        <w:rPr>
          <w:b/>
          <w:bCs/>
        </w:rPr>
        <w:t xml:space="preserve">4 validation tiles</w:t>
      </w:r>
      <w:r>
        <w:t xml:space="preserve"> </w:t>
      </w:r>
      <w:r>
        <w:t xml:space="preserve">with</w:t>
      </w:r>
      <w:r>
        <w:t xml:space="preserve"> </w:t>
      </w:r>
      <w:r>
        <w:rPr>
          <w:b/>
          <w:bCs/>
        </w:rPr>
        <w:t xml:space="preserve">94 polygons</w:t>
      </w:r>
      <w:r>
        <w:t xml:space="preserve"> </w:t>
      </w:r>
      <w:r>
        <w:t xml:space="preserve">in total.</w:t>
      </w:r>
    </w:p>
    <w:p>
      <w:pPr>
        <w:pStyle w:val="FirstParagraph"/>
      </w:pPr>
      <w:r>
        <w:t xml:space="preserve">The tile-level statistics are summarised in Table 3.1.</w:t>
      </w:r>
    </w:p>
    <w:p>
      <w:pPr>
        <w:pStyle w:val="BodyText"/>
      </w:pPr>
      <w:r>
        <w:rPr>
          <w:b/>
          <w:bCs/>
        </w:rPr>
        <w:t xml:space="preserve">Table 3.1 — Statistics of the version-1 tiled dataset.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Split</w:t>
            </w:r>
          </w:p>
        </w:tc>
        <w:tc>
          <w:tcPr/>
          <w:p>
            <w:pPr>
              <w:pStyle w:val="Compact"/>
            </w:pPr>
            <w:r>
              <w:t xml:space="preserve">Source imgs</w:t>
            </w:r>
          </w:p>
        </w:tc>
        <w:tc>
          <w:tcPr/>
          <w:p>
            <w:pPr>
              <w:pStyle w:val="Compact"/>
            </w:pPr>
            <w:r>
              <w:t xml:space="preserve">Tiles</w:t>
            </w:r>
          </w:p>
        </w:tc>
        <w:tc>
          <w:tcPr/>
          <w:p>
            <w:pPr>
              <w:pStyle w:val="Compact"/>
            </w:pPr>
            <w:r>
              <w:t xml:space="preserve">Polygons</w:t>
            </w:r>
          </w:p>
        </w:tc>
        <w:tc>
          <w:tcPr/>
          <w:p>
            <w:pPr>
              <w:pStyle w:val="Compact"/>
            </w:pPr>
            <w:r>
              <w:t xml:space="preserve">Mean polys/tile</w:t>
            </w:r>
          </w:p>
        </w:tc>
      </w:tr>
      <w:tr>
        <w:tc>
          <w:tcPr/>
          <w:p>
            <w:pPr>
              <w:pStyle w:val="Compact"/>
            </w:pPr>
            <w:r>
              <w:t xml:space="preserve">Train</w:t>
            </w:r>
          </w:p>
        </w:tc>
        <w:tc>
          <w:tcPr/>
          <w:p>
            <w:pPr>
              <w:pStyle w:val="Compact"/>
            </w:pPr>
            <w:r>
              <w:t xml:space="preserve">16</w:t>
            </w:r>
          </w:p>
        </w:tc>
        <w:tc>
          <w:tcPr/>
          <w:p>
            <w:pPr>
              <w:pStyle w:val="Compact"/>
            </w:pPr>
            <w:r>
              <w:t xml:space="preserve">58</w:t>
            </w:r>
          </w:p>
        </w:tc>
        <w:tc>
          <w:tcPr/>
          <w:p>
            <w:pPr>
              <w:pStyle w:val="Compact"/>
            </w:pPr>
            <w:r>
              <w:t xml:space="preserve">≈ 4 350</w:t>
            </w:r>
          </w:p>
        </w:tc>
        <w:tc>
          <w:tcPr/>
          <w:p>
            <w:pPr>
              <w:pStyle w:val="Compact"/>
            </w:pPr>
            <w:r>
              <w:t xml:space="preserve">≈ 75</w:t>
            </w:r>
          </w:p>
        </w:tc>
      </w:tr>
      <w:tr>
        <w:tc>
          <w:tcPr/>
          <w:p>
            <w:pPr>
              <w:pStyle w:val="Compact"/>
            </w:pPr>
            <w:r>
              <w:t xml:space="preserve">Validation</w:t>
            </w:r>
          </w:p>
        </w:tc>
        <w:tc>
          <w:tcPr/>
          <w:p>
            <w:pPr>
              <w:pStyle w:val="Compact"/>
            </w:pPr>
            <w:r>
              <w:t xml:space="preserve">4</w:t>
            </w:r>
          </w:p>
        </w:tc>
        <w:tc>
          <w:tcPr/>
          <w:p>
            <w:pPr>
              <w:pStyle w:val="Compact"/>
            </w:pPr>
            <w:r>
              <w:t xml:space="preserve">4</w:t>
            </w:r>
          </w:p>
        </w:tc>
        <w:tc>
          <w:tcPr/>
          <w:p>
            <w:pPr>
              <w:pStyle w:val="Compact"/>
            </w:pPr>
            <w:r>
              <w:t xml:space="preserve">94</w:t>
            </w:r>
          </w:p>
        </w:tc>
        <w:tc>
          <w:tcPr/>
          <w:p>
            <w:pPr>
              <w:pStyle w:val="Compact"/>
            </w:pPr>
            <w:r>
              <w:t xml:space="preserve">23.5</w:t>
            </w:r>
          </w:p>
        </w:tc>
      </w:tr>
      <w:tr>
        <w:tc>
          <w:tcPr/>
          <w:p>
            <w:pPr>
              <w:pStyle w:val="Compact"/>
            </w:pPr>
            <w:r>
              <w:rPr>
                <w:b/>
                <w:bCs/>
              </w:rPr>
              <w:t xml:space="preserve">Total</w:t>
            </w:r>
          </w:p>
        </w:tc>
        <w:tc>
          <w:tcPr/>
          <w:p>
            <w:pPr>
              <w:pStyle w:val="Compact"/>
            </w:pPr>
            <w:r>
              <w:rPr>
                <w:b/>
                <w:bCs/>
              </w:rPr>
              <w:t xml:space="preserve">20</w:t>
            </w:r>
          </w:p>
        </w:tc>
        <w:tc>
          <w:tcPr/>
          <w:p>
            <w:pPr>
              <w:pStyle w:val="Compact"/>
            </w:pPr>
            <w:r>
              <w:rPr>
                <w:b/>
                <w:bCs/>
              </w:rPr>
              <w:t xml:space="preserve">62</w:t>
            </w:r>
          </w:p>
        </w:tc>
        <w:tc>
          <w:tcPr/>
          <w:p>
            <w:pPr>
              <w:pStyle w:val="Compact"/>
            </w:pPr>
            <w:r>
              <w:rPr>
                <w:b/>
                <w:bCs/>
              </w:rPr>
              <w:t xml:space="preserve">≈ 4 444</w:t>
            </w:r>
          </w:p>
        </w:tc>
        <w:tc>
          <w:tcPr/>
          <w:p>
            <w:pPr>
              <w:pStyle w:val="Compact"/>
            </w:pPr>
            <w:r>
              <w:rPr>
                <w:b/>
                <w:bCs/>
              </w:rPr>
              <w:t xml:space="preserve">≈ 71.6</w:t>
            </w:r>
          </w:p>
        </w:tc>
      </w:tr>
    </w:tbl>
    <w:bookmarkEnd w:id="61"/>
    <w:bookmarkStart w:id="62" w:name="version-2-dataset"/>
    <w:p>
      <w:pPr>
        <w:pStyle w:val="Heading3"/>
      </w:pPr>
      <w:r>
        <w:t xml:space="preserve">3.2.3 Version-2 dataset</w:t>
      </w:r>
    </w:p>
    <w:p>
      <w:pPr>
        <w:pStyle w:val="FirstParagraph"/>
      </w:pPr>
      <w:r>
        <w:t xml:space="preserve">The second iteration of the dataset, completed in May 2026, added</w:t>
      </w:r>
      <w:r>
        <w:t xml:space="preserve"> </w:t>
      </w:r>
      <w:r>
        <w:rPr>
          <w:b/>
          <w:bCs/>
        </w:rPr>
        <w:t xml:space="preserve">57 new source images</w:t>
      </w:r>
      <w:r>
        <w:t xml:space="preserve"> </w:t>
      </w:r>
      <w:r>
        <w:t xml:space="preserve">collected from the same sources during a one-day batch session. The new images were not annotated from scratch; rather, the team applied the</w:t>
      </w:r>
      <w:r>
        <w:t xml:space="preserve"> </w:t>
      </w:r>
      <w:r>
        <w:rPr>
          <w:b/>
          <w:bCs/>
        </w:rPr>
        <w:t xml:space="preserve">pre-labelling tool</w:t>
      </w:r>
      <w:r>
        <w:t xml:space="preserve"> </w:t>
      </w:r>
      <w:r>
        <w:t xml:space="preserve">described in Section 2.4.3, which uses the trained version-1 YOLOv8-seg model to generate a first pass of polygon proposals at a low confidence threshold (0.20) and writes the result as a COCO 1.0 JSON file readable by CVAT.</w:t>
      </w:r>
    </w:p>
    <w:p>
      <w:pPr>
        <w:pStyle w:val="BodyText"/>
      </w:pPr>
      <w:r>
        <w:t xml:space="preserve">The pre-labelled JSON was loaded into CVAT and the three authors collaboratively cleaned the proposals: removed false positives (shadows, bushes, building edges that the model mistook for trees), redrew the worst polygons, and added the missing trees that the model had under-detected. Empirically, the pre-labelling step reduced the annotation time per image by approximately</w:t>
      </w:r>
      <w:r>
        <w:t xml:space="preserve"> </w:t>
      </w:r>
      <w:r>
        <w:rPr>
          <w:b/>
          <w:bCs/>
        </w:rPr>
        <w:t xml:space="preserve">70 %</w:t>
      </w:r>
      <w:r>
        <w:t xml:space="preserve"> </w:t>
      </w:r>
      <w:r>
        <w:t xml:space="preserve">compared to from-scratch annotation, in line with the savings reported by other works using a similar model-in-the-loop approach.</w:t>
      </w:r>
    </w:p>
    <w:p>
      <w:pPr>
        <w:pStyle w:val="BodyText"/>
      </w:pPr>
      <w:r>
        <w:t xml:space="preserve">After cleaning, the new images were split into a training portion (52 images) and a validation portion (5 images) using a fixed random seed for reproducibility. The new train and validation files were then merged with the version-1 splits using the</w:t>
      </w:r>
      <w:r>
        <w:t xml:space="preserve"> </w:t>
      </w:r>
      <w:r>
        <w:rPr>
          <w:rStyle w:val="VerbatimChar"/>
        </w:rPr>
        <w:t xml:space="preserve">ml/merge_coco.py</w:t>
      </w:r>
      <w:r>
        <w:t xml:space="preserve"> </w:t>
      </w:r>
      <w:r>
        <w:t xml:space="preserve">script, which preserves the existing image and annotation identifiers while re-numbering the new ones. The combined dataset was re-tiled, producing the version-2 tiled dataset of Table 3.2.</w:t>
      </w:r>
    </w:p>
    <w:p>
      <w:pPr>
        <w:pStyle w:val="BodyText"/>
      </w:pPr>
      <w:r>
        <w:rPr>
          <w:b/>
          <w:bCs/>
        </w:rPr>
        <w:t xml:space="preserve">Table 3.2 — Statistics of the version-2 tiled dataset.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Split</w:t>
            </w:r>
          </w:p>
        </w:tc>
        <w:tc>
          <w:tcPr/>
          <w:p>
            <w:pPr>
              <w:pStyle w:val="Compact"/>
            </w:pPr>
            <w:r>
              <w:t xml:space="preserve">Source imgs</w:t>
            </w:r>
          </w:p>
        </w:tc>
        <w:tc>
          <w:tcPr/>
          <w:p>
            <w:pPr>
              <w:pStyle w:val="Compact"/>
            </w:pPr>
            <w:r>
              <w:t xml:space="preserve">Tiles</w:t>
            </w:r>
          </w:p>
        </w:tc>
        <w:tc>
          <w:tcPr/>
          <w:p>
            <w:pPr>
              <w:pStyle w:val="Compact"/>
            </w:pPr>
            <w:r>
              <w:t xml:space="preserve">Polygons</w:t>
            </w:r>
          </w:p>
        </w:tc>
        <w:tc>
          <w:tcPr/>
          <w:p>
            <w:pPr>
              <w:pStyle w:val="Compact"/>
            </w:pPr>
            <w:r>
              <w:t xml:space="preserve">Mean polys/tile</w:t>
            </w:r>
          </w:p>
        </w:tc>
      </w:tr>
      <w:tr>
        <w:tc>
          <w:tcPr/>
          <w:p>
            <w:pPr>
              <w:pStyle w:val="Compact"/>
            </w:pPr>
            <w:r>
              <w:t xml:space="preserve">Train</w:t>
            </w:r>
          </w:p>
        </w:tc>
        <w:tc>
          <w:tcPr/>
          <w:p>
            <w:pPr>
              <w:pStyle w:val="Compact"/>
            </w:pPr>
            <w:r>
              <w:t xml:space="preserve">68</w:t>
            </w:r>
          </w:p>
        </w:tc>
        <w:tc>
          <w:tcPr/>
          <w:p>
            <w:pPr>
              <w:pStyle w:val="Compact"/>
            </w:pPr>
            <w:r>
              <w:t xml:space="preserve">111</w:t>
            </w:r>
          </w:p>
        </w:tc>
        <w:tc>
          <w:tcPr/>
          <w:p>
            <w:pPr>
              <w:pStyle w:val="Compact"/>
            </w:pPr>
            <w:r>
              <w:t xml:space="preserve">≈ 7 800</w:t>
            </w:r>
          </w:p>
        </w:tc>
        <w:tc>
          <w:tcPr/>
          <w:p>
            <w:pPr>
              <w:pStyle w:val="Compact"/>
            </w:pPr>
            <w:r>
              <w:t xml:space="preserve">≈ 70</w:t>
            </w:r>
          </w:p>
        </w:tc>
      </w:tr>
      <w:tr>
        <w:tc>
          <w:tcPr/>
          <w:p>
            <w:pPr>
              <w:pStyle w:val="Compact"/>
            </w:pPr>
            <w:r>
              <w:t xml:space="preserve">Validation</w:t>
            </w:r>
          </w:p>
        </w:tc>
        <w:tc>
          <w:tcPr/>
          <w:p>
            <w:pPr>
              <w:pStyle w:val="Compact"/>
            </w:pPr>
            <w:r>
              <w:t xml:space="preserve">9</w:t>
            </w:r>
          </w:p>
        </w:tc>
        <w:tc>
          <w:tcPr/>
          <w:p>
            <w:pPr>
              <w:pStyle w:val="Compact"/>
            </w:pPr>
            <w:r>
              <w:t xml:space="preserve">10</w:t>
            </w:r>
          </w:p>
        </w:tc>
        <w:tc>
          <w:tcPr/>
          <w:p>
            <w:pPr>
              <w:pStyle w:val="Compact"/>
            </w:pPr>
            <w:r>
              <w:t xml:space="preserve">≈ 230</w:t>
            </w:r>
          </w:p>
        </w:tc>
        <w:tc>
          <w:tcPr/>
          <w:p>
            <w:pPr>
              <w:pStyle w:val="Compact"/>
            </w:pPr>
            <w:r>
              <w:t xml:space="preserve">≈ 23</w:t>
            </w:r>
          </w:p>
        </w:tc>
      </w:tr>
      <w:tr>
        <w:tc>
          <w:tcPr/>
          <w:p>
            <w:pPr>
              <w:pStyle w:val="Compact"/>
            </w:pPr>
            <w:r>
              <w:rPr>
                <w:b/>
                <w:bCs/>
              </w:rPr>
              <w:t xml:space="preserve">Total</w:t>
            </w:r>
          </w:p>
        </w:tc>
        <w:tc>
          <w:tcPr/>
          <w:p>
            <w:pPr>
              <w:pStyle w:val="Compact"/>
            </w:pPr>
            <w:r>
              <w:rPr>
                <w:b/>
                <w:bCs/>
              </w:rPr>
              <w:t xml:space="preserve">77</w:t>
            </w:r>
          </w:p>
        </w:tc>
        <w:tc>
          <w:tcPr/>
          <w:p>
            <w:pPr>
              <w:pStyle w:val="Compact"/>
            </w:pPr>
            <w:r>
              <w:rPr>
                <w:b/>
                <w:bCs/>
              </w:rPr>
              <w:t xml:space="preserve">121</w:t>
            </w:r>
          </w:p>
        </w:tc>
        <w:tc>
          <w:tcPr/>
          <w:p>
            <w:pPr>
              <w:pStyle w:val="Compact"/>
            </w:pPr>
            <w:r>
              <w:rPr>
                <w:b/>
                <w:bCs/>
              </w:rPr>
              <w:t xml:space="preserve">≈ 8 030</w:t>
            </w:r>
          </w:p>
        </w:tc>
        <w:tc>
          <w:tcPr/>
          <w:p>
            <w:pPr>
              <w:pStyle w:val="Compact"/>
            </w:pPr>
            <w:r>
              <w:rPr>
                <w:b/>
                <w:bCs/>
              </w:rPr>
              <w:t xml:space="preserve">≈ 66.4</w:t>
            </w:r>
          </w:p>
        </w:tc>
      </w:tr>
    </w:tbl>
    <w:p>
      <w:pPr>
        <w:pStyle w:val="BodyText"/>
      </w:pPr>
      <w:r>
        <w:t xml:space="preserve">The number of training tiles approximately doubled between v1 and v2 (58 → 111), reflecting the corresponding doubling of source images. The mean number of polygons per tile remained constant at approximately 70, which confirms that the new images were drawn from the same urban-density distribution as the original ones.</w:t>
      </w:r>
    </w:p>
    <w:bookmarkEnd w:id="62"/>
    <w:bookmarkStart w:id="63" w:name="conversion-and-tiling-pipeline"/>
    <w:p>
      <w:pPr>
        <w:pStyle w:val="Heading3"/>
      </w:pPr>
      <w:r>
        <w:t xml:space="preserve">3.2.4 Conversion and tiling pipeline</w:t>
      </w:r>
    </w:p>
    <w:p>
      <w:pPr>
        <w:pStyle w:val="FirstParagraph"/>
      </w:pPr>
      <w:r>
        <w:t xml:space="preserve">The complete data-preparation pipeline that turns a CVAT COCO export into a tile-level YOLO dataset is implemented in four Python tools located in the</w:t>
      </w:r>
      <w:r>
        <w:t xml:space="preserve"> </w:t>
      </w:r>
      <w:r>
        <w:rPr>
          <w:rStyle w:val="VerbatimChar"/>
        </w:rPr>
        <w:t xml:space="preserve">ml/</w:t>
      </w:r>
      <w:r>
        <w:t xml:space="preserve"> </w:t>
      </w:r>
      <w:r>
        <w:t xml:space="preserve">directory of the repository:</w:t>
      </w:r>
      <w:r>
        <w:t xml:space="preserve"> </w:t>
      </w:r>
      <w:r>
        <w:rPr>
          <w:rStyle w:val="VerbatimChar"/>
        </w:rPr>
        <w:t xml:space="preserve">ml/coco_to_yolo_seg.py</w:t>
      </w:r>
      <w:r>
        <w:t xml:space="preserve"> </w:t>
      </w:r>
      <w:r>
        <w:t xml:space="preserve">converts the COCO polygons to YOLOv8 polygon labels;</w:t>
      </w:r>
      <w:r>
        <w:t xml:space="preserve"> </w:t>
      </w:r>
      <w:r>
        <w:rPr>
          <w:rStyle w:val="VerbatimChar"/>
        </w:rPr>
        <w:t xml:space="preserve">ml/tile_dataset.py</w:t>
      </w:r>
      <w:r>
        <w:t xml:space="preserve"> </w:t>
      </w:r>
      <w:r>
        <w:t xml:space="preserve">performs the sliding-window tiling;</w:t>
      </w:r>
      <w:r>
        <w:t xml:space="preserve"> </w:t>
      </w:r>
      <w:r>
        <w:rPr>
          <w:rStyle w:val="VerbatimChar"/>
        </w:rPr>
        <w:t xml:space="preserve">ml/merge_coco.py</w:t>
      </w:r>
      <w:r>
        <w:t xml:space="preserve"> </w:t>
      </w:r>
      <w:r>
        <w:t xml:space="preserve">merges multiple COCO files; and</w:t>
      </w:r>
      <w:r>
        <w:t xml:space="preserve"> </w:t>
      </w:r>
      <w:r>
        <w:rPr>
          <w:rStyle w:val="VerbatimChar"/>
        </w:rPr>
        <w:t xml:space="preserve">ml/split_coco.py</w:t>
      </w:r>
      <w:r>
        <w:t xml:space="preserve"> </w:t>
      </w:r>
      <w:r>
        <w:t xml:space="preserve">performs deterministic train/val splits at the source-image level. All four scripts share a common Cyrillic-aware UTF-8 output configuration and a common command-line interface, and together with the auxiliary</w:t>
      </w:r>
      <w:r>
        <w:t xml:space="preserve"> </w:t>
      </w:r>
      <w:r>
        <w:rPr>
          <w:rStyle w:val="VerbatimChar"/>
        </w:rPr>
        <w:t xml:space="preserve">prelabel_coco.py</w:t>
      </w:r>
      <w:r>
        <w:t xml:space="preserve"> </w:t>
      </w:r>
      <w:r>
        <w:t xml:space="preserve">tool they constitute a reusable data-preparation library that can be applied to any future tree-annotation campaign.</w:t>
      </w:r>
    </w:p>
    <w:bookmarkEnd w:id="63"/>
    <w:bookmarkEnd w:id="64"/>
    <w:bookmarkStart w:id="70" w:name="yolov8-seg-training-results"/>
    <w:p>
      <w:pPr>
        <w:pStyle w:val="Heading2"/>
      </w:pPr>
      <w:r>
        <w:t xml:space="preserve">3.3 YOLOv8-seg training results</w:t>
      </w:r>
    </w:p>
    <w:bookmarkStart w:id="65" w:name="version-1-training-run"/>
    <w:p>
      <w:pPr>
        <w:pStyle w:val="Heading3"/>
      </w:pPr>
      <w:r>
        <w:t xml:space="preserve">3.3.1 Version-1 training run</w:t>
      </w:r>
    </w:p>
    <w:p>
      <w:pPr>
        <w:pStyle w:val="FirstParagraph"/>
      </w:pPr>
      <w:r>
        <w:t xml:space="preserve">The version-1 model was trained with the hyper-parameters listed in Table 2.2 of Chapter 2. The training was launched with a maximum of 500 epochs and an early-stopping patience of 100 epochs, and was allowed to run to convergence. The actual run stopped at</w:t>
      </w:r>
      <w:r>
        <w:t xml:space="preserve"> </w:t>
      </w:r>
      <w:r>
        <w:rPr>
          <w:b/>
          <w:bCs/>
        </w:rPr>
        <w:t xml:space="preserve">epoch 397</w:t>
      </w:r>
      <w:r>
        <w:t xml:space="preserve"> </w:t>
      </w:r>
      <w:r>
        <w:t xml:space="preserve">after approximately</w:t>
      </w:r>
      <w:r>
        <w:t xml:space="preserve"> </w:t>
      </w:r>
      <w:r>
        <w:rPr>
          <w:b/>
          <w:bCs/>
        </w:rPr>
        <w:t xml:space="preserve">1.008 wall-clock hours</w:t>
      </w:r>
      <w:r>
        <w:t xml:space="preserve">, with the best checkpoint produced at</w:t>
      </w:r>
      <w:r>
        <w:t xml:space="preserve"> </w:t>
      </w:r>
      <w:r>
        <w:rPr>
          <w:b/>
          <w:bCs/>
        </w:rPr>
        <w:t xml:space="preserve">epoch 296</w:t>
      </w:r>
      <w:r>
        <w:t xml:space="preserve">.</w:t>
      </w:r>
    </w:p>
    <w:bookmarkEnd w:id="65"/>
    <w:bookmarkStart w:id="66" w:name="training-loss"/>
    <w:p>
      <w:pPr>
        <w:pStyle w:val="Heading3"/>
      </w:pPr>
      <w:r>
        <w:t xml:space="preserve">3.3.2 Training loss</w:t>
      </w:r>
    </w:p>
    <w:p>
      <w:pPr>
        <w:pStyle w:val="FirstParagraph"/>
      </w:pPr>
      <w:r>
        <w:t xml:space="preserve">The training loss curves recorded by Ultralytics for the version-1 run are reproduced in the appendices (see</w:t>
      </w:r>
      <w:r>
        <w:t xml:space="preserve"> </w:t>
      </w:r>
      <w:r>
        <w:rPr>
          <w:rStyle w:val="VerbatimChar"/>
        </w:rPr>
        <w:t xml:space="preserve">runs/segment/astana_tiled_x_max/results.png</w:t>
      </w:r>
      <w:r>
        <w:t xml:space="preserve">). Three loss components are reported by the framework:</w:t>
      </w:r>
    </w:p>
    <w:p>
      <w:pPr>
        <w:numPr>
          <w:ilvl w:val="0"/>
          <w:numId w:val="1016"/>
        </w:numPr>
      </w:pPr>
      <w:r>
        <w:rPr>
          <w:b/>
          <w:bCs/>
        </w:rPr>
        <w:t xml:space="preserve">Box loss</w:t>
      </w:r>
      <w:r>
        <w:t xml:space="preserve"> </w:t>
      </w:r>
      <w:r>
        <w:t xml:space="preserve">(</w:t>
      </w:r>
      <w:r>
        <w:rPr>
          <w:rStyle w:val="VerbatimChar"/>
        </w:rPr>
        <w:t xml:space="preserve">box_loss</w:t>
      </w:r>
      <w:r>
        <w:t xml:space="preserve">) — the IoU-based regression loss for bounding-box localisation. The training-set box loss decreased smoothly from approximately 2.6 at epoch 1 to approximately 0.45 at the best epoch 296, and the validation-set box loss followed a similar trajectory from approximately 2.7 to approximately 0.95 at the best epoch.</w:t>
      </w:r>
    </w:p>
    <w:p>
      <w:pPr>
        <w:numPr>
          <w:ilvl w:val="0"/>
          <w:numId w:val="1016"/>
        </w:numPr>
      </w:pPr>
      <w:r>
        <w:rPr>
          <w:b/>
          <w:bCs/>
        </w:rPr>
        <w:t xml:space="preserve">Segmentation loss</w:t>
      </w:r>
      <w:r>
        <w:t xml:space="preserve"> </w:t>
      </w:r>
      <w:r>
        <w:t xml:space="preserve">(</w:t>
      </w:r>
      <w:r>
        <w:rPr>
          <w:rStyle w:val="VerbatimChar"/>
        </w:rPr>
        <w:t xml:space="preserve">seg_loss</w:t>
      </w:r>
      <w:r>
        <w:t xml:space="preserve">) — the binary cross-entropy on the predicted mask. The training-set segmentation loss decreased from approximately 4.5 to approximately 1.2 at the best epoch; the validation curve is noisier (because of the very small validation tile count) but exhibits the same overall trajectory.</w:t>
      </w:r>
    </w:p>
    <w:p>
      <w:pPr>
        <w:numPr>
          <w:ilvl w:val="0"/>
          <w:numId w:val="1016"/>
        </w:numPr>
      </w:pPr>
      <w:r>
        <w:rPr>
          <w:b/>
          <w:bCs/>
        </w:rPr>
        <w:t xml:space="preserve">Classification loss</w:t>
      </w:r>
      <w:r>
        <w:t xml:space="preserve"> </w:t>
      </w:r>
      <w:r>
        <w:t xml:space="preserve">(</w:t>
      </w:r>
      <w:r>
        <w:rPr>
          <w:rStyle w:val="VerbatimChar"/>
        </w:rPr>
        <w:t xml:space="preserve">cls_loss</w:t>
      </w:r>
      <w:r>
        <w:t xml:space="preserve">) and</w:t>
      </w:r>
      <w:r>
        <w:t xml:space="preserve"> </w:t>
      </w:r>
      <w:r>
        <w:rPr>
          <w:b/>
          <w:bCs/>
        </w:rPr>
        <w:t xml:space="preserve">distributional focal loss</w:t>
      </w:r>
      <w:r>
        <w:t xml:space="preserve"> </w:t>
      </w:r>
      <w:r>
        <w:t xml:space="preserve">(</w:t>
      </w:r>
      <w:r>
        <w:rPr>
          <w:rStyle w:val="VerbatimChar"/>
        </w:rPr>
        <w:t xml:space="preserve">dfl_loss</w:t>
      </w:r>
      <w:r>
        <w:t xml:space="preserve">) — both decrease monotonically and contribute to the overall objective.</w:t>
      </w:r>
    </w:p>
    <w:p>
      <w:pPr>
        <w:pStyle w:val="FirstParagraph"/>
      </w:pPr>
      <w:r>
        <w:t xml:space="preserve">The early-stopping criterion fired at epoch 397 because no improvement in the best validation</w:t>
      </w:r>
      <w:r>
        <w:t xml:space="preserve"> </w:t>
      </w:r>
      <w:r>
        <w:rPr>
          <w:rStyle w:val="VerbatimChar"/>
        </w:rPr>
        <w:t xml:space="preserve">seg_loss</w:t>
      </w:r>
      <w:r>
        <w:t xml:space="preserve"> </w:t>
      </w:r>
      <w:r>
        <w:t xml:space="preserve">had been observed for 100 consecutive epochs, indicating that the model had converged on the current data.</w:t>
      </w:r>
    </w:p>
    <w:bookmarkEnd w:id="66"/>
    <w:bookmarkStart w:id="67" w:name="validation-metrics"/>
    <w:p>
      <w:pPr>
        <w:pStyle w:val="Heading3"/>
      </w:pPr>
      <w:r>
        <w:t xml:space="preserve">3.3.3 Validation metrics</w:t>
      </w:r>
    </w:p>
    <w:p>
      <w:pPr>
        <w:pStyle w:val="FirstParagraph"/>
      </w:pPr>
      <w:r>
        <w:t xml:space="preserve">Table 3.3 reports the final validation metrics on the four held-out tiles (94 ground-truth polygons in total) at the best epoch.</w:t>
      </w:r>
    </w:p>
    <w:p>
      <w:pPr>
        <w:pStyle w:val="BodyText"/>
      </w:pPr>
      <w:r>
        <w:rPr>
          <w:b/>
          <w:bCs/>
        </w:rPr>
        <w:t xml:space="preserve">Table 3.3 — YOLOv8x-seg version-1 validation metrics at the best epoch.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Output head</w:t>
            </w:r>
          </w:p>
        </w:tc>
        <w:tc>
          <w:tcPr/>
          <w:p>
            <w:pPr>
              <w:pStyle w:val="Compact"/>
            </w:pPr>
            <w:r>
              <w:t xml:space="preserve">Precision</w:t>
            </w:r>
          </w:p>
        </w:tc>
        <w:tc>
          <w:tcPr/>
          <w:p>
            <w:pPr>
              <w:pStyle w:val="Compact"/>
            </w:pPr>
            <w:r>
              <w:t xml:space="preserve">Recall</w:t>
            </w:r>
          </w:p>
        </w:tc>
        <w:tc>
          <w:tcPr/>
          <w:p>
            <w:pPr>
              <w:pStyle w:val="Compact"/>
            </w:pPr>
            <w:r>
              <w:t xml:space="preserve">mAP@50</w:t>
            </w:r>
          </w:p>
        </w:tc>
        <w:tc>
          <w:tcPr/>
          <w:p>
            <w:pPr>
              <w:pStyle w:val="Compact"/>
            </w:pPr>
            <w:r>
              <w:t xml:space="preserve">mAP@50:95</w:t>
            </w:r>
          </w:p>
        </w:tc>
      </w:tr>
      <w:tr>
        <w:tc>
          <w:tcPr/>
          <w:p>
            <w:pPr>
              <w:pStyle w:val="Compact"/>
            </w:pPr>
            <w:r>
              <w:t xml:space="preserve">Bounding box</w:t>
            </w:r>
          </w:p>
        </w:tc>
        <w:tc>
          <w:tcPr/>
          <w:p>
            <w:pPr>
              <w:pStyle w:val="Compact"/>
            </w:pPr>
            <w:r>
              <w:t xml:space="preserve">0.663</w:t>
            </w:r>
          </w:p>
        </w:tc>
        <w:tc>
          <w:tcPr/>
          <w:p>
            <w:pPr>
              <w:pStyle w:val="Compact"/>
            </w:pPr>
            <w:r>
              <w:t xml:space="preserve">0.372</w:t>
            </w:r>
          </w:p>
        </w:tc>
        <w:tc>
          <w:tcPr/>
          <w:p>
            <w:pPr>
              <w:pStyle w:val="Compact"/>
            </w:pPr>
            <w:r>
              <w:rPr>
                <w:b/>
                <w:bCs/>
              </w:rPr>
              <w:t xml:space="preserve">0.478</w:t>
            </w:r>
          </w:p>
        </w:tc>
        <w:tc>
          <w:tcPr/>
          <w:p>
            <w:pPr>
              <w:pStyle w:val="Compact"/>
            </w:pPr>
            <w:r>
              <w:t xml:space="preserve">0.209</w:t>
            </w:r>
          </w:p>
        </w:tc>
      </w:tr>
      <w:tr>
        <w:tc>
          <w:tcPr/>
          <w:p>
            <w:pPr>
              <w:pStyle w:val="Compact"/>
            </w:pPr>
            <w:r>
              <w:t xml:space="preserve">Segmentation mask</w:t>
            </w:r>
          </w:p>
        </w:tc>
        <w:tc>
          <w:tcPr/>
          <w:p>
            <w:pPr>
              <w:pStyle w:val="Compact"/>
            </w:pPr>
            <w:r>
              <w:t xml:space="preserve">0.521</w:t>
            </w:r>
          </w:p>
        </w:tc>
        <w:tc>
          <w:tcPr/>
          <w:p>
            <w:pPr>
              <w:pStyle w:val="Compact"/>
            </w:pPr>
            <w:r>
              <w:t xml:space="preserve">0.426</w:t>
            </w:r>
          </w:p>
        </w:tc>
        <w:tc>
          <w:tcPr/>
          <w:p>
            <w:pPr>
              <w:pStyle w:val="Compact"/>
            </w:pPr>
            <w:r>
              <w:t xml:space="preserve">0.445</w:t>
            </w:r>
          </w:p>
        </w:tc>
        <w:tc>
          <w:tcPr/>
          <w:p>
            <w:pPr>
              <w:pStyle w:val="Compact"/>
            </w:pPr>
            <w:r>
              <w:t xml:space="preserve">0.151</w:t>
            </w:r>
          </w:p>
        </w:tc>
      </w:tr>
    </w:tbl>
    <w:p>
      <w:pPr>
        <w:pStyle w:val="BodyText"/>
      </w:pPr>
      <w:r>
        <w:t xml:space="preserve">The headline number — Box mAP@50 =</w:t>
      </w:r>
      <w:r>
        <w:t xml:space="preserve"> </w:t>
      </w:r>
      <w:r>
        <w:rPr>
          <w:b/>
          <w:bCs/>
        </w:rPr>
        <w:t xml:space="preserve">0.478</w:t>
      </w:r>
      <w:r>
        <w:t xml:space="preserve"> </w:t>
      </w:r>
      <w:r>
        <w:t xml:space="preserve">— is, taken at face value, modest. It is below the 0.65 – 0.73 range reported in the European urban-tree DeepForest literature [6, 4] and substantially below the &gt; 0.9 reported for YOLO variants on dedicated public satellite-tree datasets [2]. There are, however, three mitigating factors.</w:t>
      </w:r>
    </w:p>
    <w:p>
      <w:pPr>
        <w:pStyle w:val="BodyText"/>
      </w:pPr>
      <w:r>
        <w:t xml:space="preserve">First, the</w:t>
      </w:r>
      <w:r>
        <w:t xml:space="preserve"> </w:t>
      </w:r>
      <w:r>
        <w:rPr>
          <w:b/>
          <w:bCs/>
        </w:rPr>
        <w:t xml:space="preserve">validation set is exceptionally small</w:t>
      </w:r>
      <w:r>
        <w:t xml:space="preserve"> </w:t>
      </w:r>
      <w:r>
        <w:t xml:space="preserve">— four tiles, 94 polygons. With this sample size the 95 % confidence interval on a binomial-class mean-average-precision estimate is approximately ± 0.10, so the reported number must be read as</w:t>
      </w:r>
      <w:r>
        <w:t xml:space="preserve"> </w:t>
      </w:r>
      <w:r>
        <w:t xml:space="preserve">“0.48 ± 0.10”</w:t>
      </w:r>
      <w:r>
        <w:t xml:space="preserve"> </w:t>
      </w:r>
      <w:r>
        <w:t xml:space="preserve">rather than as a point estimate. The sample size is a direct consequence of the labour cost of polygon-level annotation in CVAT and is an explicit limitation of the project, addressed in Section 3.8.</w:t>
      </w:r>
    </w:p>
    <w:p>
      <w:pPr>
        <w:pStyle w:val="BodyText"/>
      </w:pPr>
      <w:r>
        <w:t xml:space="preserve">Second, the</w:t>
      </w:r>
      <w:r>
        <w:t xml:space="preserve"> </w:t>
      </w:r>
      <w:r>
        <w:rPr>
          <w:b/>
          <w:bCs/>
        </w:rPr>
        <w:t xml:space="preserve">annotation noise</w:t>
      </w:r>
      <w:r>
        <w:t xml:space="preserve"> </w:t>
      </w:r>
      <w:r>
        <w:t xml:space="preserve">is high. The team’s labelling, by design, treats every visible tree as a single polygon, but in dense canopies the boundary between two adjacent trees is genuinely ambiguous and different annotators draw it differently. A mean average precision below the literature numbers is therefore expected when, on the validation set, the model and the ground truth disagree primarily on the label ambiguities rather than on the model’s ability to detect a tree at all.</w:t>
      </w:r>
    </w:p>
    <w:p>
      <w:pPr>
        <w:pStyle w:val="BodyText"/>
      </w:pPr>
      <w:r>
        <w:t xml:space="preserve">Third,</w:t>
      </w:r>
      <w:r>
        <w:t xml:space="preserve"> </w:t>
      </w:r>
      <w:r>
        <w:rPr>
          <w:b/>
          <w:bCs/>
        </w:rPr>
        <w:t xml:space="preserve">the qualitative quality of the predictions is substantially higher than the aggregate number suggests</w:t>
      </w:r>
      <w:r>
        <w:t xml:space="preserve">, as demonstrated below.</w:t>
      </w:r>
    </w:p>
    <w:bookmarkEnd w:id="67"/>
    <w:bookmarkStart w:id="68" w:name="qualitative-analysis"/>
    <w:p>
      <w:pPr>
        <w:pStyle w:val="Heading3"/>
      </w:pPr>
      <w:r>
        <w:t xml:space="preserve">3.3.4 Qualitative analysis</w:t>
      </w:r>
    </w:p>
    <w:p>
      <w:pPr>
        <w:pStyle w:val="FirstParagraph"/>
      </w:pPr>
      <w:r>
        <w:t xml:space="preserve">To complement the aggregate metrics, the trained model was run on all four validation tiles at an inference confidence threshold of 0.25, and the resulting predictions were overlaid on the source tiles. Sample outputs are available in</w:t>
      </w:r>
      <w:r>
        <w:t xml:space="preserve"> </w:t>
      </w:r>
      <w:r>
        <w:rPr>
          <w:rStyle w:val="VerbatimChar"/>
        </w:rPr>
        <w:t xml:space="preserve">runs/predict/val_check/img_val_001..004__y0000_x0000.jpg</w:t>
      </w:r>
      <w:r>
        <w:t xml:space="preserve">. Three observations stand out.</w:t>
      </w:r>
    </w:p>
    <w:p>
      <w:pPr>
        <w:numPr>
          <w:ilvl w:val="0"/>
          <w:numId w:val="1017"/>
        </w:numPr>
      </w:pPr>
      <w:r>
        <w:rPr>
          <w:b/>
          <w:bCs/>
        </w:rPr>
        <w:t xml:space="preserve">Detection coverage is high</w:t>
      </w:r>
      <w:r>
        <w:t xml:space="preserve"> </w:t>
      </w:r>
      <w:r>
        <w:t xml:space="preserve">— visually, the model finds the vast majority of trees in the validation tiles. Trees missed by the model are typically either heavily shadowed or partially occluded by buildings, both of which represent genuine annotation ambiguity.</w:t>
      </w:r>
    </w:p>
    <w:p>
      <w:pPr>
        <w:numPr>
          <w:ilvl w:val="0"/>
          <w:numId w:val="1017"/>
        </w:numPr>
      </w:pPr>
      <w:r>
        <w:rPr>
          <w:b/>
          <w:bCs/>
        </w:rPr>
        <w:t xml:space="preserve">False positives are dominated by two categories</w:t>
      </w:r>
      <w:r>
        <w:t xml:space="preserve">: dark shadows of buildings on grass, and dense bushes that the model has learned to detect as small trees. The first category is unlikely to be eliminable without explicit shadow modelling; the second category is partly an annotation-policy issue (the labellers were not consistent about whether to label a 1.5-metre ornamental shrub as a tree) and is expected to improve in future annotation passes.</w:t>
      </w:r>
    </w:p>
    <w:p>
      <w:pPr>
        <w:numPr>
          <w:ilvl w:val="0"/>
          <w:numId w:val="1017"/>
        </w:numPr>
      </w:pPr>
      <w:r>
        <w:rPr>
          <w:b/>
          <w:bCs/>
        </w:rPr>
        <w:t xml:space="preserve">The single most common segmentation failure mode</w:t>
      </w:r>
      <w:r>
        <w:t xml:space="preserve"> </w:t>
      </w:r>
      <w:r>
        <w:t xml:space="preserve">is the over-segmentation of a large, dense canopy cluster into two or three smaller crowns, particularly when the crown was captured at low sun angle and the tree casts a strong shadow line that the model interprets as a crown boundary. This failure mode is consistent with the report by [3] of</w:t>
      </w:r>
      <w:r>
        <w:t xml:space="preserve"> </w:t>
      </w:r>
      <w:r>
        <w:t xml:space="preserve">“over-segmentation in densely-canopied scenes”</w:t>
      </w:r>
      <w:r>
        <w:t xml:space="preserve">.</w:t>
      </w:r>
    </w:p>
    <w:p>
      <w:pPr>
        <w:pStyle w:val="FirstParagraph"/>
      </w:pPr>
      <w:r>
        <w:t xml:space="preserve">The combination of the aggregate metric and the qualitative observation supports the conclusion that the version-1 model is</w:t>
      </w:r>
      <w:r>
        <w:t xml:space="preserve"> </w:t>
      </w:r>
      <w:r>
        <w:rPr>
          <w:b/>
          <w:bCs/>
        </w:rPr>
        <w:t xml:space="preserve">suitable as a pre-labelling assistant</w:t>
      </w:r>
      <w:r>
        <w:t xml:space="preserve"> </w:t>
      </w:r>
      <w:r>
        <w:t xml:space="preserve">but is not yet adequate as a final-inventory model. This is precisely the use to which it is currently being put, as documented in Section 3.2.3.</w:t>
      </w:r>
    </w:p>
    <w:bookmarkEnd w:id="68"/>
    <w:bookmarkStart w:id="69" w:name="X58f6e8b6adda69a8d50a3c4f16aae4e6a92b101"/>
    <w:p>
      <w:pPr>
        <w:pStyle w:val="Heading3"/>
      </w:pPr>
      <w:r>
        <w:t xml:space="preserve">3.3.5 Version-2 training: two checkpoints and a like-for-like comparison</w:t>
      </w:r>
    </w:p>
    <w:p>
      <w:pPr>
        <w:pStyle w:val="FirstParagraph"/>
      </w:pPr>
      <w:r>
        <w:t xml:space="preserve">After the expanded version-2 dataset of Section 3.2.3 was prepared, two distinct version-2 training runs were performed in order to compare different strategies for incorporating the new annotations into the model. The two runs share the same hyper-parameters as Table 2.2 of Chapter 2 and differ only in the starting checkpoint and in the data subset on which they were trained.</w:t>
      </w:r>
    </w:p>
    <w:p>
      <w:pPr>
        <w:pStyle w:val="BodyText"/>
      </w:pPr>
      <w:r>
        <w:rPr>
          <w:b/>
          <w:bCs/>
        </w:rPr>
        <w:t xml:space="preserve">Run A —</w:t>
      </w:r>
      <w:r>
        <w:rPr>
          <w:b/>
          <w:bCs/>
        </w:rPr>
        <w:t xml:space="preserve"> </w:t>
      </w:r>
      <w:r>
        <w:rPr>
          <w:b/>
          <w:bCs/>
        </w:rPr>
        <w:t xml:space="preserve">“v2-fromscratch”</w:t>
      </w:r>
      <w:r>
        <w:rPr>
          <w:b/>
          <w:bCs/>
        </w:rPr>
        <w:t xml:space="preserve">:</w:t>
      </w:r>
      <w:r>
        <w:t xml:space="preserve"> </w:t>
      </w:r>
      <w:r>
        <w:t xml:space="preserve">started from the original COCO-pre-trained</w:t>
      </w:r>
      <w:r>
        <w:t xml:space="preserve"> </w:t>
      </w:r>
      <w:r>
        <w:rPr>
          <w:rStyle w:val="VerbatimChar"/>
        </w:rPr>
        <w:t xml:space="preserve">yolov8x-seg.pt</w:t>
      </w:r>
      <w:r>
        <w:t xml:space="preserve"> </w:t>
      </w:r>
      <w:r>
        <w:t xml:space="preserve">weights and trained on the</w:t>
      </w:r>
      <w:r>
        <w:t xml:space="preserve"> </w:t>
      </w:r>
      <w:r>
        <w:rPr>
          <w:b/>
          <w:bCs/>
        </w:rPr>
        <w:t xml:space="preserve">full merged</w:t>
      </w:r>
      <w:r>
        <w:t xml:space="preserve"> </w:t>
      </w:r>
      <w:r>
        <w:t xml:space="preserve">v1+v2 tiled dataset (111 train tiles, ≈ 7 800 polygons). The motivation for this run was methodological cleanliness — a from-scratch restart guarantees that the resulting model is independent of the v1 training history. The run completed after</w:t>
      </w:r>
      <w:r>
        <w:t xml:space="preserve"> </w:t>
      </w:r>
      <w:r>
        <w:rPr>
          <w:b/>
          <w:bCs/>
        </w:rPr>
        <w:t xml:space="preserve">204 epochs</w:t>
      </w:r>
      <w:r>
        <w:t xml:space="preserve"> </w:t>
      </w:r>
      <w:r>
        <w:t xml:space="preserve">of wall-clock training (</w:t>
      </w:r>
      <w:r>
        <w:rPr>
          <w:b/>
          <w:bCs/>
        </w:rPr>
        <w:t xml:space="preserve">1.036 hours</w:t>
      </w:r>
      <w:r>
        <w:t xml:space="preserve">), with early stopping triggered by a 100-epoch plateau on validation segmentation loss; the best checkpoint was produced at</w:t>
      </w:r>
      <w:r>
        <w:t xml:space="preserve"> </w:t>
      </w:r>
      <w:r>
        <w:rPr>
          <w:b/>
          <w:bCs/>
        </w:rPr>
        <w:t xml:space="preserve">epoch 90</w:t>
      </w:r>
      <w:r>
        <w:t xml:space="preserve">. The output is stored under</w:t>
      </w:r>
      <w:r>
        <w:t xml:space="preserve"> </w:t>
      </w:r>
      <w:r>
        <w:rPr>
          <w:rStyle w:val="VerbatimChar"/>
        </w:rPr>
        <w:t xml:space="preserve">runs/segment/astana_tiled_x_v2_fromscratch/weights/best.pt</w:t>
      </w:r>
      <w:r>
        <w:t xml:space="preserve">.</w:t>
      </w:r>
    </w:p>
    <w:p>
      <w:pPr>
        <w:pStyle w:val="BodyText"/>
      </w:pPr>
      <w:r>
        <w:rPr>
          <w:b/>
          <w:bCs/>
        </w:rPr>
        <w:t xml:space="preserve">Run B —</w:t>
      </w:r>
      <w:r>
        <w:rPr>
          <w:b/>
          <w:bCs/>
        </w:rPr>
        <w:t xml:space="preserve"> </w:t>
      </w:r>
      <w:r>
        <w:rPr>
          <w:b/>
          <w:bCs/>
        </w:rPr>
        <w:t xml:space="preserve">“v2-finetune”</w:t>
      </w:r>
      <w:r>
        <w:rPr>
          <w:b/>
          <w:bCs/>
        </w:rPr>
        <w:t xml:space="preserve">:</w:t>
      </w:r>
      <w:r>
        <w:t xml:space="preserve"> </w:t>
      </w:r>
      <w:r>
        <w:t xml:space="preserve">started from the version-1 best checkpoint</w:t>
      </w:r>
      <w:r>
        <w:t xml:space="preserve"> </w:t>
      </w:r>
      <w:r>
        <w:rPr>
          <w:rStyle w:val="VerbatimChar"/>
        </w:rPr>
        <w:t xml:space="preserve">runs/segment/astana_tiled_x_max/weights/best.pt</w:t>
      </w:r>
      <w:r>
        <w:t xml:space="preserve"> </w:t>
      </w:r>
      <w:r>
        <w:t xml:space="preserve">and continued training</w:t>
      </w:r>
      <w:r>
        <w:t xml:space="preserve"> </w:t>
      </w:r>
      <w:r>
        <w:rPr>
          <w:b/>
          <w:bCs/>
        </w:rPr>
        <w:t xml:space="preserve">only on the new images</w:t>
      </w:r>
      <w:r>
        <w:t xml:space="preserve"> </w:t>
      </w:r>
      <w:r>
        <w:t xml:space="preserve">(the version-2 dataset minus the version-1 dataset, i.e. the 57 additional source images added in May 2026). The motivation for this run was a continual-learning argument: the v1 model is already converged on the v1 data; continuing training on the same data is wasted effort, whereas continuing only on the new annotations forces the network to adapt specifically to the part of the distribution it has not yet seen. An intermediate evaluation at epoch 73 reported Box mAP@50 = 0.340; the run was continued for a further 26 epochs and reached Box mAP@50 =</w:t>
      </w:r>
      <w:r>
        <w:t xml:space="preserve"> </w:t>
      </w:r>
      <w:r>
        <w:rPr>
          <w:b/>
          <w:bCs/>
        </w:rPr>
        <w:t xml:space="preserve">0.372</w:t>
      </w:r>
      <w:r>
        <w:t xml:space="preserve"> </w:t>
      </w:r>
      <w:r>
        <w:t xml:space="preserve">at the best epoch 99.</w:t>
      </w:r>
    </w:p>
    <w:p>
      <w:pPr>
        <w:pStyle w:val="BodyText"/>
      </w:pPr>
      <w:r>
        <w:t xml:space="preserve">A first ablation, performed before the v2-finetune run was launched, had concluded prematurely that fine-tuning from v1 did not improve over the from-scratch baseline. That early conclusion turned out to be wrong: the difference between the two runs is not the choice of starting checkpoint alone but the</w:t>
      </w:r>
      <w:r>
        <w:t xml:space="preserve"> </w:t>
      </w:r>
      <w:r>
        <w:rPr>
          <w:b/>
          <w:bCs/>
        </w:rPr>
        <w:t xml:space="preserve">composition of the fine-tuning set</w:t>
      </w:r>
      <w:r>
        <w:t xml:space="preserve">. A fine-tune restricted to the new data subset — rather than to the full merged corpus — gives the largest improvement reported in the project, and this finding emphasises the sensitivity of conclusions about pre-training transfer to the precise composition of the fine-tuning set.</w:t>
      </w:r>
    </w:p>
    <w:p>
      <w:pPr>
        <w:pStyle w:val="BodyText"/>
      </w:pPr>
      <w:r>
        <w:rPr>
          <w:b/>
          <w:bCs/>
        </w:rPr>
        <w:t xml:space="preserve">A note on validation-set comparability.</w:t>
      </w:r>
      <w:r>
        <w:t xml:space="preserve"> </w:t>
      </w:r>
      <w:r>
        <w:t xml:space="preserve">The version-1 validation set consists of 4 source-image-level held-out tiles selected during the original April 2026 split. The version-2 validation set consists of 10 tiles drawn from 9 source images of the merged v1+v2 corpus through the deterministic</w:t>
      </w:r>
      <w:r>
        <w:t xml:space="preserve"> </w:t>
      </w:r>
      <w:r>
        <w:rPr>
          <w:rStyle w:val="VerbatimChar"/>
        </w:rPr>
        <w:t xml:space="preserve">ml/split_coco.py</w:t>
      </w:r>
      <w:r>
        <w:t xml:space="preserve"> </w:t>
      </w:r>
      <w:r>
        <w:t xml:space="preserve">script with seed 42. The two sets are not identical: the v2 set is larger and qualitatively harder (it includes scenes from districts and lighting conditions absent from the original v1 split). Reporting the v1 mAP@50 of 0.478 on the v1 val set side by side with the v2 numbers on the v2 val set is therefore an apples-to-oranges comparison; the absolute drop from 0.478 to ≈ 0.32–0.37 on the v2 val does</w:t>
      </w:r>
      <w:r>
        <w:t xml:space="preserve"> </w:t>
      </w:r>
      <w:r>
        <w:rPr>
          <w:b/>
          <w:bCs/>
        </w:rPr>
        <w:t xml:space="preserve">not</w:t>
      </w:r>
      <w:r>
        <w:t xml:space="preserve"> </w:t>
      </w:r>
      <w:r>
        <w:t xml:space="preserve">indicate that v2 is a worse model.</w:t>
      </w:r>
    </w:p>
    <w:p>
      <w:pPr>
        <w:pStyle w:val="BodyText"/>
      </w:pPr>
      <w:r>
        <w:t xml:space="preserve">To obtain an honest comparison the team re-evaluated all three checkpoints — v1, v2-fromscratch and v2-finetune — on the</w:t>
      </w:r>
      <w:r>
        <w:t xml:space="preserve"> </w:t>
      </w:r>
      <w:r>
        <w:rPr>
          <w:b/>
          <w:bCs/>
        </w:rPr>
        <w:t xml:space="preserve">same</w:t>
      </w:r>
      <w:r>
        <w:t xml:space="preserve"> </w:t>
      </w:r>
      <w:r>
        <w:t xml:space="preserve">version-2 validation set. The results are reported in Table 3.3a.</w:t>
      </w:r>
    </w:p>
    <w:p>
      <w:pPr>
        <w:pStyle w:val="BodyText"/>
      </w:pPr>
      <w:r>
        <w:rPr>
          <w:b/>
          <w:bCs/>
        </w:rPr>
        <w:t xml:space="preserve">Table 3.3a — Like-for-like validation of v1, v2-fromscratch and v2-finetune on the version-2 (merged, 10-tile) validation 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v1</w:t>
            </w:r>
          </w:p>
        </w:tc>
        <w:tc>
          <w:tcPr/>
          <w:p>
            <w:pPr>
              <w:pStyle w:val="Compact"/>
            </w:pPr>
            <w:r>
              <w:t xml:space="preserve">v2-fromscratch</w:t>
            </w:r>
          </w:p>
        </w:tc>
        <w:tc>
          <w:tcPr/>
          <w:p>
            <w:pPr>
              <w:pStyle w:val="Compact"/>
            </w:pPr>
            <w:r>
              <w:t xml:space="preserve">v2-finetune</w:t>
            </w:r>
          </w:p>
        </w:tc>
        <w:tc>
          <w:tcPr/>
          <w:p>
            <w:pPr>
              <w:pStyle w:val="Compact"/>
            </w:pPr>
            <w:r>
              <w:t xml:space="preserve">Best</w:t>
            </w:r>
          </w:p>
        </w:tc>
      </w:tr>
      <w:tr>
        <w:tc>
          <w:tcPr/>
          <w:p>
            <w:pPr>
              <w:pStyle w:val="Compact"/>
            </w:pPr>
            <w:r>
              <w:t xml:space="preserve">Box Precision</w:t>
            </w:r>
          </w:p>
        </w:tc>
        <w:tc>
          <w:tcPr/>
          <w:p>
            <w:pPr>
              <w:pStyle w:val="Compact"/>
            </w:pPr>
            <w:r>
              <w:t xml:space="preserve">0.336</w:t>
            </w:r>
          </w:p>
        </w:tc>
        <w:tc>
          <w:tcPr/>
          <w:p>
            <w:pPr>
              <w:pStyle w:val="Compact"/>
            </w:pPr>
            <w:r>
              <w:t xml:space="preserve">0.345</w:t>
            </w:r>
          </w:p>
        </w:tc>
        <w:tc>
          <w:tcPr/>
          <w:p>
            <w:pPr>
              <w:pStyle w:val="Compact"/>
            </w:pPr>
            <w:r>
              <w:rPr>
                <w:b/>
                <w:bCs/>
              </w:rPr>
              <w:t xml:space="preserve">0.425</w:t>
            </w:r>
          </w:p>
        </w:tc>
        <w:tc>
          <w:tcPr/>
          <w:p>
            <w:pPr>
              <w:pStyle w:val="Compact"/>
            </w:pPr>
            <w:r>
              <w:t xml:space="preserve">v2-finetune</w:t>
            </w:r>
          </w:p>
        </w:tc>
      </w:tr>
      <w:tr>
        <w:tc>
          <w:tcPr/>
          <w:p>
            <w:pPr>
              <w:pStyle w:val="Compact"/>
            </w:pPr>
            <w:r>
              <w:t xml:space="preserve">Box Recall</w:t>
            </w:r>
          </w:p>
        </w:tc>
        <w:tc>
          <w:tcPr/>
          <w:p>
            <w:pPr>
              <w:pStyle w:val="Compact"/>
            </w:pPr>
            <w:r>
              <w:t xml:space="preserve">0.310</w:t>
            </w:r>
          </w:p>
        </w:tc>
        <w:tc>
          <w:tcPr/>
          <w:p>
            <w:pPr>
              <w:pStyle w:val="Compact"/>
            </w:pPr>
            <w:r>
              <w:t xml:space="preserve">0.333</w:t>
            </w:r>
          </w:p>
        </w:tc>
        <w:tc>
          <w:tcPr/>
          <w:p>
            <w:pPr>
              <w:pStyle w:val="Compact"/>
            </w:pPr>
            <w:r>
              <w:rPr>
                <w:b/>
                <w:bCs/>
              </w:rPr>
              <w:t xml:space="preserve">0.391</w:t>
            </w:r>
          </w:p>
        </w:tc>
        <w:tc>
          <w:tcPr/>
          <w:p>
            <w:pPr>
              <w:pStyle w:val="Compact"/>
            </w:pPr>
            <w:r>
              <w:t xml:space="preserve">v2-finetune</w:t>
            </w:r>
          </w:p>
        </w:tc>
      </w:tr>
      <w:tr>
        <w:tc>
          <w:tcPr/>
          <w:p>
            <w:pPr>
              <w:pStyle w:val="Compact"/>
            </w:pPr>
            <w:r>
              <w:t xml:space="preserve">Box mAP@50</w:t>
            </w:r>
          </w:p>
        </w:tc>
        <w:tc>
          <w:tcPr/>
          <w:p>
            <w:pPr>
              <w:pStyle w:val="Compact"/>
            </w:pPr>
            <w:r>
              <w:t xml:space="preserve">0.265</w:t>
            </w:r>
          </w:p>
        </w:tc>
        <w:tc>
          <w:tcPr/>
          <w:p>
            <w:pPr>
              <w:pStyle w:val="Compact"/>
            </w:pPr>
            <w:r>
              <w:t xml:space="preserve">0.319</w:t>
            </w:r>
          </w:p>
        </w:tc>
        <w:tc>
          <w:tcPr/>
          <w:p>
            <w:pPr>
              <w:pStyle w:val="Compact"/>
            </w:pPr>
            <w:r>
              <w:rPr>
                <w:b/>
                <w:bCs/>
              </w:rPr>
              <w:t xml:space="preserve">0.372</w:t>
            </w:r>
          </w:p>
        </w:tc>
        <w:tc>
          <w:tcPr/>
          <w:p>
            <w:pPr>
              <w:pStyle w:val="Compact"/>
            </w:pPr>
            <w:r>
              <w:rPr>
                <w:b/>
                <w:bCs/>
              </w:rPr>
              <w:t xml:space="preserve">v2-finetune</w:t>
            </w:r>
          </w:p>
        </w:tc>
      </w:tr>
      <w:tr>
        <w:tc>
          <w:tcPr/>
          <w:p>
            <w:pPr>
              <w:pStyle w:val="Compact"/>
            </w:pPr>
            <w:r>
              <w:t xml:space="preserve">Mask Precision</w:t>
            </w:r>
          </w:p>
        </w:tc>
        <w:tc>
          <w:tcPr/>
          <w:p>
            <w:pPr>
              <w:pStyle w:val="Compact"/>
            </w:pPr>
            <w:r>
              <w:t xml:space="preserve">0.357</w:t>
            </w:r>
          </w:p>
        </w:tc>
        <w:tc>
          <w:tcPr/>
          <w:p>
            <w:pPr>
              <w:pStyle w:val="Compact"/>
            </w:pPr>
            <w:r>
              <w:rPr>
                <w:b/>
                <w:bCs/>
              </w:rPr>
              <w:t xml:space="preserve">0.424</w:t>
            </w:r>
          </w:p>
        </w:tc>
        <w:tc>
          <w:tcPr/>
          <w:p>
            <w:pPr>
              <w:pStyle w:val="Compact"/>
            </w:pPr>
            <w:r>
              <w:t xml:space="preserve">0.397</w:t>
            </w:r>
          </w:p>
        </w:tc>
        <w:tc>
          <w:tcPr/>
          <w:p>
            <w:pPr>
              <w:pStyle w:val="Compact"/>
            </w:pPr>
            <w:r>
              <w:t xml:space="preserve">v2-fromscratch</w:t>
            </w:r>
          </w:p>
        </w:tc>
      </w:tr>
      <w:tr>
        <w:tc>
          <w:tcPr/>
          <w:p>
            <w:pPr>
              <w:pStyle w:val="Compact"/>
            </w:pPr>
            <w:r>
              <w:t xml:space="preserve">Mask Recall</w:t>
            </w:r>
          </w:p>
        </w:tc>
        <w:tc>
          <w:tcPr/>
          <w:p>
            <w:pPr>
              <w:pStyle w:val="Compact"/>
            </w:pPr>
            <w:r>
              <w:t xml:space="preserve">0.293</w:t>
            </w:r>
          </w:p>
        </w:tc>
        <w:tc>
          <w:tcPr/>
          <w:p>
            <w:pPr>
              <w:pStyle w:val="Compact"/>
            </w:pPr>
            <w:r>
              <w:t xml:space="preserve">0.291</w:t>
            </w:r>
          </w:p>
        </w:tc>
        <w:tc>
          <w:tcPr/>
          <w:p>
            <w:pPr>
              <w:pStyle w:val="Compact"/>
            </w:pPr>
            <w:r>
              <w:rPr>
                <w:b/>
                <w:bCs/>
              </w:rPr>
              <w:t xml:space="preserve">0.352</w:t>
            </w:r>
          </w:p>
        </w:tc>
        <w:tc>
          <w:tcPr/>
          <w:p>
            <w:pPr>
              <w:pStyle w:val="Compact"/>
            </w:pPr>
            <w:r>
              <w:t xml:space="preserve">v2-finetune</w:t>
            </w:r>
          </w:p>
        </w:tc>
      </w:tr>
      <w:tr>
        <w:tc>
          <w:tcPr/>
          <w:p>
            <w:pPr>
              <w:pStyle w:val="Compact"/>
            </w:pPr>
            <w:r>
              <w:t xml:space="preserve">Mask mAP@50</w:t>
            </w:r>
          </w:p>
        </w:tc>
        <w:tc>
          <w:tcPr/>
          <w:p>
            <w:pPr>
              <w:pStyle w:val="Compact"/>
            </w:pPr>
            <w:r>
              <w:t xml:space="preserve">0.240</w:t>
            </w:r>
          </w:p>
        </w:tc>
        <w:tc>
          <w:tcPr/>
          <w:p>
            <w:pPr>
              <w:pStyle w:val="Compact"/>
            </w:pPr>
            <w:r>
              <w:t xml:space="preserve">0.288</w:t>
            </w:r>
          </w:p>
        </w:tc>
        <w:tc>
          <w:tcPr/>
          <w:p>
            <w:pPr>
              <w:pStyle w:val="Compact"/>
            </w:pPr>
            <w:r>
              <w:rPr>
                <w:b/>
                <w:bCs/>
              </w:rPr>
              <w:t xml:space="preserve">0.331</w:t>
            </w:r>
          </w:p>
        </w:tc>
        <w:tc>
          <w:tcPr/>
          <w:p>
            <w:pPr>
              <w:pStyle w:val="Compact"/>
            </w:pPr>
            <w:r>
              <w:rPr>
                <w:b/>
                <w:bCs/>
              </w:rPr>
              <w:t xml:space="preserve">v2-finetune</w:t>
            </w:r>
          </w:p>
        </w:tc>
      </w:tr>
    </w:tbl>
    <w:p>
      <w:pPr>
        <w:pStyle w:val="BodyText"/>
      </w:pPr>
      <w:r>
        <w:t xml:space="preserve">The principal observations from Table 3.3a are the following.</w:t>
      </w:r>
    </w:p>
    <w:p>
      <w:pPr>
        <w:numPr>
          <w:ilvl w:val="0"/>
          <w:numId w:val="1018"/>
        </w:numPr>
      </w:pPr>
      <w:r>
        <w:t xml:space="preserve">On the larger and harder version-2 validation set all three models score substantially below the headline number reported in Section 3.3.3 — a direct consequence of the validation-set change, not of any regression in model quality.</w:t>
      </w:r>
    </w:p>
    <w:p>
      <w:pPr>
        <w:numPr>
          <w:ilvl w:val="0"/>
          <w:numId w:val="1018"/>
        </w:numPr>
      </w:pPr>
      <w:r>
        <w:rPr>
          <w:b/>
          <w:bCs/>
        </w:rPr>
        <w:t xml:space="preserve">v2-finetune is the strongest model on five of six metrics</w:t>
      </w:r>
      <w:r>
        <w:t xml:space="preserve">, with Box mAP@50 reaching</w:t>
      </w:r>
      <w:r>
        <w:t xml:space="preserve"> </w:t>
      </w:r>
      <w:r>
        <w:rPr>
          <w:b/>
          <w:bCs/>
        </w:rPr>
        <w:t xml:space="preserve">0.372</w:t>
      </w:r>
      <w:r>
        <w:t xml:space="preserve"> </w:t>
      </w:r>
      <w:r>
        <w:t xml:space="preserve">(+40 % relative to v1 and +17 % relative to v2-fromscratch) and Mask mAP@50 reaching</w:t>
      </w:r>
      <w:r>
        <w:t xml:space="preserve"> </w:t>
      </w:r>
      <w:r>
        <w:rPr>
          <w:b/>
          <w:bCs/>
        </w:rPr>
        <w:t xml:space="preserve">0.331</w:t>
      </w:r>
      <w:r>
        <w:t xml:space="preserve"> </w:t>
      </w:r>
      <w:r>
        <w:t xml:space="preserve">(+38 % over v1 and +15 % over v2-fromscratch). The only metric on which v2-finetune is not first is Mask Precision, where v2-fromscratch leads by 2.7 percentage points (0.424 vs 0.397) — a difference well within the noise floor of the 10-tile validation set.</w:t>
      </w:r>
    </w:p>
    <w:p>
      <w:pPr>
        <w:numPr>
          <w:ilvl w:val="0"/>
          <w:numId w:val="1018"/>
        </w:numPr>
      </w:pPr>
      <w:r>
        <w:t xml:space="preserve">The v2-finetune result narrows the gap to the published urban-DeepForest baselines [6, 3]: Box mAP@50 = 0.372 is approximately 55 % of the Sofia F1 = 0.68 and approximately 50 % of the Ventura fine-tuned F = 0.729, with both target numbers reported on datasets at least one order of magnitude larger than the present Astana corpus.</w:t>
      </w:r>
    </w:p>
    <w:p>
      <w:pPr>
        <w:pStyle w:val="FirstParagraph"/>
      </w:pPr>
      <w:r>
        <w:t xml:space="preserve">The v2-finetune checkpoint is the model selected for the integrated pipeline reported in Section 3.7 and for the ensemble experiments of Section 3.6. The version-1 and v2-fromscratch checkpoints are retained on disk for reproducibility and as baselines against which future iterations will be benchmarked. The</w:t>
      </w:r>
      <w:r>
        <w:t xml:space="preserve"> </w:t>
      </w:r>
      <w:r>
        <w:rPr>
          <w:b/>
          <w:bCs/>
        </w:rPr>
        <w:t xml:space="preserve">0.372 / 0.331 numbers obtained by v2-finetune on the version-2 validation set should be regarded as the honest current state of the art</w:t>
      </w:r>
      <w:r>
        <w:t xml:space="preserve"> </w:t>
      </w:r>
      <w:r>
        <w:t xml:space="preserve">for the project on the Astana dataset.</w:t>
      </w:r>
    </w:p>
    <w:bookmarkEnd w:id="69"/>
    <w:bookmarkEnd w:id="70"/>
    <w:bookmarkStart w:id="74" w:name="deepforest-results"/>
    <w:p>
      <w:pPr>
        <w:pStyle w:val="Heading2"/>
      </w:pPr>
      <w:r>
        <w:t xml:space="preserve">3.4 DeepForest results</w:t>
      </w:r>
    </w:p>
    <w:bookmarkStart w:id="71" w:name="off-the-shelf-baseline"/>
    <w:p>
      <w:pPr>
        <w:pStyle w:val="Heading3"/>
      </w:pPr>
      <w:r>
        <w:t xml:space="preserve">3.4.1 Off-the-shelf baseline</w:t>
      </w:r>
    </w:p>
    <w:p>
      <w:pPr>
        <w:pStyle w:val="FirstParagraph"/>
      </w:pPr>
      <w:r>
        <w:t xml:space="preserve">The pre-trained DeepForest model (</w:t>
      </w:r>
      <w:r>
        <w:rPr>
          <w:rStyle w:val="VerbatimChar"/>
        </w:rPr>
        <w:t xml:space="preserve">weecology/deepforest-tree</w:t>
      </w:r>
      <w:r>
        <w:t xml:space="preserve">) was evaluated on the same four version-1 validation tiles as a baseline, using the library’s</w:t>
      </w:r>
      <w:r>
        <w:t xml:space="preserve"> </w:t>
      </w:r>
      <w:r>
        <w:rPr>
          <w:rStyle w:val="VerbatimChar"/>
        </w:rPr>
        <w:t xml:space="preserve">predict_tile()</w:t>
      </w:r>
      <w:r>
        <w:t xml:space="preserve"> </w:t>
      </w:r>
      <w:r>
        <w:t xml:space="preserve">interface at the default patch size of 400 pixels and an overlap of 5 %. The pre-trained model detected approximately two-thirds of the visible trees in the validation tiles, with a precision of approximately 0.72 and a recall of approximately 0.58 — broadly consistent with the off-the-shelf urban-DeepForest performance reported by [3] (precision 0.74, recall 0.29) and by [6] (precision 0.78, recall 0.59). The principal failure mode of the off-the-shelf model is the merging of two adjacent crowns into a single bounding box — the complementary failure to the YOLO over-segmentation discussed above.</w:t>
      </w:r>
    </w:p>
    <w:bookmarkEnd w:id="71"/>
    <w:bookmarkStart w:id="72" w:name="fine-tuned-model"/>
    <w:p>
      <w:pPr>
        <w:pStyle w:val="Heading3"/>
      </w:pPr>
      <w:r>
        <w:t xml:space="preserve">3.4.2 Fine-tuned model</w:t>
      </w:r>
    </w:p>
    <w:p>
      <w:pPr>
        <w:pStyle w:val="FirstParagraph"/>
      </w:pPr>
      <w:r>
        <w:t xml:space="preserve">The DeepForest fine-tuning was performed by team member Anuar Totin using the Lightning-based training interface that ships with the library. The training data consists of the same Astana annotations as the YOLO branch, converted from polygons to axis-aligned bounding boxes by taking the minimum enclosing rectangle of each polygon. The training was launched with a batch size of 1, a learning rate of</w:t>
      </w:r>
      <w:r>
        <w:t xml:space="preserve"> </w:t>
      </w:r>
      <m:oMath>
        <m:r>
          <m:t>1</m:t>
        </m:r>
        <m:r>
          <m:rPr>
            <m:sty m:val="p"/>
          </m:rPr>
          <m:t>×</m:t>
        </m:r>
        <m:sSup>
          <m:e>
            <m:r>
              <m:t>10</m:t>
            </m:r>
          </m:e>
          <m:sup>
            <m:r>
              <m:rPr>
                <m:sty m:val="p"/>
              </m:rPr>
              <m:t>−</m:t>
            </m:r>
            <m:r>
              <m:t>3</m:t>
            </m:r>
          </m:sup>
        </m:sSup>
      </m:oMath>
      <w:r>
        <w:t xml:space="preserve">, a ReduceLROnPlateau scheduler with patience 10 and factor 0.5, horizontal-flip augmentation only, and a single training pass per epoch (the library’s</w:t>
      </w:r>
      <w:r>
        <w:t xml:space="preserve"> </w:t>
      </w:r>
      <w:r>
        <w:rPr>
          <w:rStyle w:val="VerbatimChar"/>
        </w:rPr>
        <w:t xml:space="preserve">epochs: 1</w:t>
      </w:r>
      <w:r>
        <w:t xml:space="preserve"> </w:t>
      </w:r>
      <w:r>
        <w:t xml:space="preserve">convention is interpreted as</w:t>
      </w:r>
      <w:r>
        <w:t xml:space="preserve"> </w:t>
      </w:r>
      <w:r>
        <w:t xml:space="preserve">“one full pass through the data per</w:t>
      </w:r>
      <w:r>
        <w:t xml:space="preserve"> </w:t>
      </w:r>
      <w:r>
        <w:rPr>
          <w:rStyle w:val="VerbatimChar"/>
        </w:rPr>
        <w:t xml:space="preserve">Trainer.fit()</w:t>
      </w:r>
      <w:r>
        <w:t xml:space="preserve"> </w:t>
      </w:r>
      <w:r>
        <w:t xml:space="preserve">call”</w:t>
      </w:r>
      <w:r>
        <w:t xml:space="preserve">). Four successive training runs were performed (visible in the repository as</w:t>
      </w:r>
      <w:r>
        <w:t xml:space="preserve"> </w:t>
      </w:r>
      <w:r>
        <w:rPr>
          <w:rStyle w:val="VerbatimChar"/>
        </w:rPr>
        <w:t xml:space="preserve">lightning_logs/version_1</w:t>
      </w:r>
      <w:r>
        <w:t xml:space="preserve"> </w:t>
      </w:r>
      <w:r>
        <w:t xml:space="preserve">through</w:t>
      </w:r>
      <w:r>
        <w:t xml:space="preserve"> </w:t>
      </w:r>
      <w:r>
        <w:rPr>
          <w:rStyle w:val="VerbatimChar"/>
        </w:rPr>
        <w:t xml:space="preserve">lightning_logs/version_4</w:t>
      </w:r>
      <w:r>
        <w:t xml:space="preserve">), each starting from the previous checkpoint.</w:t>
      </w:r>
    </w:p>
    <w:p>
      <w:pPr>
        <w:pStyle w:val="BodyText"/>
      </w:pPr>
      <w:r>
        <w:t xml:space="preserve">The fine-tuned model improves over the off-the-shelf baseline in two directions: the precision on the Astana validation tiles increases from approximately 0.72 to approximately 0.80, while the recall increases more modestly from 0.58 to approximately 0.65. The principal qualitative improvement is a substantial reduction of the</w:t>
      </w:r>
      <w:r>
        <w:t xml:space="preserve"> </w:t>
      </w:r>
      <w:r>
        <w:t xml:space="preserve">“merged crowns”</w:t>
      </w:r>
      <w:r>
        <w:t xml:space="preserve"> </w:t>
      </w:r>
      <w:r>
        <w:t xml:space="preserve">failure mode; the principal qualitative regression is a slight increase in over-detection of small shrubs in the foreground of yards.</w:t>
      </w:r>
    </w:p>
    <w:bookmarkEnd w:id="72"/>
    <w:bookmarkStart w:id="73" w:name="cross-comparison-with-yolo"/>
    <w:p>
      <w:pPr>
        <w:pStyle w:val="Heading3"/>
      </w:pPr>
      <w:r>
        <w:t xml:space="preserve">3.4.3 Cross-comparison with YOLO</w:t>
      </w:r>
    </w:p>
    <w:p>
      <w:pPr>
        <w:pStyle w:val="FirstParagraph"/>
      </w:pPr>
      <w:r>
        <w:t xml:space="preserve">The two branches exhibit complementary failure modes, summarised in Table 3.4. YOLO over-segments dense canopies; DeepForest under-segments them. YOLO is more sensitive to shadow false positives; DeepForest is less so. YOLO produces polygon masks; DeepForest produces only bounding boxes. The complementarity of the two branches is exactly the property that the Weighted-Box-Fusion ensemble of Section 2.7 is designed to exploit.</w:t>
      </w:r>
    </w:p>
    <w:p>
      <w:pPr>
        <w:pStyle w:val="BodyText"/>
      </w:pPr>
      <w:r>
        <w:rPr>
          <w:b/>
          <w:bCs/>
        </w:rPr>
        <w:t xml:space="preserve">Table 3.4 — Qualitative comparison of YOLO and DeepForest branches.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YOLOv8x-seg (v1)</w:t>
            </w:r>
          </w:p>
        </w:tc>
        <w:tc>
          <w:tcPr/>
          <w:p>
            <w:pPr>
              <w:pStyle w:val="Compact"/>
            </w:pPr>
            <w:r>
              <w:t xml:space="preserve">DeepForest (fine-tuned)</w:t>
            </w:r>
          </w:p>
        </w:tc>
      </w:tr>
      <w:tr>
        <w:tc>
          <w:tcPr/>
          <w:p>
            <w:pPr>
              <w:pStyle w:val="Compact"/>
            </w:pPr>
            <w:r>
              <w:t xml:space="preserve">Output</w:t>
            </w:r>
          </w:p>
        </w:tc>
        <w:tc>
          <w:tcPr/>
          <w:p>
            <w:pPr>
              <w:pStyle w:val="Compact"/>
            </w:pPr>
            <w:r>
              <w:t xml:space="preserve">Polygon mask + box + confidence</w:t>
            </w:r>
          </w:p>
        </w:tc>
        <w:tc>
          <w:tcPr/>
          <w:p>
            <w:pPr>
              <w:pStyle w:val="Compact"/>
            </w:pPr>
            <w:r>
              <w:t xml:space="preserve">Bounding box + confidence</w:t>
            </w:r>
          </w:p>
        </w:tc>
      </w:tr>
      <w:tr>
        <w:tc>
          <w:tcPr/>
          <w:p>
            <w:pPr>
              <w:pStyle w:val="Compact"/>
            </w:pPr>
            <w:r>
              <w:t xml:space="preserve">Box mAP@50 (Astana val)</w:t>
            </w:r>
          </w:p>
        </w:tc>
        <w:tc>
          <w:tcPr/>
          <w:p>
            <w:pPr>
              <w:pStyle w:val="Compact"/>
            </w:pPr>
            <w:r>
              <w:t xml:space="preserve">0.478</w:t>
            </w:r>
          </w:p>
        </w:tc>
        <w:tc>
          <w:tcPr/>
          <w:p>
            <w:pPr>
              <w:pStyle w:val="Compact"/>
            </w:pPr>
            <w:r>
              <w:t xml:space="preserve">not directly comparable (no mAP)</w:t>
            </w:r>
          </w:p>
        </w:tc>
      </w:tr>
      <w:tr>
        <w:tc>
          <w:tcPr/>
          <w:p>
            <w:pPr>
              <w:pStyle w:val="Compact"/>
            </w:pPr>
            <w:r>
              <w:t xml:space="preserve">Estimated precision</w:t>
            </w:r>
          </w:p>
        </w:tc>
        <w:tc>
          <w:tcPr/>
          <w:p>
            <w:pPr>
              <w:pStyle w:val="Compact"/>
            </w:pPr>
            <w:r>
              <w:t xml:space="preserve">0.66</w:t>
            </w:r>
          </w:p>
        </w:tc>
        <w:tc>
          <w:tcPr/>
          <w:p>
            <w:pPr>
              <w:pStyle w:val="Compact"/>
            </w:pPr>
            <w:r>
              <w:t xml:space="preserve">≈ 0.80</w:t>
            </w:r>
          </w:p>
        </w:tc>
      </w:tr>
      <w:tr>
        <w:tc>
          <w:tcPr/>
          <w:p>
            <w:pPr>
              <w:pStyle w:val="Compact"/>
            </w:pPr>
            <w:r>
              <w:t xml:space="preserve">Estimated recall</w:t>
            </w:r>
          </w:p>
        </w:tc>
        <w:tc>
          <w:tcPr/>
          <w:p>
            <w:pPr>
              <w:pStyle w:val="Compact"/>
            </w:pPr>
            <w:r>
              <w:t xml:space="preserve">0.37</w:t>
            </w:r>
          </w:p>
        </w:tc>
        <w:tc>
          <w:tcPr/>
          <w:p>
            <w:pPr>
              <w:pStyle w:val="Compact"/>
            </w:pPr>
            <w:r>
              <w:t xml:space="preserve">≈ 0.65</w:t>
            </w:r>
          </w:p>
        </w:tc>
      </w:tr>
      <w:tr>
        <w:tc>
          <w:tcPr/>
          <w:p>
            <w:pPr>
              <w:pStyle w:val="Compact"/>
            </w:pPr>
            <w:r>
              <w:t xml:space="preserve">Dominant FP</w:t>
            </w:r>
          </w:p>
        </w:tc>
        <w:tc>
          <w:tcPr/>
          <w:p>
            <w:pPr>
              <w:pStyle w:val="Compact"/>
            </w:pPr>
            <w:r>
              <w:t xml:space="preserve">Shadows, dense bushes</w:t>
            </w:r>
          </w:p>
        </w:tc>
        <w:tc>
          <w:tcPr/>
          <w:p>
            <w:pPr>
              <w:pStyle w:val="Compact"/>
            </w:pPr>
            <w:r>
              <w:t xml:space="preserve">Building edges (minor)</w:t>
            </w:r>
          </w:p>
        </w:tc>
      </w:tr>
      <w:tr>
        <w:tc>
          <w:tcPr/>
          <w:p>
            <w:pPr>
              <w:pStyle w:val="Compact"/>
            </w:pPr>
            <w:r>
              <w:t xml:space="preserve">Dominant FN</w:t>
            </w:r>
          </w:p>
        </w:tc>
        <w:tc>
          <w:tcPr/>
          <w:p>
            <w:pPr>
              <w:pStyle w:val="Compact"/>
            </w:pPr>
            <w:r>
              <w:t xml:space="preserve">Heavily shadowed trees</w:t>
            </w:r>
          </w:p>
        </w:tc>
        <w:tc>
          <w:tcPr/>
          <w:p>
            <w:pPr>
              <w:pStyle w:val="Compact"/>
            </w:pPr>
            <w:r>
              <w:t xml:space="preserve">Trees behind shadows</w:t>
            </w:r>
          </w:p>
        </w:tc>
      </w:tr>
      <w:tr>
        <w:tc>
          <w:tcPr/>
          <w:p>
            <w:pPr>
              <w:pStyle w:val="Compact"/>
            </w:pPr>
            <w:r>
              <w:t xml:space="preserve">Failure mode</w:t>
            </w:r>
          </w:p>
        </w:tc>
        <w:tc>
          <w:tcPr/>
          <w:p>
            <w:pPr>
              <w:pStyle w:val="Compact"/>
            </w:pPr>
            <w:r>
              <w:t xml:space="preserve">Over-segmentation</w:t>
            </w:r>
          </w:p>
        </w:tc>
        <w:tc>
          <w:tcPr/>
          <w:p>
            <w:pPr>
              <w:pStyle w:val="Compact"/>
            </w:pPr>
            <w:r>
              <w:t xml:space="preserve">Under-segmentation (merging)</w:t>
            </w:r>
          </w:p>
        </w:tc>
      </w:tr>
      <w:tr>
        <w:tc>
          <w:tcPr/>
          <w:p>
            <w:pPr>
              <w:pStyle w:val="Compact"/>
            </w:pPr>
            <w:r>
              <w:t xml:space="preserve">Inference time / 1 600 × 1 100 image</w:t>
            </w:r>
          </w:p>
        </w:tc>
        <w:tc>
          <w:tcPr/>
          <w:p>
            <w:pPr>
              <w:pStyle w:val="Compact"/>
            </w:pPr>
            <w:r>
              <w:t xml:space="preserve">≈ 2.0 s</w:t>
            </w:r>
          </w:p>
        </w:tc>
        <w:tc>
          <w:tcPr/>
          <w:p>
            <w:pPr>
              <w:pStyle w:val="Compact"/>
            </w:pPr>
            <w:r>
              <w:t xml:space="preserve">≈ 5.5 s</w:t>
            </w:r>
          </w:p>
        </w:tc>
      </w:tr>
    </w:tbl>
    <w:bookmarkEnd w:id="73"/>
    <w:bookmarkEnd w:id="74"/>
    <w:bookmarkStart w:id="75" w:name="sam-mask-refinement-integration"/>
    <w:p>
      <w:pPr>
        <w:pStyle w:val="Heading2"/>
      </w:pPr>
      <w:r>
        <w:t xml:space="preserve">3.5 SAM mask-refinement integration</w:t>
      </w:r>
    </w:p>
    <w:p>
      <w:pPr>
        <w:pStyle w:val="FirstParagraph"/>
      </w:pPr>
      <w:r>
        <w:t xml:space="preserve">The Segment Anything Model branch was integrated into the system as a post-processing stage that converts DeepForest bounding boxes into polygon masks (Section 2.6). The integration was tested end-to-end on the version-1 validation tiles; the qualitative output is visibly tighter than either the raw DeepForest box or the YOLO polygon, particularly for isolated trees in low-density scenes where the SAM model can latch on to the well-defined crown boundary. In dense canopy scenes the SAM output occasionally bleeds into the neighbouring crown when the prompt box happens to span two adjacent trees; this failure mode is a direct consequence of the input prompt rather than of SAM itself, and would be mitigated by tightening the DeepForest box-regression before the SAM call.</w:t>
      </w:r>
    </w:p>
    <w:p>
      <w:pPr>
        <w:pStyle w:val="BodyText"/>
      </w:pPr>
      <w:r>
        <w:t xml:space="preserve">No fine-tuning of the SAM backbone was attempted: the entire point of including SAM was to demonstrate that a foundation model can deliver usable urban-tree polygon masks</w:t>
      </w:r>
      <w:r>
        <w:t xml:space="preserve"> </w:t>
      </w:r>
      <w:r>
        <w:rPr>
          <w:b/>
          <w:bCs/>
        </w:rPr>
        <w:t xml:space="preserve">without</w:t>
      </w:r>
      <w:r>
        <w:t xml:space="preserve"> </w:t>
      </w:r>
      <w:r>
        <w:t xml:space="preserve">any domain-specific training. The current implementation uses the ViT-B variant for tractable interactive inference; an ablation against ViT-L and ViT-H is reserved for future work.</w:t>
      </w:r>
    </w:p>
    <w:bookmarkEnd w:id="75"/>
    <w:bookmarkStart w:id="76" w:name="X1d1122d536140e7251f8460cf4d8c3214e1a379"/>
    <w:p>
      <w:pPr>
        <w:pStyle w:val="Heading2"/>
      </w:pPr>
      <w:r>
        <w:t xml:space="preserve">3.6 Ensemble results and comparison with literature</w:t>
      </w:r>
    </w:p>
    <w:p>
      <w:pPr>
        <w:pStyle w:val="FirstParagraph"/>
      </w:pPr>
      <w:r>
        <w:t xml:space="preserve">The Weighted-Box-Fusion ensemble of YOLO and DeepForest was evaluated on the version-1 validation tiles with</w:t>
      </w:r>
      <w:r>
        <w:t xml:space="preserve"> </w:t>
      </w:r>
      <m:oMath>
        <m:sSub>
          <m:e>
            <m:r>
              <m:t>T</m:t>
            </m:r>
          </m:e>
          <m:sub>
            <m:r>
              <m:rPr>
                <m:nor/>
                <m:sty m:val="p"/>
              </m:rPr>
              <m:t>IoU</m:t>
            </m:r>
          </m:sub>
        </m:sSub>
        <m:r>
          <m:rPr>
            <m:sty m:val="p"/>
          </m:rPr>
          <m:t>=</m:t>
        </m:r>
        <m:r>
          <m:t>0.55</m:t>
        </m:r>
      </m:oMath>
      <w:r>
        <w:t xml:space="preserve"> </w:t>
      </w:r>
      <w:r>
        <w:t xml:space="preserve">and equal weights for the two branches. The ensemble Box mAP@50 was approximately 0.51, an improvement of approximately 0.03 over the YOLO-only result and approximately 0.06 over the DeepForest-only result interpolated to the mAP@50 metric. The ensemble’s principal benefit is a clear reduction of both the over-segmentation and the under-segmentation failure modes: a YOLO over-segmented pair of crowns is typically rejected when DeepForest detects the same area as a single crown, and a DeepForest merged pair is split when YOLO independently localises the two components.</w:t>
      </w:r>
    </w:p>
    <w:p>
      <w:pPr>
        <w:pStyle w:val="BodyText"/>
      </w:pPr>
      <w:r>
        <w:t xml:space="preserve">Table 3.5 contextualises the obtained results against the literature baselines compiled in Chapter 1.</w:t>
      </w:r>
    </w:p>
    <w:p>
      <w:pPr>
        <w:pStyle w:val="BodyText"/>
      </w:pPr>
      <w:r>
        <w:rPr>
          <w:b/>
          <w:bCs/>
        </w:rPr>
        <w:t xml:space="preserve">Table 3.5 — Comparison of obtained results with literature baselines.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Data</w:t>
            </w:r>
          </w:p>
        </w:tc>
        <w:tc>
          <w:tcPr/>
          <w:p>
            <w:pPr>
              <w:pStyle w:val="Compact"/>
            </w:pPr>
            <w:r>
              <w:t xml:space="preserve">Best metric</w:t>
            </w:r>
          </w:p>
        </w:tc>
        <w:tc>
          <w:tcPr/>
          <w:p>
            <w:pPr>
              <w:pStyle w:val="Compact"/>
            </w:pPr>
            <w:r>
              <w:t xml:space="preserve">Comment</w:t>
            </w:r>
          </w:p>
        </w:tc>
      </w:tr>
      <w:tr>
        <w:tc>
          <w:tcPr/>
          <w:p>
            <w:pPr>
              <w:pStyle w:val="Compact"/>
            </w:pPr>
            <w:r>
              <w:t xml:space="preserve">YOLOv8x-seg v1 (this work)</w:t>
            </w:r>
          </w:p>
        </w:tc>
        <w:tc>
          <w:tcPr/>
          <w:p>
            <w:pPr>
              <w:pStyle w:val="Compact"/>
            </w:pPr>
            <w:r>
              <w:t xml:space="preserve">Astana sat., v1 val (4 tiles)</w:t>
            </w:r>
          </w:p>
        </w:tc>
        <w:tc>
          <w:tcPr/>
          <w:p>
            <w:pPr>
              <w:pStyle w:val="Compact"/>
            </w:pPr>
            <w:r>
              <w:t xml:space="preserve">Box mAP@50 = 0.478</w:t>
            </w:r>
          </w:p>
        </w:tc>
        <w:tc>
          <w:tcPr/>
          <w:p>
            <w:pPr>
              <w:pStyle w:val="Compact"/>
            </w:pPr>
            <w:r>
              <w:t xml:space="preserve">First Astana benchmark; small-val</w:t>
            </w:r>
          </w:p>
        </w:tc>
      </w:tr>
      <w:tr>
        <w:tc>
          <w:tcPr/>
          <w:p>
            <w:pPr>
              <w:pStyle w:val="Compact"/>
            </w:pPr>
            <w:r>
              <w:t xml:space="preserve">YOLOv8x-seg v1 (this work)</w:t>
            </w:r>
          </w:p>
        </w:tc>
        <w:tc>
          <w:tcPr/>
          <w:p>
            <w:pPr>
              <w:pStyle w:val="Compact"/>
            </w:pPr>
            <w:r>
              <w:t xml:space="preserve">Astana sat., v2 val (10 tiles)</w:t>
            </w:r>
          </w:p>
        </w:tc>
        <w:tc>
          <w:tcPr/>
          <w:p>
            <w:pPr>
              <w:pStyle w:val="Compact"/>
            </w:pPr>
            <w:r>
              <w:t xml:space="preserve">Box mAP@50 = 0.265</w:t>
            </w:r>
          </w:p>
        </w:tc>
        <w:tc>
          <w:tcPr/>
          <w:p>
            <w:pPr>
              <w:pStyle w:val="Compact"/>
            </w:pPr>
            <w:r>
              <w:t xml:space="preserve">Same model, harder val (apples-to-apples)</w:t>
            </w:r>
          </w:p>
        </w:tc>
      </w:tr>
      <w:tr>
        <w:tc>
          <w:tcPr/>
          <w:p>
            <w:pPr>
              <w:pStyle w:val="Compact"/>
            </w:pPr>
            <w:r>
              <w:t xml:space="preserve">YOLOv8x-seg v2-fromscratch (this work)</w:t>
            </w:r>
          </w:p>
        </w:tc>
        <w:tc>
          <w:tcPr/>
          <w:p>
            <w:pPr>
              <w:pStyle w:val="Compact"/>
            </w:pPr>
            <w:r>
              <w:t xml:space="preserve">Astana sat., v2 val (10 tiles)</w:t>
            </w:r>
          </w:p>
        </w:tc>
        <w:tc>
          <w:tcPr/>
          <w:p>
            <w:pPr>
              <w:pStyle w:val="Compact"/>
            </w:pPr>
            <w:r>
              <w:t xml:space="preserve">Box mAP@50 = 0.319</w:t>
            </w:r>
          </w:p>
        </w:tc>
        <w:tc>
          <w:tcPr/>
          <w:p>
            <w:pPr>
              <w:pStyle w:val="Compact"/>
            </w:pPr>
            <w:r>
              <w:t xml:space="preserve">+20 % rel. over v1; merged data, COCO restart</w:t>
            </w:r>
          </w:p>
        </w:tc>
      </w:tr>
      <w:tr>
        <w:tc>
          <w:tcPr/>
          <w:p>
            <w:pPr>
              <w:pStyle w:val="Compact"/>
            </w:pPr>
            <w:r>
              <w:t xml:space="preserve">YOLOv8x-seg v2-finetune (this work)</w:t>
            </w:r>
          </w:p>
        </w:tc>
        <w:tc>
          <w:tcPr/>
          <w:p>
            <w:pPr>
              <w:pStyle w:val="Compact"/>
            </w:pPr>
            <w:r>
              <w:t xml:space="preserve">Astana sat., v2 val (10 tiles)</w:t>
            </w:r>
          </w:p>
        </w:tc>
        <w:tc>
          <w:tcPr/>
          <w:p>
            <w:pPr>
              <w:pStyle w:val="Compact"/>
            </w:pPr>
            <w:r>
              <w:t xml:space="preserve">Box mAP@50 =</w:t>
            </w:r>
            <w:r>
              <w:t xml:space="preserve"> </w:t>
            </w:r>
            <w:r>
              <w:rPr>
                <w:b/>
                <w:bCs/>
              </w:rPr>
              <w:t xml:space="preserve">0.372</w:t>
            </w:r>
          </w:p>
        </w:tc>
        <w:tc>
          <w:tcPr/>
          <w:p>
            <w:pPr>
              <w:pStyle w:val="Compact"/>
            </w:pPr>
            <w:r>
              <w:rPr>
                <w:b/>
                <w:bCs/>
              </w:rPr>
              <w:t xml:space="preserve">Best YOLO result</w:t>
            </w:r>
            <w:r>
              <w:t xml:space="preserve">: v1.pt → fine-tune on new images only</w:t>
            </w:r>
          </w:p>
        </w:tc>
      </w:tr>
      <w:tr>
        <w:tc>
          <w:tcPr/>
          <w:p>
            <w:pPr>
              <w:pStyle w:val="Compact"/>
            </w:pPr>
            <w:r>
              <w:t xml:space="preserve">DeepForest fine-tuned (this work)</w:t>
            </w:r>
          </w:p>
        </w:tc>
        <w:tc>
          <w:tcPr/>
          <w:p>
            <w:pPr>
              <w:pStyle w:val="Compact"/>
            </w:pPr>
            <w:r>
              <w:t xml:space="preserve">Astana satellite</w:t>
            </w:r>
          </w:p>
        </w:tc>
        <w:tc>
          <w:tcPr/>
          <w:p>
            <w:pPr>
              <w:pStyle w:val="Compact"/>
            </w:pPr>
            <w:r>
              <w:t xml:space="preserve">P ≈ 0.80, R ≈ 0.65</w:t>
            </w:r>
          </w:p>
        </w:tc>
        <w:tc>
          <w:tcPr/>
          <w:p>
            <w:pPr>
              <w:pStyle w:val="Compact"/>
            </w:pPr>
            <w:r>
              <w:t xml:space="preserve">Comparable to Sofia [6]</w:t>
            </w:r>
          </w:p>
        </w:tc>
      </w:tr>
      <w:tr>
        <w:tc>
          <w:tcPr/>
          <w:p>
            <w:pPr>
              <w:pStyle w:val="Compact"/>
            </w:pPr>
            <w:r>
              <w:t xml:space="preserve">Ensemble YOLO + DF (this work)</w:t>
            </w:r>
          </w:p>
        </w:tc>
        <w:tc>
          <w:tcPr/>
          <w:p>
            <w:pPr>
              <w:pStyle w:val="Compact"/>
            </w:pPr>
            <w:r>
              <w:t xml:space="preserve">Astana satellite</w:t>
            </w:r>
          </w:p>
        </w:tc>
        <w:tc>
          <w:tcPr/>
          <w:p>
            <w:pPr>
              <w:pStyle w:val="Compact"/>
            </w:pPr>
            <w:r>
              <w:t xml:space="preserve">Box mAP@50 ≈ 0.51 (v1 val)</w:t>
            </w:r>
          </w:p>
        </w:tc>
        <w:tc>
          <w:tcPr/>
          <w:p>
            <w:pPr>
              <w:pStyle w:val="Compact"/>
            </w:pPr>
            <w:r>
              <w:t xml:space="preserve">First Astana ensemble result</w:t>
            </w:r>
          </w:p>
        </w:tc>
      </w:tr>
      <w:tr>
        <w:tc>
          <w:tcPr/>
          <w:p>
            <w:pPr>
              <w:pStyle w:val="Compact"/>
            </w:pPr>
            <w:r>
              <w:t xml:space="preserve">YOLOv12m [2]</w:t>
            </w:r>
          </w:p>
        </w:tc>
        <w:tc>
          <w:tcPr/>
          <w:p>
            <w:pPr>
              <w:pStyle w:val="Compact"/>
            </w:pPr>
            <w:r>
              <w:t xml:space="preserve">Public RGB sat.</w:t>
            </w:r>
          </w:p>
        </w:tc>
        <w:tc>
          <w:tcPr/>
          <w:p>
            <w:pPr>
              <w:pStyle w:val="Compact"/>
            </w:pPr>
            <w:r>
              <w:t xml:space="preserve">mAP@50 = 0.908</w:t>
            </w:r>
          </w:p>
        </w:tc>
        <w:tc>
          <w:tcPr/>
          <w:p>
            <w:pPr>
              <w:pStyle w:val="Compact"/>
            </w:pPr>
            <w:r>
              <w:t xml:space="preserve">Different dataset, large train set</w:t>
            </w:r>
          </w:p>
        </w:tc>
      </w:tr>
      <w:tr>
        <w:tc>
          <w:tcPr/>
          <w:p>
            <w:pPr>
              <w:pStyle w:val="Compact"/>
            </w:pPr>
            <w:r>
              <w:t xml:space="preserve">DeepForest off-the-shelf urban [3]</w:t>
            </w:r>
          </w:p>
        </w:tc>
        <w:tc>
          <w:tcPr/>
          <w:p>
            <w:pPr>
              <w:pStyle w:val="Compact"/>
            </w:pPr>
            <w:r>
              <w:t xml:space="preserve">NAIP 60 cm USA</w:t>
            </w:r>
          </w:p>
        </w:tc>
        <w:tc>
          <w:tcPr/>
          <w:p>
            <w:pPr>
              <w:pStyle w:val="Compact"/>
            </w:pPr>
            <w:r>
              <w:t xml:space="preserve">F = 0.42</w:t>
            </w:r>
          </w:p>
        </w:tc>
        <w:tc>
          <w:tcPr/>
          <w:p>
            <w:pPr>
              <w:pStyle w:val="Compact"/>
            </w:pPr>
            <w:r>
              <w:t xml:space="preserve">Confirms need for fine-tuning</w:t>
            </w:r>
          </w:p>
        </w:tc>
      </w:tr>
      <w:tr>
        <w:tc>
          <w:tcPr/>
          <w:p>
            <w:pPr>
              <w:pStyle w:val="Compact"/>
            </w:pPr>
            <w:r>
              <w:t xml:space="preserve">DeepForest fine-tuned urban [3]</w:t>
            </w:r>
          </w:p>
        </w:tc>
        <w:tc>
          <w:tcPr/>
          <w:p>
            <w:pPr>
              <w:pStyle w:val="Compact"/>
            </w:pPr>
            <w:r>
              <w:t xml:space="preserve">NAIP 60 cm USA</w:t>
            </w:r>
          </w:p>
        </w:tc>
        <w:tc>
          <w:tcPr/>
          <w:p>
            <w:pPr>
              <w:pStyle w:val="Compact"/>
            </w:pPr>
            <w:r>
              <w:t xml:space="preserve">F = 0.729</w:t>
            </w:r>
          </w:p>
        </w:tc>
        <w:tc>
          <w:tcPr/>
          <w:p>
            <w:pPr>
              <w:pStyle w:val="Compact"/>
            </w:pPr>
            <w:r>
              <w:t xml:space="preserve">Our target performance</w:t>
            </w:r>
          </w:p>
        </w:tc>
      </w:tr>
      <w:tr>
        <w:tc>
          <w:tcPr/>
          <w:p>
            <w:pPr>
              <w:pStyle w:val="Compact"/>
            </w:pPr>
            <w:r>
              <w:t xml:space="preserve">DeepForest urban [6]</w:t>
            </w:r>
          </w:p>
        </w:tc>
        <w:tc>
          <w:tcPr/>
          <w:p>
            <w:pPr>
              <w:pStyle w:val="Compact"/>
            </w:pPr>
            <w:r>
              <w:t xml:space="preserve">Aerial 10 cm Sofia</w:t>
            </w:r>
          </w:p>
        </w:tc>
        <w:tc>
          <w:tcPr/>
          <w:p>
            <w:pPr>
              <w:pStyle w:val="Compact"/>
            </w:pPr>
            <w:r>
              <w:t xml:space="preserve">F1 ≈ 0.68</w:t>
            </w:r>
          </w:p>
        </w:tc>
        <w:tc>
          <w:tcPr/>
          <w:p>
            <w:pPr>
              <w:pStyle w:val="Compact"/>
            </w:pPr>
            <w:r>
              <w:t xml:space="preserve">Closest geographic analogue</w:t>
            </w:r>
          </w:p>
        </w:tc>
      </w:tr>
      <w:tr>
        <w:tc>
          <w:tcPr/>
          <w:p>
            <w:pPr>
              <w:pStyle w:val="Compact"/>
            </w:pPr>
            <w:r>
              <w:t xml:space="preserve">YOLOv5x [4]</w:t>
            </w:r>
          </w:p>
        </w:tc>
        <w:tc>
          <w:tcPr/>
          <w:p>
            <w:pPr>
              <w:pStyle w:val="Compact"/>
            </w:pPr>
            <w:r>
              <w:t xml:space="preserve">Aerial + sat Lleida</w:t>
            </w:r>
          </w:p>
        </w:tc>
        <w:tc>
          <w:tcPr/>
          <w:p>
            <w:pPr>
              <w:pStyle w:val="Compact"/>
            </w:pPr>
            <w:r>
              <w:t xml:space="preserve">F1 = 0.849</w:t>
            </w:r>
          </w:p>
        </w:tc>
        <w:tc>
          <w:tcPr/>
          <w:p>
            <w:pPr>
              <w:pStyle w:val="Compact"/>
            </w:pPr>
            <w:r>
              <w:t xml:space="preserve">Larger training set (40 k trees)</w:t>
            </w:r>
          </w:p>
        </w:tc>
      </w:tr>
    </w:tbl>
    <w:p>
      <w:pPr>
        <w:pStyle w:val="BodyText"/>
      </w:pPr>
      <w:r>
        <w:t xml:space="preserve">Two points are worth emphasising. First, the obtained YOLO v1 result is</w:t>
      </w:r>
      <w:r>
        <w:t xml:space="preserve"> </w:t>
      </w:r>
      <w:r>
        <w:rPr>
          <w:b/>
          <w:bCs/>
        </w:rPr>
        <w:t xml:space="preserve">in line with the off-the-shelf urban-DeepForest result</w:t>
      </w:r>
      <w:r>
        <w:t xml:space="preserve"> </w:t>
      </w:r>
      <w:r>
        <w:t xml:space="preserve">of the Ventura paper [3] but is</w:t>
      </w:r>
      <w:r>
        <w:t xml:space="preserve"> </w:t>
      </w:r>
      <w:r>
        <w:rPr>
          <w:b/>
          <w:bCs/>
        </w:rPr>
        <w:t xml:space="preserve">below the fine-tuned-DeepForest result of the same paper</w:t>
      </w:r>
      <w:r>
        <w:t xml:space="preserve">, consistent with the fact that the present project is at an earlier stage of the dataset expansion (the Ventura paper uses several hundreds of annotated tiles; the present version-1 dataset uses sixteen). Second, the</w:t>
      </w:r>
      <w:r>
        <w:t xml:space="preserve"> </w:t>
      </w:r>
      <w:r>
        <w:rPr>
          <w:b/>
          <w:bCs/>
        </w:rPr>
        <w:t xml:space="preserve">Sofia result</w:t>
      </w:r>
      <w:r>
        <w:t xml:space="preserve"> </w:t>
      </w:r>
      <w:r>
        <w:t xml:space="preserve">[6] — F1 ≈ 0.68 obtained on the smallest dataset of the entire urban-tree corpus (826 trees) — is a realistic target for the version-2 model once its training completes, and provides the most plausible geographic analogue to the Astana setting.</w:t>
      </w:r>
    </w:p>
    <w:bookmarkEnd w:id="76"/>
    <w:bookmarkStart w:id="79" w:name="integrated-pipeline"/>
    <w:p>
      <w:pPr>
        <w:pStyle w:val="Heading2"/>
      </w:pPr>
      <w:r>
        <w:t xml:space="preserve">3.7 Integrated pipeline</w:t>
      </w:r>
    </w:p>
    <w:bookmarkStart w:id="77" w:name="end-to-end-demonstration"/>
    <w:p>
      <w:pPr>
        <w:pStyle w:val="Heading3"/>
      </w:pPr>
      <w:r>
        <w:t xml:space="preserve">3.7.1 End-to-end demonstration</w:t>
      </w:r>
    </w:p>
    <w:p>
      <w:pPr>
        <w:pStyle w:val="FirstParagraph"/>
      </w:pPr>
      <w:r>
        <w:t xml:space="preserve">The trained models were integrated into the FastAPI backend and the React frontend described in Chapter 2. The end-to-end pipeline accepts an image (uploaded or captured from the map), runs the selected model with the chosen confidence threshold, converts the resulting detections to geographic coordinates and renders the output on a Leaflet map alongside a statistics panel.</w:t>
      </w:r>
    </w:p>
    <w:p>
      <w:pPr>
        <w:pStyle w:val="BodyText"/>
      </w:pPr>
      <w:r>
        <w:t xml:space="preserve">A typical interactive session proceeds as follows: the user selects a 1 km × 1 km area on the map at zoom 18, clicks</w:t>
      </w:r>
      <w:r>
        <w:t xml:space="preserve"> </w:t>
      </w:r>
      <w:r>
        <w:rPr>
          <w:b/>
          <w:bCs/>
        </w:rPr>
        <w:t xml:space="preserve">Capture from map</w:t>
      </w:r>
      <w:r>
        <w:t xml:space="preserve">, and the backend stitches the ESRI tiles within approximately two seconds. The user then selects the</w:t>
      </w:r>
      <w:r>
        <w:t xml:space="preserve"> </w:t>
      </w:r>
      <w:r>
        <w:rPr>
          <w:b/>
          <w:bCs/>
        </w:rPr>
        <w:t xml:space="preserve">Ensemble (YOLO + DeepForest)</w:t>
      </w:r>
      <w:r>
        <w:t xml:space="preserve"> </w:t>
      </w:r>
      <w:r>
        <w:t xml:space="preserve">model, sets the confidence threshold to 0.30 and clicks</w:t>
      </w:r>
      <w:r>
        <w:t xml:space="preserve"> </w:t>
      </w:r>
      <w:r>
        <w:rPr>
          <w:b/>
          <w:bCs/>
        </w:rPr>
        <w:t xml:space="preserve">Detect</w:t>
      </w:r>
      <w:r>
        <w:t xml:space="preserve">. The system reports the number of detected trees, the average crown area, the green-coverage percentage and the total analysed area in hectares; the detections are rendered as semi-transparent polygons over the basemap. The full end-to-end response time for a 1 km × 1 km capture at zoom 18 (approximately 3 000 × 3 000 pixels, requiring 25 tiled inference passes) is approximately</w:t>
      </w:r>
      <w:r>
        <w:t xml:space="preserve"> </w:t>
      </w:r>
      <w:r>
        <w:rPr>
          <w:b/>
          <w:bCs/>
        </w:rPr>
        <w:t xml:space="preserve">18 seconds</w:t>
      </w:r>
      <w:r>
        <w:t xml:space="preserve"> </w:t>
      </w:r>
      <w:r>
        <w:t xml:space="preserve">on the laptop GPU — comfortably below the 30-second budget set by the requirements of Chapter 1.</w:t>
      </w:r>
    </w:p>
    <w:bookmarkEnd w:id="77"/>
    <w:bookmarkStart w:id="78" w:name="export-formats"/>
    <w:p>
      <w:pPr>
        <w:pStyle w:val="Heading3"/>
      </w:pPr>
      <w:r>
        <w:t xml:space="preserve">3.7.2 Export formats</w:t>
      </w:r>
    </w:p>
    <w:p>
      <w:pPr>
        <w:pStyle w:val="FirstParagraph"/>
      </w:pPr>
      <w:r>
        <w:t xml:space="preserve">The three export formats produced by the system are illustrated by the following short examples.</w:t>
      </w:r>
    </w:p>
    <w:p>
      <w:pPr>
        <w:pStyle w:val="BodyText"/>
      </w:pPr>
      <w:r>
        <w:t xml:space="preserve">A</w:t>
      </w:r>
      <w:r>
        <w:t xml:space="preserve"> </w:t>
      </w:r>
      <w:r>
        <w:rPr>
          <w:b/>
          <w:bCs/>
        </w:rPr>
        <w:t xml:space="preserve">GeoJSON</w:t>
      </w:r>
      <w:r>
        <w:t xml:space="preserve"> </w:t>
      </w:r>
      <w:r>
        <w:t xml:space="preserve">export for a small two-tree result looks as follows: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"FeatureCollection"</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71.40581</w:t>
      </w:r>
      <w:r>
        <w:rPr>
          <w:rStyle w:val="OtherTok"/>
        </w:rPr>
        <w:t xml:space="preserve">,</w:t>
      </w:r>
      <w:r>
        <w:rPr>
          <w:rStyle w:val="NormalTok"/>
        </w:rPr>
        <w:t xml:space="preserve"> </w:t>
      </w:r>
      <w:r>
        <w:rPr>
          <w:rStyle w:val="FloatTok"/>
        </w:rPr>
        <w:t xml:space="preserve">51.16003</w:t>
      </w:r>
      <w:r>
        <w:rPr>
          <w:rStyle w:val="OtherTok"/>
        </w:rPr>
        <w:t xml:space="preserve">],</w:t>
      </w:r>
      <w:r>
        <w:rPr>
          <w:rStyle w:val="NormalTok"/>
        </w:rPr>
        <w:t xml:space="preserve"> </w:t>
      </w:r>
      <w:r>
        <w:rPr>
          <w:rStyle w:val="OtherTok"/>
        </w:rPr>
        <w:t xml:space="preserve">[</w:t>
      </w:r>
      <w:r>
        <w:rPr>
          <w:rStyle w:val="FloatTok"/>
        </w:rPr>
        <w:t xml:space="preserve">71.40583</w:t>
      </w:r>
      <w:r>
        <w:rPr>
          <w:rStyle w:val="OtherTok"/>
        </w:rPr>
        <w:t xml:space="preserve">,</w:t>
      </w:r>
      <w:r>
        <w:rPr>
          <w:rStyle w:val="NormalTok"/>
        </w:rPr>
        <w:t xml:space="preserve"> </w:t>
      </w:r>
      <w:r>
        <w:rPr>
          <w:rStyle w:val="FloatTok"/>
        </w:rPr>
        <w:t xml:space="preserve">51.16003</w:t>
      </w:r>
      <w:r>
        <w:rPr>
          <w:rStyle w:val="OtherTok"/>
        </w:rPr>
        <w:t xml:space="preserve">],</w:t>
      </w:r>
      <w:r>
        <w:br/>
      </w:r>
      <w:r>
        <w:rPr>
          <w:rStyle w:val="NormalTok"/>
        </w:rPr>
        <w:t xml:space="preserve">                         </w:t>
      </w:r>
      <w:r>
        <w:rPr>
          <w:rStyle w:val="OtherTok"/>
        </w:rPr>
        <w:t xml:space="preserve">[</w:t>
      </w:r>
      <w:r>
        <w:rPr>
          <w:rStyle w:val="FloatTok"/>
        </w:rPr>
        <w:t xml:space="preserve">71.40583</w:t>
      </w:r>
      <w:r>
        <w:rPr>
          <w:rStyle w:val="OtherTok"/>
        </w:rPr>
        <w:t xml:space="preserve">,</w:t>
      </w:r>
      <w:r>
        <w:rPr>
          <w:rStyle w:val="NormalTok"/>
        </w:rPr>
        <w:t xml:space="preserve"> </w:t>
      </w:r>
      <w:r>
        <w:rPr>
          <w:rStyle w:val="FloatTok"/>
        </w:rPr>
        <w:t xml:space="preserve">51.16005</w:t>
      </w:r>
      <w:r>
        <w:rPr>
          <w:rStyle w:val="OtherTok"/>
        </w:rPr>
        <w:t xml:space="preserve">],</w:t>
      </w:r>
      <w:r>
        <w:rPr>
          <w:rStyle w:val="NormalTok"/>
        </w:rPr>
        <w:t xml:space="preserve"> </w:t>
      </w:r>
      <w:r>
        <w:rPr>
          <w:rStyle w:val="OtherTok"/>
        </w:rPr>
        <w:t xml:space="preserve">[</w:t>
      </w:r>
      <w:r>
        <w:rPr>
          <w:rStyle w:val="FloatTok"/>
        </w:rPr>
        <w:t xml:space="preserve">71.40581</w:t>
      </w:r>
      <w:r>
        <w:rPr>
          <w:rStyle w:val="OtherTok"/>
        </w:rPr>
        <w:t xml:space="preserve">,</w:t>
      </w:r>
      <w:r>
        <w:rPr>
          <w:rStyle w:val="NormalTok"/>
        </w:rPr>
        <w:t xml:space="preserve"> </w:t>
      </w:r>
      <w:r>
        <w:rPr>
          <w:rStyle w:val="FloatTok"/>
        </w:rPr>
        <w:t xml:space="preserve">51.16005</w:t>
      </w:r>
      <w:r>
        <w:rPr>
          <w:rStyle w:val="OtherTok"/>
        </w:rPr>
        <w:t xml:space="preserve">],</w:t>
      </w:r>
      <w:r>
        <w:br/>
      </w:r>
      <w:r>
        <w:rPr>
          <w:rStyle w:val="NormalTok"/>
        </w:rPr>
        <w:t xml:space="preserve">                         </w:t>
      </w:r>
      <w:r>
        <w:rPr>
          <w:rStyle w:val="OtherTok"/>
        </w:rPr>
        <w:t xml:space="preserve">[</w:t>
      </w:r>
      <w:r>
        <w:rPr>
          <w:rStyle w:val="FloatTok"/>
        </w:rPr>
        <w:t xml:space="preserve">71.40581</w:t>
      </w:r>
      <w:r>
        <w:rPr>
          <w:rStyle w:val="OtherTok"/>
        </w:rPr>
        <w:t xml:space="preserve">,</w:t>
      </w:r>
      <w:r>
        <w:rPr>
          <w:rStyle w:val="NormalTok"/>
        </w:rPr>
        <w:t xml:space="preserve"> </w:t>
      </w:r>
      <w:r>
        <w:rPr>
          <w:rStyle w:val="FloatTok"/>
        </w:rPr>
        <w:t xml:space="preserve">51.16003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0.83</w:t>
      </w:r>
      <w:r>
        <w:rPr>
          <w:rStyle w:val="FunctionTok"/>
        </w:rPr>
        <w:t xml:space="preserve">,</w:t>
      </w:r>
      <w:r>
        <w:br/>
      </w:r>
      <w:r>
        <w:rPr>
          <w:rStyle w:val="NormalTok"/>
        </w:rPr>
        <w:t xml:space="preserve">        </w:t>
      </w:r>
      <w:r>
        <w:rPr>
          <w:rStyle w:val="DataTypeTok"/>
        </w:rPr>
        <w:t xml:space="preserve">"crown_area_px"</w:t>
      </w:r>
      <w:r>
        <w:rPr>
          <w:rStyle w:val="FunctionTok"/>
        </w:rPr>
        <w:t xml:space="preserve">:</w:t>
      </w:r>
      <w:r>
        <w:rPr>
          <w:rStyle w:val="NormalTok"/>
        </w:rPr>
        <w:t xml:space="preserve"> </w:t>
      </w:r>
      <w:r>
        <w:rPr>
          <w:rStyle w:val="DecValTok"/>
        </w:rPr>
        <w:t xml:space="preserve">1325</w:t>
      </w:r>
      <w:r>
        <w:rPr>
          <w:rStyle w:val="FunctionTok"/>
        </w:rPr>
        <w:t xml:space="preserve">,</w:t>
      </w:r>
      <w:r>
        <w:rPr>
          <w:rStyle w:val="NormalTok"/>
        </w:rPr>
        <w:t xml:space="preserve"> </w:t>
      </w:r>
      <w:r>
        <w:rPr>
          <w:rStyle w:val="DataTypeTok"/>
        </w:rPr>
        <w:t xml:space="preserve">"crown_area_m2"</w:t>
      </w:r>
      <w:r>
        <w:rPr>
          <w:rStyle w:val="FunctionTok"/>
        </w:rPr>
        <w:t xml:space="preserve">:</w:t>
      </w:r>
      <w:r>
        <w:rPr>
          <w:rStyle w:val="NormalTok"/>
        </w:rPr>
        <w:t xml:space="preserve"> </w:t>
      </w:r>
      <w:r>
        <w:rPr>
          <w:rStyle w:val="FloatTok"/>
        </w:rPr>
        <w:t xml:space="preserve">17.3</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corresponding</w:t>
      </w:r>
      <w:r>
        <w:t xml:space="preserve"> </w:t>
      </w:r>
      <w:r>
        <w:rPr>
          <w:b/>
          <w:bCs/>
        </w:rPr>
        <w:t xml:space="preserve">CSV</w:t>
      </w:r>
      <w:r>
        <w:t xml:space="preserve"> </w:t>
      </w:r>
      <w:r>
        <w:t xml:space="preserve">export uses one row per tree and is consumable by Excel and any spreadsheet tool:</w:t>
      </w:r>
    </w:p>
    <w:p>
      <w:pPr>
        <w:pStyle w:val="SourceCode"/>
      </w:pPr>
      <w:r>
        <w:rPr>
          <w:rStyle w:val="VerbatimChar"/>
        </w:rPr>
        <w:t xml:space="preserve">id,lat,lng,confidence,crown_area_px,crown_area_m2</w:t>
      </w:r>
      <w:r>
        <w:br/>
      </w:r>
      <w:r>
        <w:rPr>
          <w:rStyle w:val="VerbatimChar"/>
        </w:rPr>
        <w:t xml:space="preserve">0,51.16004,71.40582,0.83,1325,17.3</w:t>
      </w:r>
      <w:r>
        <w:br/>
      </w:r>
      <w:r>
        <w:rPr>
          <w:rStyle w:val="VerbatimChar"/>
        </w:rPr>
        <w:t xml:space="preserve">1,51.16012,71.40598,0.71,892,11.6</w:t>
      </w:r>
      <w:r>
        <w:br/>
      </w:r>
      <w:r>
        <w:rPr>
          <w:rStyle w:val="VerbatimChar"/>
        </w:rPr>
        <w:t xml:space="preserve">...</w:t>
      </w:r>
    </w:p>
    <w:p>
      <w:pPr>
        <w:pStyle w:val="FirstParagraph"/>
      </w:pPr>
      <w:r>
        <w:t xml:space="preserve">The</w:t>
      </w:r>
      <w:r>
        <w:t xml:space="preserve"> </w:t>
      </w:r>
      <w:r>
        <w:rPr>
          <w:b/>
          <w:bCs/>
        </w:rPr>
        <w:t xml:space="preserve">standalone HTML</w:t>
      </w:r>
      <w:r>
        <w:t xml:space="preserve"> </w:t>
      </w:r>
      <w:r>
        <w:t xml:space="preserve">export embeds the Leaflet library from CDN and the detections inline as a GeoJSON feature collection, so that the resulting file can be opened in any modern browser without a server.</w:t>
      </w:r>
    </w:p>
    <w:bookmarkEnd w:id="78"/>
    <w:bookmarkEnd w:id="79"/>
    <w:bookmarkStart w:id="80" w:name="limitations"/>
    <w:p>
      <w:pPr>
        <w:pStyle w:val="Heading2"/>
      </w:pPr>
      <w:r>
        <w:t xml:space="preserve">3.8 Limitations</w:t>
      </w:r>
    </w:p>
    <w:p>
      <w:pPr>
        <w:pStyle w:val="FirstParagraph"/>
      </w:pPr>
      <w:r>
        <w:t xml:space="preserve">The current implementation has a number of known limitations.</w:t>
      </w:r>
    </w:p>
    <w:p>
      <w:pPr>
        <w:numPr>
          <w:ilvl w:val="0"/>
          <w:numId w:val="1019"/>
        </w:numPr>
      </w:pPr>
      <w:r>
        <w:rPr>
          <w:b/>
          <w:bCs/>
        </w:rPr>
        <w:t xml:space="preserve">Validation-set size.</w:t>
      </w:r>
      <w:r>
        <w:t xml:space="preserve"> </w:t>
      </w:r>
      <w:r>
        <w:t xml:space="preserve">With only 4 (v1) or 10 (v2) validation tiles, the 95 % confidence interval on the reported metrics is in the order of ± 0.05 to ± 0.10. A larger validation set, ideally drawn from city districts not present in the training set at all, would be needed to claim statistical significance for a comparison between models.</w:t>
      </w:r>
    </w:p>
    <w:p>
      <w:pPr>
        <w:numPr>
          <w:ilvl w:val="0"/>
          <w:numId w:val="1019"/>
        </w:numPr>
      </w:pPr>
      <w:r>
        <w:rPr>
          <w:b/>
          <w:bCs/>
        </w:rPr>
        <w:t xml:space="preserve">Single class label.</w:t>
      </w:r>
      <w:r>
        <w:t xml:space="preserve"> </w:t>
      </w:r>
      <w:r>
        <w:t xml:space="preserve">The dataset annotation does not distinguish between species. Tree-species classification is a valuable downstream task — particularly for</w:t>
      </w:r>
      <w:r>
        <w:t xml:space="preserve"> </w:t>
      </w:r>
      <w:r>
        <w:rPr>
          <w:i/>
          <w:iCs/>
        </w:rPr>
        <w:t xml:space="preserve">Zelenstroy</w:t>
      </w:r>
      <w:r>
        <w:t xml:space="preserve">, which must plan species-specific pruning and replacement — and is reserved for future work, possibly using the multi-task setup of [10].</w:t>
      </w:r>
    </w:p>
    <w:p>
      <w:pPr>
        <w:numPr>
          <w:ilvl w:val="0"/>
          <w:numId w:val="1019"/>
        </w:numPr>
      </w:pPr>
      <w:r>
        <w:rPr>
          <w:b/>
          <w:bCs/>
        </w:rPr>
        <w:t xml:space="preserve">No explicit shadow modelling.</w:t>
      </w:r>
      <w:r>
        <w:t xml:space="preserve"> </w:t>
      </w:r>
      <w:r>
        <w:t xml:space="preserve">Shadows are the dominant source of false positives. An explicit pre-processing step that detects and removes shadow regions, or an auxiliary head that classifies a region as</w:t>
      </w:r>
      <w:r>
        <w:t xml:space="preserve"> </w:t>
      </w:r>
      <w:r>
        <w:t xml:space="preserve">“tree”</w:t>
      </w:r>
      <w:r>
        <w:t xml:space="preserve">,</w:t>
      </w:r>
      <w:r>
        <w:t xml:space="preserve"> </w:t>
      </w:r>
      <w:r>
        <w:t xml:space="preserve">“shadow”</w:t>
      </w:r>
      <w:r>
        <w:t xml:space="preserve"> </w:t>
      </w:r>
      <w:r>
        <w:t xml:space="preserve">or</w:t>
      </w:r>
      <w:r>
        <w:t xml:space="preserve"> </w:t>
      </w:r>
      <w:r>
        <w:t xml:space="preserve">“background”</w:t>
      </w:r>
      <w:r>
        <w:t xml:space="preserve">, would substantially improve the precision in early-morning and late-evening imagery.</w:t>
      </w:r>
    </w:p>
    <w:p>
      <w:pPr>
        <w:numPr>
          <w:ilvl w:val="0"/>
          <w:numId w:val="1019"/>
        </w:numPr>
      </w:pPr>
      <w:r>
        <w:rPr>
          <w:b/>
          <w:bCs/>
        </w:rPr>
        <w:t xml:space="preserve">DeepForest fine-tuning convention.</w:t>
      </w:r>
      <w:r>
        <w:t xml:space="preserve"> </w:t>
      </w:r>
      <w:r>
        <w:t xml:space="preserve">The current fine-tune is restarted from scratch on every epoch and produces four separate Lightning checkpoints (</w:t>
      </w:r>
      <w:r>
        <w:rPr>
          <w:rStyle w:val="VerbatimChar"/>
        </w:rPr>
        <w:t xml:space="preserve">lightning_logs/version_1</w:t>
      </w:r>
      <w:r>
        <w:t xml:space="preserve"> </w:t>
      </w:r>
      <w:r>
        <w:t xml:space="preserve">through</w:t>
      </w:r>
      <w:r>
        <w:t xml:space="preserve"> </w:t>
      </w:r>
      <w:r>
        <w:rPr>
          <w:rStyle w:val="VerbatimChar"/>
        </w:rPr>
        <w:t xml:space="preserve">version_4</w:t>
      </w:r>
      <w:r>
        <w:t xml:space="preserve">). A single multi-epoch fit with a cosine schedule and a held-out validation set would be cleaner; this refactor is straightforward and is planned for the next iteration.</w:t>
      </w:r>
    </w:p>
    <w:p>
      <w:pPr>
        <w:numPr>
          <w:ilvl w:val="0"/>
          <w:numId w:val="1019"/>
        </w:numPr>
      </w:pPr>
      <w:r>
        <w:rPr>
          <w:b/>
          <w:bCs/>
        </w:rPr>
        <w:t xml:space="preserve">No SAM-vs-fine-tuned-mask ablation.</w:t>
      </w:r>
      <w:r>
        <w:t xml:space="preserve"> </w:t>
      </w:r>
      <w:r>
        <w:t xml:space="preserve">The current implementation includes the SAM mask-refinement branch as a qualitative demonstration only. A quantitative ablation that compares the SAM-refined masks against the YOLO-produced masks on the same set of detections is required before any production use of the SAM output.</w:t>
      </w:r>
    </w:p>
    <w:p>
      <w:pPr>
        <w:numPr>
          <w:ilvl w:val="0"/>
          <w:numId w:val="1019"/>
        </w:numPr>
      </w:pPr>
      <w:r>
        <w:rPr>
          <w:b/>
          <w:bCs/>
        </w:rPr>
        <w:t xml:space="preserve">In-memory job store.</w:t>
      </w:r>
      <w:r>
        <w:t xml:space="preserve"> </w:t>
      </w:r>
      <w:r>
        <w:t xml:space="preserve">The backend keeps detection results in a Python dictionary that is lost on every process restart. A SQLite or Postgres backing store with a foreign-key relationship to the uploaded image is a straightforward extension and is planned before any deployment to</w:t>
      </w:r>
      <w:r>
        <w:t xml:space="preserve"> </w:t>
      </w:r>
      <w:r>
        <w:rPr>
          <w:i/>
          <w:iCs/>
        </w:rPr>
        <w:t xml:space="preserve">Zelenstroy</w:t>
      </w:r>
      <w:r>
        <w:t xml:space="preserve">.</w:t>
      </w:r>
    </w:p>
    <w:p>
      <w:pPr>
        <w:numPr>
          <w:ilvl w:val="0"/>
          <w:numId w:val="1019"/>
        </w:numPr>
      </w:pPr>
      <w:r>
        <w:rPr>
          <w:b/>
          <w:bCs/>
        </w:rPr>
        <w:t xml:space="preserve">Single-laptop deployment only.</w:t>
      </w:r>
      <w:r>
        <w:t xml:space="preserve"> </w:t>
      </w:r>
      <w:r>
        <w:t xml:space="preserve">The current system was deployed and tested only on the development laptop. A dockerised version with separate backend, frontend and model-serving containers is required for any multi-user deployment.</w:t>
      </w:r>
    </w:p>
    <w:p>
      <w:pPr>
        <w:pStyle w:val="FirstParagraph"/>
      </w:pPr>
      <w:r>
        <w:t xml:space="preserve">Despite these limitations, the system as currently deployed already meets all six functional requirements of Section 1.6 and produces results that are qualitatively informative for the</w:t>
      </w:r>
      <w:r>
        <w:t xml:space="preserve"> </w:t>
      </w:r>
      <w:r>
        <w:rPr>
          <w:i/>
          <w:iCs/>
        </w:rPr>
        <w:t xml:space="preserve">Zelenstroy</w:t>
      </w:r>
      <w:r>
        <w:t xml:space="preserve"> </w:t>
      </w:r>
      <w:r>
        <w:t xml:space="preserve">end user.</w:t>
      </w:r>
    </w:p>
    <w:bookmarkEnd w:id="80"/>
    <w:bookmarkEnd w:id="81"/>
    <w:bookmarkStart w:id="87" w:name="conclusion"/>
    <w:p>
      <w:pPr>
        <w:pStyle w:val="Heading1"/>
      </w:pPr>
      <w:r>
        <w:t xml:space="preserve">Conclusion</w:t>
      </w:r>
    </w:p>
    <w:p>
      <w:pPr>
        <w:pStyle w:val="FirstParagraph"/>
      </w:pPr>
      <w:r>
        <w:t xml:space="preserve">This diploma project set out to design, implement and evaluate a complete software system capable of automatically detecting individual trees in satellite imagery of the city of Astana. The work was motivated by the practical need of</w:t>
      </w:r>
      <w:r>
        <w:t xml:space="preserve"> </w:t>
      </w:r>
      <w:r>
        <w:rPr>
          <w:i/>
          <w:iCs/>
        </w:rPr>
        <w:t xml:space="preserve">Zelenstroy</w:t>
      </w:r>
      <w:r>
        <w:t xml:space="preserve"> </w:t>
      </w:r>
      <w:r>
        <w:t xml:space="preserve">and other municipal services for a fast, repeatable and inexpensive alternative to the manual field survey that has historically been the only way to obtain an urban-tree inventory at the scale of a major city. The analysis of the existing literature (Chapter 1) confirmed that the deep-learning toolkit needed for such a system is technically mature — state-of-the-art object-detection and instance-segmentation networks routinely exceed 90 % mean average precision on dedicated public datasets — but also that</w:t>
      </w:r>
      <w:r>
        <w:t xml:space="preserve"> </w:t>
      </w:r>
      <w:r>
        <w:rPr>
          <w:b/>
          <w:bCs/>
        </w:rPr>
        <w:t xml:space="preserve">no published work</w:t>
      </w:r>
      <w:r>
        <w:t xml:space="preserve"> </w:t>
      </w:r>
      <w:r>
        <w:t xml:space="preserve">to date has evaluated any of these methods on Central-Asian satellite imagery in general or on Astana imagery in particular. Closing this gap was the principal motivation of the present work.</w:t>
      </w:r>
    </w:p>
    <w:bookmarkStart w:id="82" w:name="achievement-of-the-stated-objectives"/>
    <w:p>
      <w:pPr>
        <w:pStyle w:val="Heading2"/>
      </w:pPr>
      <w:r>
        <w:t xml:space="preserve">Achievement of the stated objectives</w:t>
      </w:r>
    </w:p>
    <w:p>
      <w:pPr>
        <w:pStyle w:val="FirstParagraph"/>
      </w:pPr>
      <w:r>
        <w:t xml:space="preserve">The six objectives formulated in the introduction were addressed as follows.</w:t>
      </w:r>
    </w:p>
    <w:p>
      <w:pPr>
        <w:pStyle w:val="BodyText"/>
      </w:pPr>
      <w:r>
        <w:rPr>
          <w:b/>
          <w:bCs/>
        </w:rPr>
        <w:t xml:space="preserve">Objective 1 — survey the deep-learning state of the art.</w:t>
      </w:r>
      <w:r>
        <w:t xml:space="preserve"> </w:t>
      </w:r>
      <w:r>
        <w:t xml:space="preserve">Chapter 1 contains a critical analysis of 31 peer-reviewed publications of 2019 – 2025, organised by technical paradigm (two-stage detectors, one-stage detectors, semantic segmentation, the domain-specialised DeepForest model and the SAM foundation model) and culminating in a consolidated Table 1.2 of the best metrics reported by each work. The survey established two essential facts: that fine-tuned models routinely achieve F1-scores in the 0.65 – 0.85 range on European and American urban data, and that the geographic-generalisation gap between an off-the-shelf and a fine-tuned model is in the order of 0.30 F1 points.</w:t>
      </w:r>
    </w:p>
    <w:p>
      <w:pPr>
        <w:pStyle w:val="BodyText"/>
      </w:pPr>
      <w:r>
        <w:rPr>
          <w:b/>
          <w:bCs/>
        </w:rPr>
        <w:t xml:space="preserve">Objective 2 — quantify the gap on Astana imagery.</w:t>
      </w:r>
      <w:r>
        <w:t xml:space="preserve"> </w:t>
      </w:r>
      <w:r>
        <w:t xml:space="preserve">Section 3.4.1 reports the off-the-shelf DeepForest baseline on Astana — precision ≈ 0.72, recall ≈ 0.58 — confirming both the order-of-magnitude consistency with the European urban literature and the necessity of a fine-tuning stage.</w:t>
      </w:r>
    </w:p>
    <w:p>
      <w:pPr>
        <w:pStyle w:val="BodyText"/>
      </w:pPr>
      <w:r>
        <w:rPr>
          <w:b/>
          <w:bCs/>
        </w:rPr>
        <w:t xml:space="preserve">Objective 3 — build a custom annotated Astana dataset.</w:t>
      </w:r>
      <w:r>
        <w:t xml:space="preserve"> </w:t>
      </w:r>
      <w:r>
        <w:t xml:space="preserve">Section 3.2 documents two iterations of dataset construction: a version-1 dataset of 20 source images / 2 242 polygons obtained through from-scratch manual annotation in CVAT, and a version-2 dataset of 77 source images / ≈ 8 000 polygons obtained through a model-in-the-loop pre-labelling workflow that reduced the annotation cost per image by approximately 70 %. The dataset is, to the best of the authors’ knowledge, the first of its kind for Astana and is small but reusable for future research.</w:t>
      </w:r>
    </w:p>
    <w:p>
      <w:pPr>
        <w:pStyle w:val="BodyText"/>
      </w:pPr>
      <w:r>
        <w:rPr>
          <w:b/>
          <w:bCs/>
        </w:rPr>
        <w:t xml:space="preserve">Objective 4 — train and combine three complementary models.</w:t>
      </w:r>
      <w:r>
        <w:t xml:space="preserve"> </w:t>
      </w:r>
      <w:r>
        <w:t xml:space="preserve">Chapters 2 and 3 document the training of three successive YOLOv8x-seg checkpoints on the Astana dataset: the version-1 model (397 epochs on 20 source images, Box mAP@50 = 0.478 on its own small 4-tile validation set), the version-2-from-scratch model (204 epochs from COCO weights on the merged 77-image dataset) and the version-2-finetune model (continued training of the v1 checkpoint on the 57 new images only, 99 epochs). All three models were re-evaluated on a common, larger and harder version-2 validation set; on this like-for-like comparison the version-2-finetune model is the best, with Box mAP@50 =</w:t>
      </w:r>
      <w:r>
        <w:t xml:space="preserve"> </w:t>
      </w:r>
      <w:r>
        <w:rPr>
          <w:b/>
          <w:bCs/>
        </w:rPr>
        <w:t xml:space="preserve">0.372</w:t>
      </w:r>
      <w:r>
        <w:t xml:space="preserve"> </w:t>
      </w:r>
      <w:r>
        <w:t xml:space="preserve">and Mask mAP@50 =</w:t>
      </w:r>
      <w:r>
        <w:t xml:space="preserve"> </w:t>
      </w:r>
      <w:r>
        <w:rPr>
          <w:b/>
          <w:bCs/>
        </w:rPr>
        <w:t xml:space="preserve">0.331</w:t>
      </w:r>
      <w:r>
        <w:t xml:space="preserve">, representing a 40 % relative improvement over the version-1 baseline (0.265 / 0.240). The DeepForest RetinaNet detector, owned by team member Anuar Totin and trained on an independent bounding-box-level annotation set, reaches precision ≈ 0.80 and recall ≈ 0.65 on the Astana validation tiles. The Segment Anything Model is integrated as a zero-shot mask-refinement stage on top of DeepForest. The YOLO and DeepForest branches are combined through a Weighted-Box-Fusion ensemble (Box mAP@50 ≈ 0.51 on the v1 val), exploiting the complementary failure modes of the two architectures: YOLO over-segments dense canopies, DeepForest under-segments them.</w:t>
      </w:r>
    </w:p>
    <w:p>
      <w:pPr>
        <w:pStyle w:val="BodyText"/>
      </w:pPr>
      <w:r>
        <w:t xml:space="preserve">A methodological observation of the version-2 training comparison is worth retaining for future work. A first ablation, restricted to the comparison of v1 against v2-from-scratch, suggested that fine-tuning offered no benefit; this conclusion was reversed once a third configuration — fine-tune on the new-images subset rather than on the full merged corpus — was added to the comparison. The episode is a useful reminder that conclusions about transfer-learning effectiveness are extremely sensitive to the precise composition of the fine-tuning set, and that a two-way ablation can hide an important interaction with a third design dimension.</w:t>
      </w:r>
    </w:p>
    <w:p>
      <w:pPr>
        <w:pStyle w:val="BodyText"/>
      </w:pPr>
      <w:r>
        <w:rPr>
          <w:b/>
          <w:bCs/>
        </w:rPr>
        <w:t xml:space="preserve">Objective 5 — design and implement an end-to-end software pipeline.</w:t>
      </w:r>
      <w:r>
        <w:t xml:space="preserve"> </w:t>
      </w:r>
      <w:r>
        <w:t xml:space="preserve">Chapter 2 describes the resulting system: a FastAPI Python backend with a pluggable model-adapter interface, a React 18 single-page frontend with a Leaflet map, a four-mode geographic-conversion module supporting GeoTIFFs and informal screenshots alike, an in-browser map-capture feature that stitches ESRI World Imagery tiles for an arbitrary user-drawn rectangle, and three export formats (GeoJSON, CSV, standalone HTML) that integrate the inventory with the user’s existing GIS workflow. The complete prototype is approximately 6 000 lines of Python and JavaScript.</w:t>
      </w:r>
    </w:p>
    <w:p>
      <w:pPr>
        <w:pStyle w:val="BodyText"/>
      </w:pPr>
      <w:r>
        <w:rPr>
          <w:b/>
          <w:bCs/>
        </w:rPr>
        <w:t xml:space="preserve">Objective 6 — evaluate the system on realistic Astana scenes.</w:t>
      </w:r>
      <w:r>
        <w:t xml:space="preserve"> </w:t>
      </w:r>
      <w:r>
        <w:t xml:space="preserve">Section 3.7 reports the end-to-end behaviour of the integrated pipeline: a 1 km × 1 km area captured at zoom 18 is processed in approximately 18 seconds on a single laptop GPU, comfortably below the 30-second budget set by the requirements. Qualitative inspection of the predictions on Astana validation tiles confirms that the system already produces an inventory that is qualitatively informative for the</w:t>
      </w:r>
      <w:r>
        <w:t xml:space="preserve"> </w:t>
      </w:r>
      <w:r>
        <w:rPr>
          <w:i/>
          <w:iCs/>
        </w:rPr>
        <w:t xml:space="preserve">Zelenstroy</w:t>
      </w:r>
      <w:r>
        <w:t xml:space="preserve"> </w:t>
      </w:r>
      <w:r>
        <w:t xml:space="preserve">end user, while the aggregate metrics — Box mAP@50 ≈ 0.48 for YOLO alone and ≈ 0.51 for the ensemble — establish the empirical baseline against which any future model can be compared.</w:t>
      </w:r>
    </w:p>
    <w:bookmarkEnd w:id="82"/>
    <w:bookmarkStart w:id="83" w:name="scientific-contributions"/>
    <w:p>
      <w:pPr>
        <w:pStyle w:val="Heading2"/>
      </w:pPr>
      <w:r>
        <w:t xml:space="preserve">Scientific contributions</w:t>
      </w:r>
    </w:p>
    <w:p>
      <w:pPr>
        <w:pStyle w:val="FirstParagraph"/>
      </w:pPr>
      <w:r>
        <w:t xml:space="preserve">The work contributes the following original results.</w:t>
      </w:r>
    </w:p>
    <w:p>
      <w:pPr>
        <w:numPr>
          <w:ilvl w:val="0"/>
          <w:numId w:val="1020"/>
        </w:numPr>
      </w:pPr>
      <w:r>
        <w:t xml:space="preserve">The</w:t>
      </w:r>
      <w:r>
        <w:t xml:space="preserve"> </w:t>
      </w:r>
      <w:r>
        <w:rPr>
          <w:b/>
          <w:bCs/>
        </w:rPr>
        <w:t xml:space="preserve">first published evaluation</w:t>
      </w:r>
      <w:r>
        <w:t xml:space="preserve"> </w:t>
      </w:r>
      <w:r>
        <w:t xml:space="preserve">of state-of-the-art deep-learning tree-detection models on satellite imagery of Astana and, by extension, of any major Central-Asian capital. The empirical numbers — off-the-shelf DeepForest precision/recall on Astana, fine-tuned DeepForest on Astana, YOLOv8x-seg on Astana, ensemble — are now part of the empirical record for the region.</w:t>
      </w:r>
    </w:p>
    <w:p>
      <w:pPr>
        <w:numPr>
          <w:ilvl w:val="0"/>
          <w:numId w:val="1020"/>
        </w:numPr>
      </w:pPr>
      <w:r>
        <w:t xml:space="preserve">A</w:t>
      </w:r>
      <w:r>
        <w:t xml:space="preserve"> </w:t>
      </w:r>
      <w:r>
        <w:rPr>
          <w:b/>
          <w:bCs/>
        </w:rPr>
        <w:t xml:space="preserve">small but reusable annotated dataset</w:t>
      </w:r>
      <w:r>
        <w:t xml:space="preserve"> </w:t>
      </w:r>
      <w:r>
        <w:t xml:space="preserve">of Astana satellite imagery, with approximately 77 source images and approximately 8 000 polygon-level tree annotations after tiling, distributed under the same convention as the original DeepForest dataset.</w:t>
      </w:r>
    </w:p>
    <w:p>
      <w:pPr>
        <w:numPr>
          <w:ilvl w:val="0"/>
          <w:numId w:val="1020"/>
        </w:numPr>
      </w:pPr>
      <w:r>
        <w:t xml:space="preserve">A</w:t>
      </w:r>
      <w:r>
        <w:t xml:space="preserve"> </w:t>
      </w:r>
      <w:r>
        <w:rPr>
          <w:b/>
          <w:bCs/>
        </w:rPr>
        <w:t xml:space="preserve">three-model architecture</w:t>
      </w:r>
      <w:r>
        <w:t xml:space="preserve"> </w:t>
      </w:r>
      <w:r>
        <w:t xml:space="preserve">combining instance-segmentation (YOLOv8-seg), bounding-box detection (DeepForest fine-tuned) and zero-shot mask refinement (SAM on DeepForest boxes), with a Weighted-Box-Fusion ensemble of the first two branches. The complementarity of the YOLO and DeepForest failure modes — established quantitatively in Section 3.4.3 — is a novel observation in the urban-tree literature.</w:t>
      </w:r>
    </w:p>
    <w:p>
      <w:pPr>
        <w:numPr>
          <w:ilvl w:val="0"/>
          <w:numId w:val="1020"/>
        </w:numPr>
      </w:pPr>
      <w:r>
        <w:t xml:space="preserve">A</w:t>
      </w:r>
      <w:r>
        <w:t xml:space="preserve"> </w:t>
      </w:r>
      <w:r>
        <w:rPr>
          <w:b/>
          <w:bCs/>
        </w:rPr>
        <w:t xml:space="preserve">complete deployable prototype</w:t>
      </w:r>
      <w:r>
        <w:t xml:space="preserve"> </w:t>
      </w:r>
      <w:r>
        <w:t xml:space="preserve">— backend, frontend, geographic conversion, three exporters, an in-browser ESRI tile-capture feature — that serves as a template for any city administration wishing to adopt deep-learning-based tree inventories. The system is designed to be retrained on imagery from any other city by simply replacing the dataset.</w:t>
      </w:r>
    </w:p>
    <w:bookmarkEnd w:id="83"/>
    <w:bookmarkStart w:id="84" w:name="practical-contributions"/>
    <w:p>
      <w:pPr>
        <w:pStyle w:val="Heading2"/>
      </w:pPr>
      <w:r>
        <w:t xml:space="preserve">Practical contributions</w:t>
      </w:r>
    </w:p>
    <w:p>
      <w:pPr>
        <w:pStyle w:val="FirstParagraph"/>
      </w:pPr>
      <w:r>
        <w:t xml:space="preserve">The system is in a state in which it can be used immediately for an informal Astana tree inventory: the user supplies a satellite image (uploaded or captured interactively from the map), runs the selected model, inspects the result on a Leaflet map and exports the inventory in the format required by the downstream tool. The interactive response time of approximately 18 seconds for a 1 km × 1 km area is short enough that a single specialist can comfortably process several districts of the city in a working day — a productivity improvement of two to three orders of magnitude over the manual field survey it replaces.</w:t>
      </w:r>
    </w:p>
    <w:p>
      <w:pPr>
        <w:pStyle w:val="BodyText"/>
      </w:pPr>
      <w:r>
        <w:t xml:space="preserve">The architectural decisions made along the way — adapter pattern for the model layer, four-mode geographic conversion, sliding-window tiled inference with global NMS, model-in-the-loop pre-labelling for annotation expansion, the Cyrillic-aware data-preparation pipeline — are independent of the specific application to Astana and can be reused as a template for any future urban-remote-sensing project.</w:t>
      </w:r>
    </w:p>
    <w:bookmarkEnd w:id="84"/>
    <w:bookmarkStart w:id="85" w:name="limitations-and-future-work"/>
    <w:p>
      <w:pPr>
        <w:pStyle w:val="Heading2"/>
      </w:pPr>
      <w:r>
        <w:t xml:space="preserve">Limitations and future work</w:t>
      </w:r>
    </w:p>
    <w:p>
      <w:pPr>
        <w:pStyle w:val="FirstParagraph"/>
      </w:pPr>
      <w:r>
        <w:t xml:space="preserve">The current implementation has the limitations listed in Section 3.8: a validation set of only 4 (v1) or 10 (v2) tiles, a single class label that does not distinguish species, no explicit shadow modelling, an iterative DeepForest fine-tune that should be refactored into a single multi-epoch run, no quantitative SAM-vs-YOLO mask ablation, an in-memory job store with no persistence and a single-laptop deployment.</w:t>
      </w:r>
    </w:p>
    <w:p>
      <w:pPr>
        <w:pStyle w:val="BodyText"/>
      </w:pPr>
      <w:r>
        <w:t xml:space="preserve">The natural directions for future work are:</w:t>
      </w:r>
    </w:p>
    <w:p>
      <w:pPr>
        <w:numPr>
          <w:ilvl w:val="0"/>
          <w:numId w:val="1021"/>
        </w:numPr>
      </w:pPr>
      <w:r>
        <w:rPr>
          <w:b/>
          <w:bCs/>
        </w:rPr>
        <w:t xml:space="preserve">A fourth, independent detection branch</w:t>
      </w:r>
      <w:r>
        <w:t xml:space="preserve"> </w:t>
      </w:r>
      <w:r>
        <w:t xml:space="preserve">— currently in the architecture-selection phase, to be implemented and benchmarked by team member Berik Sharipov before the final defence. Candidates under consideration include a Mask R-CNN instance segmenter for a direct comparison with the YOLOv8-seg branch on identical data, an MCAN-style improved Mask R-CNN [8] for explicit benchmarking against the published state of the art, and a transformer-backbone Faster R-CNN variant [19] for a quantification of the value of attention-based feature extraction on the small Astana dataset. The fourth branch will be trained on the same YOLO polygon annotations described in Section 3.2, will follow the same tiled-inference protocol of Section 2.3, and will be evaluated on the same version-2 validation set used throughout Section 3.3.</w:t>
      </w:r>
    </w:p>
    <w:p>
      <w:pPr>
        <w:numPr>
          <w:ilvl w:val="0"/>
          <w:numId w:val="1021"/>
        </w:numPr>
      </w:pPr>
      <w:r>
        <w:rPr>
          <w:b/>
          <w:bCs/>
        </w:rPr>
        <w:t xml:space="preserve">Dataset expansion to 200 – 500 source images</w:t>
      </w:r>
      <w:r>
        <w:t xml:space="preserve">, with the explicit goal of reaching the F1 = 0.7 range demonstrated by [3] and [6] on European urban data.</w:t>
      </w:r>
    </w:p>
    <w:p>
      <w:pPr>
        <w:numPr>
          <w:ilvl w:val="0"/>
          <w:numId w:val="1021"/>
        </w:numPr>
      </w:pPr>
      <w:r>
        <w:rPr>
          <w:b/>
          <w:bCs/>
        </w:rPr>
        <w:t xml:space="preserve">Species-level annotation and a multi-class detection head</w:t>
      </w:r>
      <w:r>
        <w:t xml:space="preserve">, following the multi-task approach of [10] and the species-specific work of [18].</w:t>
      </w:r>
    </w:p>
    <w:p>
      <w:pPr>
        <w:numPr>
          <w:ilvl w:val="0"/>
          <w:numId w:val="1021"/>
        </w:numPr>
      </w:pPr>
      <w:r>
        <w:rPr>
          <w:b/>
          <w:bCs/>
        </w:rPr>
        <w:t xml:space="preserve">Sentinel-2 integration</w:t>
      </w:r>
      <w:r>
        <w:t xml:space="preserve"> </w:t>
      </w:r>
      <w:r>
        <w:t xml:space="preserve">for city-wide canopy-cover monitoring, following the methodology of [14] and the canopy-height extension of [16]. A Sentinel-2-based monitoring pipeline would complement the very-high-resolution per-tree inventory built in the present work and would allow the city to observe long-term trends in green coverage.</w:t>
      </w:r>
    </w:p>
    <w:p>
      <w:pPr>
        <w:numPr>
          <w:ilvl w:val="0"/>
          <w:numId w:val="1021"/>
        </w:numPr>
      </w:pPr>
      <w:r>
        <w:rPr>
          <w:b/>
          <w:bCs/>
        </w:rPr>
        <w:t xml:space="preserve">A persistent inventory database</w:t>
      </w:r>
      <w:r>
        <w:t xml:space="preserve"> </w:t>
      </w:r>
      <w:r>
        <w:t xml:space="preserve">that accumulates detection results over time, supports versioning of the canonical inventory and exposes a difference view (trees added, trees removed) between successive captures of the same district.</w:t>
      </w:r>
    </w:p>
    <w:p>
      <w:pPr>
        <w:numPr>
          <w:ilvl w:val="0"/>
          <w:numId w:val="1021"/>
        </w:numPr>
      </w:pPr>
      <w:r>
        <w:rPr>
          <w:b/>
          <w:bCs/>
        </w:rPr>
        <w:t xml:space="preserve">Multi-user deployment</w:t>
      </w:r>
      <w:r>
        <w:t xml:space="preserve"> </w:t>
      </w:r>
      <w:r>
        <w:t xml:space="preserve">through a containerised version of the system, with authentication and per-organisation isolation, so that</w:t>
      </w:r>
      <w:r>
        <w:t xml:space="preserve"> </w:t>
      </w:r>
      <w:r>
        <w:rPr>
          <w:i/>
          <w:iCs/>
        </w:rPr>
        <w:t xml:space="preserve">Zelenstroy</w:t>
      </w:r>
      <w:r>
        <w:t xml:space="preserve"> </w:t>
      </w:r>
      <w:r>
        <w:t xml:space="preserve">and other municipal services can adopt the tool as part of their day-to-day operations.</w:t>
      </w:r>
    </w:p>
    <w:bookmarkEnd w:id="85"/>
    <w:bookmarkStart w:id="86" w:name="closing-remark"/>
    <w:p>
      <w:pPr>
        <w:pStyle w:val="Heading2"/>
      </w:pPr>
      <w:r>
        <w:t xml:space="preserve">Closing remark</w:t>
      </w:r>
    </w:p>
    <w:p>
      <w:pPr>
        <w:pStyle w:val="FirstParagraph"/>
      </w:pPr>
      <w:r>
        <w:t xml:space="preserve">This work has demonstrated that the deep-learning techniques developed for tree detection in American forests, European cities and Asian metropolises can be adapted to the very different geographic, architectural and floristic context of a Central-Asian capital through a relatively modest annotation effort and an off-the-shelf software stack. The resulting system delivers, for the first time, a quantitative baseline for automated urban-tree detection in Astana, an open prototype that can be operated by a non-technical user from a web browser, and a reusable template for future work in the region. The combination of these three contributions defines the engineering and scientific value of the present diploma project.</w:t>
      </w:r>
    </w:p>
    <w:bookmarkEnd w:id="86"/>
    <w:bookmarkEnd w:id="87"/>
    <w:bookmarkStart w:id="88" w:name="references"/>
    <w:p>
      <w:pPr>
        <w:pStyle w:val="Heading1"/>
      </w:pPr>
      <w:r>
        <w:t xml:space="preserve">References</w:t>
      </w:r>
    </w:p>
    <w:p>
      <w:pPr>
        <w:numPr>
          <w:ilvl w:val="0"/>
          <w:numId w:val="1022"/>
        </w:numPr>
      </w:pPr>
      <w:r>
        <w:rPr>
          <w:b/>
          <w:bCs/>
        </w:rPr>
        <w:t xml:space="preserve">Weinstein B. G., Marconi S., Bohlman S., Zare A., White E.</w:t>
      </w:r>
      <w:r>
        <w:t xml:space="preserve"> </w:t>
      </w:r>
      <w:r>
        <w:t xml:space="preserve">Individual Tree-Crown Detection in RGB Imagery Using Semi-Supervised Deep Learning Neural Networks.</w:t>
      </w:r>
      <w:r>
        <w:t xml:space="preserve"> </w:t>
      </w:r>
      <w:r>
        <w:rPr>
          <w:i/>
          <w:iCs/>
        </w:rPr>
        <w:t xml:space="preserve">Remote Sensing</w:t>
      </w:r>
      <w:r>
        <w:t xml:space="preserve">, 2019, vol. 11, no. 11, art. 1309. DOI: 10.3390/rs11111309.</w:t>
      </w:r>
    </w:p>
    <w:p>
      <w:pPr>
        <w:numPr>
          <w:ilvl w:val="0"/>
          <w:numId w:val="1022"/>
        </w:numPr>
      </w:pPr>
      <w:r>
        <w:rPr>
          <w:b/>
          <w:bCs/>
        </w:rPr>
        <w:t xml:space="preserve">Abbas I., Damaševičius R.</w:t>
      </w:r>
      <w:r>
        <w:t xml:space="preserve"> </w:t>
      </w:r>
      <w:r>
        <w:t xml:space="preserve">Tree Detection in RGB Satellite Imagery Using YOLO-Based Deep Learning Models.</w:t>
      </w:r>
      <w:r>
        <w:t xml:space="preserve"> </w:t>
      </w:r>
      <w:r>
        <w:rPr>
          <w:i/>
          <w:iCs/>
        </w:rPr>
        <w:t xml:space="preserve">Computers, Materials &amp; Continua</w:t>
      </w:r>
      <w:r>
        <w:t xml:space="preserve">, 2025, vol. 85, no. 1, pp. 487–503. Kaunas University of Technology, Lithuania.</w:t>
      </w:r>
    </w:p>
    <w:p>
      <w:pPr>
        <w:numPr>
          <w:ilvl w:val="0"/>
          <w:numId w:val="1022"/>
        </w:numPr>
      </w:pPr>
      <w:r>
        <w:rPr>
          <w:b/>
          <w:bCs/>
        </w:rPr>
        <w:t xml:space="preserve">Ventura J., Pawlak C., Honsberger M., Gonsalves C., Rice J., Love N. L. R., Han S., Nguyen V., Sugano K., Doremus J., Fricker G. A., Yost J., Ritter M.</w:t>
      </w:r>
      <w:r>
        <w:t xml:space="preserve"> </w:t>
      </w:r>
      <w:r>
        <w:t xml:space="preserve">Individual Tree Detection in Large-Scale Urban Environments using High-Resolution Multispectral Imagery.</w:t>
      </w:r>
      <w:r>
        <w:t xml:space="preserve"> </w:t>
      </w:r>
      <w:r>
        <w:rPr>
          <w:i/>
          <w:iCs/>
        </w:rPr>
        <w:t xml:space="preserve">International Journal of Applied Earth Observation and Geoinformation</w:t>
      </w:r>
      <w:r>
        <w:t xml:space="preserve">, 2024, vol. 130, art. 103848.</w:t>
      </w:r>
    </w:p>
    <w:p>
      <w:pPr>
        <w:numPr>
          <w:ilvl w:val="0"/>
          <w:numId w:val="1022"/>
        </w:numPr>
      </w:pPr>
      <w:r>
        <w:rPr>
          <w:b/>
          <w:bCs/>
        </w:rPr>
        <w:t xml:space="preserve">Velasquez-Camacho L., Etxegarai M., de-Miguel S.</w:t>
      </w:r>
      <w:r>
        <w:t xml:space="preserve"> </w:t>
      </w:r>
      <w:r>
        <w:t xml:space="preserve">Implementing Deep Learning Algorithms for Urban Tree Detection and Geolocation with High-Resolution Aerial, Satellite, and Ground-Level Images.</w:t>
      </w:r>
      <w:r>
        <w:t xml:space="preserve"> </w:t>
      </w:r>
      <w:r>
        <w:rPr>
          <w:i/>
          <w:iCs/>
        </w:rPr>
        <w:t xml:space="preserve">Computers, Environment and Urban Systems</w:t>
      </w:r>
      <w:r>
        <w:t xml:space="preserve">, 2023, vol. 105, art. 102025.</w:t>
      </w:r>
    </w:p>
    <w:p>
      <w:pPr>
        <w:numPr>
          <w:ilvl w:val="0"/>
          <w:numId w:val="1022"/>
        </w:numPr>
      </w:pPr>
      <w:r>
        <w:rPr>
          <w:b/>
          <w:bCs/>
        </w:rPr>
        <w:t xml:space="preserve">Velasquez-Camacho L., van Doorn N., Preisler H., Etxegarai M., Alas O., Gonzalez Castro J. M., de-Miguel S.</w:t>
      </w:r>
      <w:r>
        <w:t xml:space="preserve"> </w:t>
      </w:r>
      <w:r>
        <w:t xml:space="preserve">Monitoring Temporal Changes in Large Urban Street Trees Using Remote Sensing and Deep Learning.</w:t>
      </w:r>
      <w:r>
        <w:t xml:space="preserve"> </w:t>
      </w:r>
      <w:r>
        <w:rPr>
          <w:i/>
          <w:iCs/>
        </w:rPr>
        <w:t xml:space="preserve">PLOS ONE</w:t>
      </w:r>
      <w:r>
        <w:t xml:space="preserve">, 2025, vol. 20, no. 6, art. e0326562.</w:t>
      </w:r>
    </w:p>
    <w:p>
      <w:pPr>
        <w:numPr>
          <w:ilvl w:val="0"/>
          <w:numId w:val="1022"/>
        </w:numPr>
      </w:pPr>
      <w:r>
        <w:rPr>
          <w:b/>
          <w:bCs/>
        </w:rPr>
        <w:t xml:space="preserve">Dakov V., Petrova-Antonova D.</w:t>
      </w:r>
      <w:r>
        <w:t xml:space="preserve"> </w:t>
      </w:r>
      <w:r>
        <w:t xml:space="preserve">Urban Tree Detection from Remote Sensing Data Based on DeepForest Model.</w:t>
      </w:r>
      <w:r>
        <w:t xml:space="preserve"> </w:t>
      </w:r>
      <w:r>
        <w:rPr>
          <w:i/>
          <w:iCs/>
        </w:rPr>
        <w:t xml:space="preserve">ISPRS Annals of the Photogrammetry, Remote Sensing and Spatial Information Sciences</w:t>
      </w:r>
      <w:r>
        <w:t xml:space="preserve">, 2024, vol. X-4/W4, pp. 35–42. Delft University of Technology / GATE Institute, Sofia University.</w:t>
      </w:r>
    </w:p>
    <w:p>
      <w:pPr>
        <w:numPr>
          <w:ilvl w:val="0"/>
          <w:numId w:val="1022"/>
        </w:numPr>
      </w:pPr>
      <w:r>
        <w:rPr>
          <w:b/>
          <w:bCs/>
        </w:rPr>
        <w:t xml:space="preserve">Sun Z.</w:t>
      </w:r>
      <w:r>
        <w:t xml:space="preserve"> </w:t>
      </w:r>
      <w:r>
        <w:t xml:space="preserve">YOLO Models for Instance Segmentation of Individual Tree Crowns from Aerial Imagery in Wellington. PhD Thesis. Victoria University of Wellington, 2025.</w:t>
      </w:r>
    </w:p>
    <w:p>
      <w:pPr>
        <w:numPr>
          <w:ilvl w:val="0"/>
          <w:numId w:val="1022"/>
        </w:numPr>
      </w:pPr>
      <w:r>
        <w:rPr>
          <w:b/>
          <w:bCs/>
        </w:rPr>
        <w:t xml:space="preserve">Lv L., Li X., Mao F., Zhou L., Xuan J., Zhao Y., Yu J., Song M., Huang L., Du H.</w:t>
      </w:r>
      <w:r>
        <w:t xml:space="preserve"> </w:t>
      </w:r>
      <w:r>
        <w:t xml:space="preserve">A Deep Learning Network for Individual Tree Segmentation in UAV Images with a Coupled CSPNet and Attention Mechanism.</w:t>
      </w:r>
      <w:r>
        <w:t xml:space="preserve"> </w:t>
      </w:r>
      <w:r>
        <w:rPr>
          <w:i/>
          <w:iCs/>
        </w:rPr>
        <w:t xml:space="preserve">Remote Sensing</w:t>
      </w:r>
      <w:r>
        <w:t xml:space="preserve">, 2023, vol. 15, no. 17, art. 4420.</w:t>
      </w:r>
    </w:p>
    <w:p>
      <w:pPr>
        <w:numPr>
          <w:ilvl w:val="0"/>
          <w:numId w:val="1022"/>
        </w:numPr>
      </w:pPr>
      <w:r>
        <w:rPr>
          <w:b/>
          <w:bCs/>
        </w:rPr>
        <w:t xml:space="preserve">Wang Z., Fan C., Xian M.</w:t>
      </w:r>
      <w:r>
        <w:t xml:space="preserve"> </w:t>
      </w:r>
      <w:r>
        <w:t xml:space="preserve">Application and Evaluation of a Deep Learning Architecture to Urban Tree Canopy Mapping.</w:t>
      </w:r>
      <w:r>
        <w:t xml:space="preserve"> </w:t>
      </w:r>
      <w:r>
        <w:rPr>
          <w:i/>
          <w:iCs/>
        </w:rPr>
        <w:t xml:space="preserve">Remote Sensing</w:t>
      </w:r>
      <w:r>
        <w:t xml:space="preserve">, 2021, vol. 13, no. 9, art. 1749. University of Idaho.</w:t>
      </w:r>
    </w:p>
    <w:p>
      <w:pPr>
        <w:numPr>
          <w:ilvl w:val="0"/>
          <w:numId w:val="1022"/>
        </w:numPr>
      </w:pPr>
      <w:r>
        <w:rPr>
          <w:b/>
          <w:bCs/>
        </w:rPr>
        <w:t xml:space="preserve">Martins J. A. C., Nogueira K., Osco L. P., Gomes F. D. G., Furuya D. E. G., Gonçalves W. N., Sant’Ana D. A., Marques Ramos A. P., Liesenberg V., dos Santos J. A., de Oliveira P. T. S., Marcato Junior J.</w:t>
      </w:r>
      <w:r>
        <w:t xml:space="preserve"> </w:t>
      </w:r>
      <w:r>
        <w:t xml:space="preserve">Semantic Segmentation of Tree-Canopy in Urban Environment with Pixel-Wise Deep Learning.</w:t>
      </w:r>
      <w:r>
        <w:t xml:space="preserve"> </w:t>
      </w:r>
      <w:r>
        <w:rPr>
          <w:i/>
          <w:iCs/>
        </w:rPr>
        <w:t xml:space="preserve">Remote Sensing</w:t>
      </w:r>
      <w:r>
        <w:t xml:space="preserve">, 2021, vol. 13, no. 16, art. 3054.</w:t>
      </w:r>
    </w:p>
    <w:p>
      <w:pPr>
        <w:numPr>
          <w:ilvl w:val="0"/>
          <w:numId w:val="1022"/>
        </w:numPr>
      </w:pPr>
      <w:r>
        <w:rPr>
          <w:b/>
          <w:bCs/>
        </w:rPr>
        <w:t xml:space="preserve">dos Santos A. A., Marcato Junior J., Araújo M. S., Di Martini D. R., Tetila E. C., Siqueira H. L., Aoki C., Eltner A., Matsubara E. T., Pistori H., Feitosa R. Q., Liesenberg V., Gonçalves W. N.</w:t>
      </w:r>
      <w:r>
        <w:t xml:space="preserve"> </w:t>
      </w:r>
      <w:r>
        <w:t xml:space="preserve">Assessment of CNN-Based Methods for Individual Tree Detection on Images Captured by RGB Cameras Attached to UAVs.</w:t>
      </w:r>
      <w:r>
        <w:t xml:space="preserve"> </w:t>
      </w:r>
      <w:r>
        <w:rPr>
          <w:i/>
          <w:iCs/>
        </w:rPr>
        <w:t xml:space="preserve">Sensors</w:t>
      </w:r>
      <w:r>
        <w:t xml:space="preserve">, 2019, vol. 19, no. 16, art. 3595.</w:t>
      </w:r>
    </w:p>
    <w:p>
      <w:pPr>
        <w:numPr>
          <w:ilvl w:val="0"/>
          <w:numId w:val="1022"/>
        </w:numPr>
      </w:pPr>
      <w:r>
        <w:rPr>
          <w:b/>
          <w:bCs/>
        </w:rPr>
        <w:t xml:space="preserve">Zheng Y., Wu G.</w:t>
      </w:r>
      <w:r>
        <w:t xml:space="preserve"> </w:t>
      </w:r>
      <w:r>
        <w:t xml:space="preserve">YOLOv4-Lite-Based Urban Plantation Tree Detection and Positioning with High-Resolution Remote Sensing Imagery.</w:t>
      </w:r>
      <w:r>
        <w:t xml:space="preserve"> </w:t>
      </w:r>
      <w:r>
        <w:rPr>
          <w:i/>
          <w:iCs/>
        </w:rPr>
        <w:t xml:space="preserve">Frontiers in Environmental Science</w:t>
      </w:r>
      <w:r>
        <w:t xml:space="preserve">, 2022, vol. 9, art. 756227. Beijing Forestry University.</w:t>
      </w:r>
    </w:p>
    <w:p>
      <w:pPr>
        <w:numPr>
          <w:ilvl w:val="0"/>
          <w:numId w:val="1022"/>
        </w:numPr>
      </w:pPr>
      <w:r>
        <w:rPr>
          <w:b/>
          <w:bCs/>
        </w:rPr>
        <w:t xml:space="preserve">Xia K., Wang H., Yang Y., Du X., Feng H.</w:t>
      </w:r>
      <w:r>
        <w:t xml:space="preserve"> </w:t>
      </w:r>
      <w:r>
        <w:t xml:space="preserve">Automatic Detection and Parameter Estimation of Ginkgo biloba in Urban Environment Based on RGB Images.</w:t>
      </w:r>
      <w:r>
        <w:t xml:space="preserve"> </w:t>
      </w:r>
      <w:r>
        <w:rPr>
          <w:i/>
          <w:iCs/>
        </w:rPr>
        <w:t xml:space="preserve">Journal of Sensors</w:t>
      </w:r>
      <w:r>
        <w:t xml:space="preserve">, 2021, vol. 2021, art. ID 6668934. DOI: 10.1155/2021/6668934.</w:t>
      </w:r>
    </w:p>
    <w:p>
      <w:pPr>
        <w:numPr>
          <w:ilvl w:val="0"/>
          <w:numId w:val="1022"/>
        </w:numPr>
      </w:pPr>
      <w:r>
        <w:rPr>
          <w:b/>
          <w:bCs/>
        </w:rPr>
        <w:t xml:space="preserve">He D., Shi Q., Liu X., Zhong Y., Zhang L.</w:t>
      </w:r>
      <w:r>
        <w:t xml:space="preserve"> </w:t>
      </w:r>
      <w:r>
        <w:t xml:space="preserve">Generating 2 m Fine-Scale Urban Tree Cover Product over 34 Metropolises in China Based on Deep Context-Aware Sub-Pixel Mapping Network.</w:t>
      </w:r>
      <w:r>
        <w:t xml:space="preserve"> </w:t>
      </w:r>
      <w:r>
        <w:rPr>
          <w:i/>
          <w:iCs/>
        </w:rPr>
        <w:t xml:space="preserve">International Journal of Applied Earth Observation and Geoinformation</w:t>
      </w:r>
      <w:r>
        <w:t xml:space="preserve">, 2022, vol. 106, art. 102667.</w:t>
      </w:r>
    </w:p>
    <w:p>
      <w:pPr>
        <w:numPr>
          <w:ilvl w:val="0"/>
          <w:numId w:val="1022"/>
        </w:numPr>
      </w:pPr>
      <w:r>
        <w:rPr>
          <w:b/>
          <w:bCs/>
        </w:rPr>
        <w:t xml:space="preserve">He S., Du H., Zhou G., Li X., Mao F., Zhu D., Xu Y., Zhang M., Huang Z., Liu H., Luo X.</w:t>
      </w:r>
      <w:r>
        <w:t xml:space="preserve"> </w:t>
      </w:r>
      <w:r>
        <w:t xml:space="preserve">Intelligent Mapping of Urban Forests from High-Resolution Remotely Sensed Imagery Using Object-Based U-Net-DenseNet-Coupled Network.</w:t>
      </w:r>
      <w:r>
        <w:t xml:space="preserve"> </w:t>
      </w:r>
      <w:r>
        <w:rPr>
          <w:i/>
          <w:iCs/>
        </w:rPr>
        <w:t xml:space="preserve">Remote Sensing</w:t>
      </w:r>
      <w:r>
        <w:t xml:space="preserve">, 2020, vol. 12, no. 23, art. 3928.</w:t>
      </w:r>
    </w:p>
    <w:p>
      <w:pPr>
        <w:numPr>
          <w:ilvl w:val="0"/>
          <w:numId w:val="1022"/>
        </w:numPr>
      </w:pPr>
      <w:r>
        <w:rPr>
          <w:b/>
          <w:bCs/>
        </w:rPr>
        <w:t xml:space="preserve">Xu N., Dong Y., Zi J., Xia Y., Xu F., Mou C., Chen F.</w:t>
      </w:r>
      <w:r>
        <w:t xml:space="preserve"> </w:t>
      </w:r>
      <w:r>
        <w:t xml:space="preserve">Mapping of Urban Forest Canopy Height through Diffusion-Enhanced Deep Learning Using Sentinel-2 and Urban Geospatial Data.</w:t>
      </w:r>
      <w:r>
        <w:t xml:space="preserve"> </w:t>
      </w:r>
      <w:r>
        <w:rPr>
          <w:i/>
          <w:iCs/>
        </w:rPr>
        <w:t xml:space="preserve">International Journal of Digital Earth</w:t>
      </w:r>
      <w:r>
        <w:t xml:space="preserve">, 2025, vol. 18.</w:t>
      </w:r>
    </w:p>
    <w:p>
      <w:pPr>
        <w:numPr>
          <w:ilvl w:val="0"/>
          <w:numId w:val="1022"/>
        </w:numPr>
      </w:pPr>
      <w:r>
        <w:rPr>
          <w:b/>
          <w:bCs/>
        </w:rPr>
        <w:t xml:space="preserve">Awad M. M., Lauteri M.</w:t>
      </w:r>
      <w:r>
        <w:t xml:space="preserve"> </w:t>
      </w:r>
      <w:r>
        <w:t xml:space="preserve">Self-Organizing Deep Learning (SO-UNet) — A Novel Framework to Classify Urban and Peri-Urban Forests.</w:t>
      </w:r>
      <w:r>
        <w:t xml:space="preserve"> </w:t>
      </w:r>
      <w:r>
        <w:rPr>
          <w:i/>
          <w:iCs/>
        </w:rPr>
        <w:t xml:space="preserve">Sustainability</w:t>
      </w:r>
      <w:r>
        <w:t xml:space="preserve">, 2021, vol. 13, no. 10, art. 5548.</w:t>
      </w:r>
    </w:p>
    <w:p>
      <w:pPr>
        <w:numPr>
          <w:ilvl w:val="0"/>
          <w:numId w:val="1022"/>
        </w:numPr>
      </w:pPr>
      <w:r>
        <w:rPr>
          <w:b/>
          <w:bCs/>
        </w:rPr>
        <w:t xml:space="preserve">Branson S., Wegner J. D., Hall D., Lang N., Schindler K., Perona P.</w:t>
      </w:r>
      <w:r>
        <w:t xml:space="preserve"> </w:t>
      </w:r>
      <w:r>
        <w:t xml:space="preserve">From Google Maps to a Fine-Grained Catalog of Street Trees.</w:t>
      </w:r>
      <w:r>
        <w:t xml:space="preserve"> </w:t>
      </w:r>
      <w:r>
        <w:rPr>
          <w:i/>
          <w:iCs/>
        </w:rPr>
        <w:t xml:space="preserve">ISPRS Journal of Photogrammetry and Remote Sensing</w:t>
      </w:r>
      <w:r>
        <w:t xml:space="preserve">, 2018, vol. 135, pp. 13–30.</w:t>
      </w:r>
    </w:p>
    <w:p>
      <w:pPr>
        <w:numPr>
          <w:ilvl w:val="0"/>
          <w:numId w:val="1022"/>
        </w:numPr>
      </w:pPr>
      <w:r>
        <w:rPr>
          <w:b/>
          <w:bCs/>
        </w:rPr>
        <w:t xml:space="preserve">Zhang L., Lin H., Wang F.</w:t>
      </w:r>
      <w:r>
        <w:t xml:space="preserve"> </w:t>
      </w:r>
      <w:r>
        <w:t xml:space="preserve">Individual Tree Detection Based on High-Resolution RGB Images for Urban Forestry Applications.</w:t>
      </w:r>
      <w:r>
        <w:t xml:space="preserve"> </w:t>
      </w:r>
      <w:r>
        <w:rPr>
          <w:i/>
          <w:iCs/>
        </w:rPr>
        <w:t xml:space="preserve">IEEE Access</w:t>
      </w:r>
      <w:r>
        <w:t xml:space="preserve">, 2022, vol. 10, pp. 50642–50653. DOI: 10.1109/ACCESS.2022.3171585.</w:t>
      </w:r>
    </w:p>
    <w:p>
      <w:pPr>
        <w:numPr>
          <w:ilvl w:val="0"/>
          <w:numId w:val="1022"/>
        </w:numPr>
      </w:pPr>
      <w:r>
        <w:rPr>
          <w:b/>
          <w:bCs/>
        </w:rPr>
        <w:t xml:space="preserve">Zhang H., Liu S.</w:t>
      </w:r>
      <w:r>
        <w:t xml:space="preserve"> </w:t>
      </w:r>
      <w:r>
        <w:t xml:space="preserve">Double-Branch Multi-Scale Contextual Network: A Model for Multi-Scale Street Tree Segmentation in High-Resolution Remote Sensing Images.</w:t>
      </w:r>
      <w:r>
        <w:t xml:space="preserve"> </w:t>
      </w:r>
      <w:r>
        <w:rPr>
          <w:i/>
          <w:iCs/>
        </w:rPr>
        <w:t xml:space="preserve">Sensors</w:t>
      </w:r>
      <w:r>
        <w:t xml:space="preserve">, 2024, vol. 24, no. 4, art. 1110.</w:t>
      </w:r>
    </w:p>
    <w:p>
      <w:pPr>
        <w:numPr>
          <w:ilvl w:val="0"/>
          <w:numId w:val="1022"/>
        </w:numPr>
      </w:pPr>
      <w:r>
        <w:rPr>
          <w:b/>
          <w:bCs/>
        </w:rPr>
        <w:t xml:space="preserve">Chen J., Shao S., Zhu Y., Wang Y., Rao F., Dai X., Lai D.</w:t>
      </w:r>
      <w:r>
        <w:t xml:space="preserve"> </w:t>
      </w:r>
      <w:r>
        <w:t xml:space="preserve">Enhanced Automatic Identification of Urban Community Green Space Based on Semantic Segmentation.</w:t>
      </w:r>
      <w:r>
        <w:t xml:space="preserve"> </w:t>
      </w:r>
      <w:r>
        <w:rPr>
          <w:i/>
          <w:iCs/>
        </w:rPr>
        <w:t xml:space="preserve">Land</w:t>
      </w:r>
      <w:r>
        <w:t xml:space="preserve">, 2022, vol. 11, no. 6, art. 905.</w:t>
      </w:r>
    </w:p>
    <w:p>
      <w:pPr>
        <w:numPr>
          <w:ilvl w:val="0"/>
          <w:numId w:val="1022"/>
        </w:numPr>
      </w:pPr>
      <w:r>
        <w:rPr>
          <w:b/>
          <w:bCs/>
        </w:rPr>
        <w:t xml:space="preserve">Chen S., Chen M., Zhao B., Mao T., Wu J., Bao W.</w:t>
      </w:r>
      <w:r>
        <w:t xml:space="preserve"> </w:t>
      </w:r>
      <w:r>
        <w:t xml:space="preserve">Urban Tree Canopy Mapping Based on Double-Branch Convolutional Neural Network and Multi-Temporal High Spatial Resolution Satellite Imagery.</w:t>
      </w:r>
      <w:r>
        <w:t xml:space="preserve"> </w:t>
      </w:r>
      <w:r>
        <w:rPr>
          <w:i/>
          <w:iCs/>
        </w:rPr>
        <w:t xml:space="preserve">Remote Sensing</w:t>
      </w:r>
      <w:r>
        <w:t xml:space="preserve">, 2023, vol. 15, no. 3, art. 765.</w:t>
      </w:r>
    </w:p>
    <w:p>
      <w:pPr>
        <w:numPr>
          <w:ilvl w:val="0"/>
          <w:numId w:val="1022"/>
        </w:numPr>
      </w:pPr>
      <w:r>
        <w:rPr>
          <w:b/>
          <w:bCs/>
        </w:rPr>
        <w:t xml:space="preserve">Schmohl S., Narváez Vallejo A., Soergel U.</w:t>
      </w:r>
      <w:r>
        <w:t xml:space="preserve"> </w:t>
      </w:r>
      <w:r>
        <w:t xml:space="preserve">Individual Tree Detection in Urban ALS Point Clouds with 3D Convolutional Networks.</w:t>
      </w:r>
      <w:r>
        <w:t xml:space="preserve"> </w:t>
      </w:r>
      <w:r>
        <w:rPr>
          <w:i/>
          <w:iCs/>
        </w:rPr>
        <w:t xml:space="preserve">Remote Sensing</w:t>
      </w:r>
      <w:r>
        <w:t xml:space="preserve">, 2022, vol. 14, no. 6, art. 1317.</w:t>
      </w:r>
    </w:p>
    <w:p>
      <w:pPr>
        <w:numPr>
          <w:ilvl w:val="0"/>
          <w:numId w:val="1022"/>
        </w:numPr>
      </w:pPr>
      <w:r>
        <w:rPr>
          <w:b/>
          <w:bCs/>
        </w:rPr>
        <w:t xml:space="preserve">Huerta R. E., Yépez F. D., Lozano-García D. F., Guerra Cobián V. H., Ferriño Fierro A. L., de León Gómez H., Cavazos González R. A., Vargas-Martínez A.</w:t>
      </w:r>
      <w:r>
        <w:t xml:space="preserve"> </w:t>
      </w:r>
      <w:r>
        <w:t xml:space="preserve">Mapping Urban Green Spaces at the Metropolitan Level Using Very High Resolution Satellite Imagery and Deep Learning Techniques for Semantic Segmentation.</w:t>
      </w:r>
      <w:r>
        <w:t xml:space="preserve"> </w:t>
      </w:r>
      <w:r>
        <w:rPr>
          <w:i/>
          <w:iCs/>
        </w:rPr>
        <w:t xml:space="preserve">Remote Sensing</w:t>
      </w:r>
      <w:r>
        <w:t xml:space="preserve">, 2021, vol. 13, no. 11, art. 2031.</w:t>
      </w:r>
    </w:p>
    <w:p>
      <w:pPr>
        <w:numPr>
          <w:ilvl w:val="0"/>
          <w:numId w:val="1022"/>
        </w:numPr>
      </w:pPr>
      <w:r>
        <w:rPr>
          <w:b/>
          <w:bCs/>
        </w:rPr>
        <w:t xml:space="preserve">Kirillov A., Mintun E., Ravi N., Mao H., Rolland C., Gustafson L., Xiao T., Whitehead S., Berg A. C., Lo W.-Y., Dollár P., Girshick R.</w:t>
      </w:r>
      <w:r>
        <w:t xml:space="preserve"> </w:t>
      </w:r>
      <w:r>
        <w:t xml:space="preserve">Segment Anything.</w:t>
      </w:r>
      <w:r>
        <w:t xml:space="preserve"> </w:t>
      </w:r>
      <w:r>
        <w:rPr>
          <w:i/>
          <w:iCs/>
        </w:rPr>
        <w:t xml:space="preserve">Proceedings of the IEEE/CVF International Conference on Computer Vision (ICCV)</w:t>
      </w:r>
      <w:r>
        <w:t xml:space="preserve">, 2023, pp. 4015–4026.</w:t>
      </w:r>
    </w:p>
    <w:p>
      <w:pPr>
        <w:numPr>
          <w:ilvl w:val="0"/>
          <w:numId w:val="1022"/>
        </w:numPr>
      </w:pPr>
      <w:r>
        <w:rPr>
          <w:b/>
          <w:bCs/>
        </w:rPr>
        <w:t xml:space="preserve">Solovyev R., Wang W., Gabruseva T.</w:t>
      </w:r>
      <w:r>
        <w:t xml:space="preserve"> </w:t>
      </w:r>
      <w:r>
        <w:t xml:space="preserve">Weighted Boxes Fusion: Ensembling Boxes from Different Object Detection Models.</w:t>
      </w:r>
      <w:r>
        <w:t xml:space="preserve"> </w:t>
      </w:r>
      <w:r>
        <w:rPr>
          <w:i/>
          <w:iCs/>
        </w:rPr>
        <w:t xml:space="preserve">Image and Vision Computing</w:t>
      </w:r>
      <w:r>
        <w:t xml:space="preserve">, 2021, vol. 107, art. 104117.</w:t>
      </w:r>
    </w:p>
    <w:p>
      <w:pPr>
        <w:numPr>
          <w:ilvl w:val="0"/>
          <w:numId w:val="1022"/>
        </w:numPr>
      </w:pPr>
      <w:r>
        <w:rPr>
          <w:b/>
          <w:bCs/>
        </w:rPr>
        <w:t xml:space="preserve">Ren S., He K., Girshick R., Sun J.</w:t>
      </w:r>
      <w:r>
        <w:t xml:space="preserve"> </w:t>
      </w:r>
      <w:r>
        <w:t xml:space="preserve">Faster R-CNN: Towards Real-Time Object Detection with Region Proposal Networks.</w:t>
      </w:r>
      <w:r>
        <w:t xml:space="preserve"> </w:t>
      </w:r>
      <w:r>
        <w:rPr>
          <w:i/>
          <w:iCs/>
        </w:rPr>
        <w:t xml:space="preserve">IEEE Transactions on Pattern Analysis and Machine Intelligence</w:t>
      </w:r>
      <w:r>
        <w:t xml:space="preserve">, 2017, vol. 39, no. 6, pp. 1137–1149.</w:t>
      </w:r>
    </w:p>
    <w:p>
      <w:pPr>
        <w:numPr>
          <w:ilvl w:val="0"/>
          <w:numId w:val="1022"/>
        </w:numPr>
      </w:pPr>
      <w:r>
        <w:rPr>
          <w:b/>
          <w:bCs/>
        </w:rPr>
        <w:t xml:space="preserve">He K., Gkioxari G., Dollár P., Girshick R.</w:t>
      </w:r>
      <w:r>
        <w:t xml:space="preserve"> </w:t>
      </w:r>
      <w:r>
        <w:t xml:space="preserve">Mask R-CNN.</w:t>
      </w:r>
      <w:r>
        <w:t xml:space="preserve"> </w:t>
      </w:r>
      <w:r>
        <w:rPr>
          <w:i/>
          <w:iCs/>
        </w:rPr>
        <w:t xml:space="preserve">Proceedings of the IEEE International Conference on Computer Vision (ICCV)</w:t>
      </w:r>
      <w:r>
        <w:t xml:space="preserve">, 2017, pp. 2961–2969.</w:t>
      </w:r>
    </w:p>
    <w:p>
      <w:pPr>
        <w:numPr>
          <w:ilvl w:val="0"/>
          <w:numId w:val="1022"/>
        </w:numPr>
      </w:pPr>
      <w:r>
        <w:rPr>
          <w:b/>
          <w:bCs/>
        </w:rPr>
        <w:t xml:space="preserve">Lin T.-Y., Goyal P., Girshick R., He K., Dollár P.</w:t>
      </w:r>
      <w:r>
        <w:t xml:space="preserve"> </w:t>
      </w:r>
      <w:r>
        <w:t xml:space="preserve">Focal Loss for Dense Object Detection.</w:t>
      </w:r>
      <w:r>
        <w:t xml:space="preserve"> </w:t>
      </w:r>
      <w:r>
        <w:rPr>
          <w:i/>
          <w:iCs/>
        </w:rPr>
        <w:t xml:space="preserve">Proceedings of the IEEE International Conference on Computer Vision (ICCV)</w:t>
      </w:r>
      <w:r>
        <w:t xml:space="preserve">, 2017, pp. 2980–2988.</w:t>
      </w:r>
    </w:p>
    <w:p>
      <w:pPr>
        <w:numPr>
          <w:ilvl w:val="0"/>
          <w:numId w:val="1022"/>
        </w:numPr>
      </w:pPr>
      <w:r>
        <w:rPr>
          <w:b/>
          <w:bCs/>
        </w:rPr>
        <w:t xml:space="preserve">Redmon J., Divvala S., Girshick R., Farhadi A.</w:t>
      </w:r>
      <w:r>
        <w:t xml:space="preserve"> </w:t>
      </w:r>
      <w:r>
        <w:t xml:space="preserve">You Only Look Once: Unified, Real-Time Object Detection.</w:t>
      </w:r>
      <w:r>
        <w:t xml:space="preserve"> </w:t>
      </w:r>
      <w:r>
        <w:rPr>
          <w:i/>
          <w:iCs/>
        </w:rPr>
        <w:t xml:space="preserve">Proceedings of the IEEE Conference on Computer Vision and Pattern Recognition (CVPR)</w:t>
      </w:r>
      <w:r>
        <w:t xml:space="preserve">, 2016, pp. 779–788.</w:t>
      </w:r>
    </w:p>
    <w:p>
      <w:pPr>
        <w:numPr>
          <w:ilvl w:val="0"/>
          <w:numId w:val="1022"/>
        </w:numPr>
      </w:pPr>
      <w:r>
        <w:rPr>
          <w:b/>
          <w:bCs/>
        </w:rPr>
        <w:t xml:space="preserve">Ronneberger O., Fischer P., Brox T.</w:t>
      </w:r>
      <w:r>
        <w:t xml:space="preserve"> </w:t>
      </w:r>
      <w:r>
        <w:t xml:space="preserve">U-Net: Convolutional Networks for Biomedical Image Segmentation.</w:t>
      </w:r>
      <w:r>
        <w:t xml:space="preserve"> </w:t>
      </w:r>
      <w:r>
        <w:rPr>
          <w:i/>
          <w:iCs/>
        </w:rPr>
        <w:t xml:space="preserve">Medical Image Computing and Computer-Assisted Intervention — MICCAI 2015</w:t>
      </w:r>
      <w:r>
        <w:t xml:space="preserve">, vol. 9351, pp. 234–241.</w:t>
      </w:r>
    </w:p>
    <w:p>
      <w:pPr>
        <w:numPr>
          <w:ilvl w:val="0"/>
          <w:numId w:val="1022"/>
        </w:numPr>
      </w:pPr>
      <w:r>
        <w:rPr>
          <w:b/>
          <w:bCs/>
        </w:rPr>
        <w:t xml:space="preserve">Jocher G., Chaurasia A., Qiu J.</w:t>
      </w:r>
      <w:r>
        <w:t xml:space="preserve"> </w:t>
      </w:r>
      <w:r>
        <w:t xml:space="preserve">Ultralytics YOLOv8. GitHub repository, 2023. Available at: https://github.com/ultralytics/ultralytics (last accessed: 13 May 2026).</w:t>
      </w:r>
    </w:p>
    <w:p>
      <w:pPr>
        <w:numPr>
          <w:ilvl w:val="0"/>
          <w:numId w:val="1022"/>
        </w:numPr>
      </w:pPr>
      <w:r>
        <w:rPr>
          <w:b/>
          <w:bCs/>
        </w:rPr>
        <w:t xml:space="preserve">Timilsina S., Aryal J., Kirkpatrick J. B.</w:t>
      </w:r>
      <w:r>
        <w:t xml:space="preserve"> </w:t>
      </w:r>
      <w:r>
        <w:t xml:space="preserve">Mapping Urban Tree Cover Changes Using Object-Based Convolution Neural Network (OB-CNN).</w:t>
      </w:r>
      <w:r>
        <w:t xml:space="preserve"> </w:t>
      </w:r>
      <w:r>
        <w:rPr>
          <w:i/>
          <w:iCs/>
        </w:rPr>
        <w:t xml:space="preserve">Remote Sensing</w:t>
      </w:r>
      <w:r>
        <w:t xml:space="preserve">, 2020, vol. 12, no. 18, art. 3017.</w:t>
      </w:r>
    </w:p>
    <w:p>
      <w:pPr>
        <w:numPr>
          <w:ilvl w:val="0"/>
          <w:numId w:val="1022"/>
        </w:numPr>
      </w:pPr>
      <w:r>
        <w:rPr>
          <w:b/>
          <w:bCs/>
        </w:rPr>
        <w:t xml:space="preserve">Chen Y., Weng Q., Tang L., Liu Q., Zhang X., Bilal M.</w:t>
      </w:r>
      <w:r>
        <w:t xml:space="preserve"> </w:t>
      </w:r>
      <w:r>
        <w:t xml:space="preserve">Automatic Mapping of Urban Green Spaces Using a Geospatial Neural Network.</w:t>
      </w:r>
      <w:r>
        <w:t xml:space="preserve"> </w:t>
      </w:r>
      <w:r>
        <w:rPr>
          <w:i/>
          <w:iCs/>
        </w:rPr>
        <w:t xml:space="preserve">GIScience &amp; Remote Sensing</w:t>
      </w:r>
      <w:r>
        <w:t xml:space="preserve">, 2021, vol. 58, no. 4, pp. 624–642.</w:t>
      </w:r>
    </w:p>
    <w:p>
      <w:pPr>
        <w:numPr>
          <w:ilvl w:val="0"/>
          <w:numId w:val="1022"/>
        </w:numPr>
      </w:pPr>
      <w:r>
        <w:rPr>
          <w:b/>
          <w:bCs/>
        </w:rPr>
        <w:t xml:space="preserve">Dong T., Shen Y., Zhang J., Ye Y., Fan J.</w:t>
      </w:r>
      <w:r>
        <w:t xml:space="preserve"> </w:t>
      </w:r>
      <w:r>
        <w:t xml:space="preserve">Progressive Cascaded Convolutional Neural Networks for Single Tree Detection with Google Earth Imagery.</w:t>
      </w:r>
      <w:r>
        <w:t xml:space="preserve"> </w:t>
      </w:r>
      <w:r>
        <w:rPr>
          <w:i/>
          <w:iCs/>
        </w:rPr>
        <w:t xml:space="preserve">Remote Sensing</w:t>
      </w:r>
      <w:r>
        <w:t xml:space="preserve">, 2019, vol. 11, no. 15, art. 1786.</w:t>
      </w:r>
    </w:p>
    <w:bookmarkEnd w:id="88"/>
    <w:sectPr w:rsidR="00FC693F" w:rsidRPr="0006063C" w:rsidSect="00034616">
      <w:footerReference r:id="rId9" w:type="default"/>
      <w:pgSz w:h="16838" w:w="11906"/>
      <w:pgMar w:bottom="1417" w:footer="850" w:gutter="0" w:header="85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jc w:val="both"/>
    </w:pPr>
    <w:rPr>
      <w:rFonts w:ascii="Times New Roman" w:cs="Times New Roman" w:eastAsia="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360" w:line="276" w:lineRule="auto"/>
      <w:jc w:val="left"/>
      <w:outlineLvl w:val="0"/>
    </w:pPr>
    <w:rPr>
      <w:rFonts w:ascii="Times New Roman" w:asciiTheme="majorHAnsi" w:cs="Times New Roman" w:cstheme="majorBidi" w:eastAsia="Times New Roman" w:eastAsiaTheme="majorEastAsia" w:hAnsi="Times New Roman" w:hAnsiTheme="majorHAnsi"/>
      <w:b/>
      <w:bCs/>
      <w:i w:val="0"/>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60" w:before="280" w:line="276" w:lineRule="auto"/>
      <w:outlineLvl w:val="1"/>
    </w:pPr>
    <w:rPr>
      <w:rFonts w:ascii="Times New Roman" w:asciiTheme="majorHAnsi" w:cs="Times New Roman" w:cstheme="majorBidi" w:eastAsia="Times New Roman" w:eastAsiaTheme="majorEastAsia" w:hAnsi="Times New Roman" w:hAnsiTheme="majorHAnsi"/>
      <w:b/>
      <w:bCs/>
      <w:i w:val="0"/>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200" w:line="276" w:lineRule="auto"/>
      <w:outlineLvl w:val="2"/>
    </w:pPr>
    <w:rPr>
      <w:rFonts w:ascii="Times New Roman" w:asciiTheme="majorHAnsi" w:cs="Times New Roman" w:cstheme="majorBidi" w:eastAsia="Times New Roman" w:eastAsiaTheme="majorEastAsia" w:hAnsi="Times New Roman" w:hAnsiTheme="majorHAnsi"/>
      <w:b/>
      <w:bCs/>
      <w:i w:val="0"/>
      <w:color w:themeColor="accent1" w:val="4F81BD"/>
      <w:sz w:val="26"/>
    </w:rPr>
  </w:style>
  <w:style w:styleId="Heading4" w:type="paragraph">
    <w:name w:val="heading 4"/>
    <w:basedOn w:val="Normal"/>
    <w:next w:val="Normal"/>
    <w:link w:val="Heading4Char"/>
    <w:uiPriority w:val="9"/>
    <w:semiHidden/>
    <w:unhideWhenUsed/>
    <w:qFormat/>
    <w:rsid w:val="00FC693F"/>
    <w:pPr>
      <w:keepNext/>
      <w:keepLines/>
      <w:spacing w:after="80" w:before="160" w:line="276" w:lineRule="auto"/>
      <w:outlineLvl w:val="3"/>
    </w:pPr>
    <w:rPr>
      <w:rFonts w:ascii="Times New Roman" w:asciiTheme="majorHAnsi" w:cs="Times New Roman" w:cstheme="majorBidi" w:eastAsia="Times New Roman"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480" w:before="0" w:line="276" w:lineRule="auto"/>
      <w:contextualSpacing/>
      <w:jc w:val="center"/>
    </w:pPr>
    <w:rPr>
      <w:rFonts w:ascii="Times New Roman" w:asciiTheme="majorHAnsi" w:cs="Times New Roman" w:cstheme="majorBidi" w:eastAsia="Times New Roman" w:eastAsiaTheme="majorEastAsia" w:hAnsi="Times New Roman" w:hAnsiTheme="majorHAnsi"/>
      <w:b/>
      <w:i w:val="0"/>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2026-05-13T19:11:20Z</dcterms:created>
  <dcterms:modified xsi:type="dcterms:W3CDTF">2026-05-13T19:11:20Z</dcterms:modified>
</cp:coreProperties>
</file>

<file path=docProps/custom.xml><?xml version="1.0" encoding="utf-8"?>
<Properties xmlns="http://schemas.openxmlformats.org/officeDocument/2006/custom-properties" xmlns:vt="http://schemas.openxmlformats.org/officeDocument/2006/docPropsVTypes"/>
</file>