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03-10-2026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tcMar>
              <w:top w:w="120.0" w:type="dxa"/>
              <w:left w:w="120.0" w:type="dxa"/>
              <w:bottom w:w="120.0" w:type="dxa"/>
              <w:right w:w="120.0" w:type="dxa"/>
            </w:tcMar>
            <w:vAlign w:val="center"/>
          </w:tcPr>
          <w:p w:rsidR="00000000" w:rsidDel="00000000" w:rsidP="00000000" w:rsidRDefault="00000000" w:rsidRPr="00000000" w14:paraId="00000009">
            <w:pPr>
              <w:spacing w:after="200" w:line="276" w:lineRule="auto"/>
              <w:rPr>
                <w:rFonts w:ascii="Aptos" w:cs="Aptos" w:eastAsia="Aptos" w:hAnsi="Aptos"/>
                <w:sz w:val="20"/>
                <w:szCs w:val="20"/>
              </w:rPr>
            </w:pPr>
            <w:r w:rsidDel="00000000" w:rsidR="00000000" w:rsidRPr="00000000">
              <w:rPr>
                <w:rFonts w:ascii="Aptos" w:cs="Aptos" w:eastAsia="Aptos" w:hAnsi="Aptos"/>
                <w:sz w:val="18"/>
                <w:szCs w:val="18"/>
                <w:rtl w:val="0"/>
              </w:rPr>
              <w:t xml:space="preserve">Import Data using Transform Maps (Spreadsheet)</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Technical Architecture:</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The technical architecture describes the flow of spreadsheet data through the ServiceNow platform. Spreadsheet data is loaded using Import Sets and stored in an Import Set Table. A Transform Map maps the source fields to the target table fields. The data is then transformed and validated before being stored in the target ServiceNow table. Reports and dashboards are used to view the transformed data.</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Example: Order processing during pandemics for offline mode</w: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Reference:1. Import Sets Key Concepts</w:t>
      </w:r>
    </w:p>
    <w:p w:rsidR="00000000" w:rsidDel="00000000" w:rsidP="00000000" w:rsidRDefault="00000000" w:rsidRPr="00000000" w14:paraId="00000011">
      <w:pPr>
        <w:rPr>
          <w:rFonts w:ascii="Arial" w:cs="Arial" w:eastAsia="Arial" w:hAnsi="Arial"/>
          <w:b w:val="1"/>
          <w:bCs w:val="1"/>
        </w:rPr>
      </w:pPr>
      <w:hyperlink r:id="rId6">
        <w:r w:rsidDel="00000000" w:rsidR="00000000" w:rsidRPr="00000000">
          <w:rPr>
            <w:rFonts w:ascii="Arial" w:cs="Arial" w:eastAsia="Arial" w:hAnsi="Arial"/>
            <w:b w:val="1"/>
            <w:bCs w:val="1"/>
            <w:color w:val="1155cc"/>
            <w:u w:val="single"/>
            <w:rtl w:val="0"/>
          </w:rPr>
          <w:t xml:space="preserve">https://www.servicenow.com/docs/r/integrate-applications/system-import-sets/c_ImportSetsKeyConcepts.html</w:t>
        </w:r>
      </w:hyperlink>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ab/>
        <w:tab/>
        <w:tab/>
        <w:br w:type="textWrapping"/>
        <w:t xml:space="preserve">             Spreadsheet</w:t>
      </w:r>
    </w:p>
    <w:p w:rsidR="00000000" w:rsidDel="00000000" w:rsidP="00000000" w:rsidRDefault="00000000" w:rsidRPr="00000000" w14:paraId="00000015">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6">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Import Set</w:t>
      </w:r>
    </w:p>
    <w:p w:rsidR="00000000" w:rsidDel="00000000" w:rsidP="00000000" w:rsidRDefault="00000000" w:rsidRPr="00000000" w14:paraId="00000017">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8">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Import Set Table</w:t>
      </w:r>
    </w:p>
    <w:p w:rsidR="00000000" w:rsidDel="00000000" w:rsidP="00000000" w:rsidRDefault="00000000" w:rsidRPr="00000000" w14:paraId="00000019">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A">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Transform Map</w:t>
      </w:r>
    </w:p>
    <w:p w:rsidR="00000000" w:rsidDel="00000000" w:rsidP="00000000" w:rsidRDefault="00000000" w:rsidRPr="00000000" w14:paraId="0000001B">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C">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Field Mapping</w:t>
      </w:r>
    </w:p>
    <w:p w:rsidR="00000000" w:rsidDel="00000000" w:rsidP="00000000" w:rsidRDefault="00000000" w:rsidRPr="00000000" w14:paraId="0000001D">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E">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Transform</w:t>
      </w:r>
    </w:p>
    <w:p w:rsidR="00000000" w:rsidDel="00000000" w:rsidP="00000000" w:rsidRDefault="00000000" w:rsidRPr="00000000" w14:paraId="0000001F">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20">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Target Table</w:t>
      </w:r>
    </w:p>
    <w:p w:rsidR="00000000" w:rsidDel="00000000" w:rsidP="00000000" w:rsidRDefault="00000000" w:rsidRPr="00000000" w14:paraId="00000021">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22">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Validation</w:t>
      </w:r>
    </w:p>
    <w:p w:rsidR="00000000" w:rsidDel="00000000" w:rsidP="00000000" w:rsidRDefault="00000000" w:rsidRPr="00000000" w14:paraId="00000023">
      <w:pPr>
        <w:tabs>
          <w:tab w:val="left" w:leader="none" w:pos="2320"/>
        </w:tabs>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24">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        Reports / Dashboard</w:t>
      </w:r>
    </w:p>
    <w:p w:rsidR="00000000" w:rsidDel="00000000" w:rsidP="00000000" w:rsidRDefault="00000000" w:rsidRPr="00000000" w14:paraId="00000025">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0"/>
          <w:trHeight w:val="398" w:hRule="atLeast"/>
          <w:tblHeader w:val="0"/>
        </w:trPr>
        <w:tc>
          <w:tcPr/>
          <w:p w:rsidR="00000000" w:rsidDel="00000000" w:rsidP="00000000" w:rsidRDefault="00000000" w:rsidRPr="00000000" w14:paraId="00000031">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S.No</w:t>
            </w:r>
          </w:p>
        </w:tc>
        <w:tc>
          <w:tcPr/>
          <w:p w:rsidR="00000000" w:rsidDel="00000000" w:rsidP="00000000" w:rsidRDefault="00000000" w:rsidRPr="00000000" w14:paraId="00000032">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p w:rsidR="00000000" w:rsidDel="00000000" w:rsidP="00000000" w:rsidRDefault="00000000" w:rsidRPr="00000000" w14:paraId="00000033">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034">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Technology</w:t>
            </w:r>
          </w:p>
        </w:tc>
      </w:tr>
      <w:tr>
        <w:trPr>
          <w:cantSplit w:val="0"/>
          <w:trHeight w:val="489" w:hRule="atLeast"/>
          <w:tblHeader w:val="0"/>
        </w:trPr>
        <w:tc>
          <w:tcPr/>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tabs>
                <w:tab w:val="left" w:leader="none" w:pos="2320"/>
              </w:tabs>
              <w:rPr>
                <w:rFonts w:ascii="Arial" w:cs="Arial" w:eastAsia="Arial" w:hAnsi="Arial"/>
              </w:rPr>
            </w:pPr>
            <w:r w:rsidDel="00000000" w:rsidR="00000000" w:rsidRPr="00000000">
              <w:rPr>
                <w:rFonts w:ascii="Arial" w:cs="Arial" w:eastAsia="Arial" w:hAnsi="Arial"/>
                <w:rtl w:val="0"/>
              </w:rPr>
              <w:t xml:space="preserve">User Interface</w:t>
            </w:r>
          </w:p>
        </w:tc>
        <w:tc>
          <w:tcPr/>
          <w:p w:rsidR="00000000" w:rsidDel="00000000" w:rsidP="00000000" w:rsidRDefault="00000000" w:rsidRPr="00000000" w14:paraId="00000037">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interface used by the administrator to configure and monitor data import and transformation.</w:t>
            </w:r>
          </w:p>
        </w:tc>
        <w:tc>
          <w:tcPr/>
          <w:p w:rsidR="00000000" w:rsidDel="00000000" w:rsidP="00000000" w:rsidRDefault="00000000" w:rsidRPr="00000000" w14:paraId="00000038">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Platform / Web Browser</w:t>
            </w:r>
          </w:p>
        </w:tc>
      </w:tr>
      <w:tr>
        <w:trPr>
          <w:cantSplit w:val="0"/>
          <w:trHeight w:val="470" w:hRule="atLeast"/>
          <w:tblHeader w:val="0"/>
        </w:trPr>
        <w:tc>
          <w:tcPr/>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Spreadsheet Data Source</w:t>
            </w:r>
          </w:p>
        </w:tc>
        <w:tc>
          <w:tcPr/>
          <w:p w:rsidR="00000000" w:rsidDel="00000000" w:rsidP="00000000" w:rsidRDefault="00000000" w:rsidRPr="00000000" w14:paraId="0000003B">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 spreadsheet containing structured source data for import.</w:t>
            </w:r>
          </w:p>
        </w:tc>
        <w:tc>
          <w:tcPr/>
          <w:p w:rsidR="00000000" w:rsidDel="00000000" w:rsidP="00000000" w:rsidRDefault="00000000" w:rsidRPr="00000000" w14:paraId="0000003C">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Microsoft Excel / Spreadsheet</w:t>
            </w:r>
          </w:p>
        </w:tc>
      </w:tr>
      <w:tr>
        <w:trPr>
          <w:cantSplit w:val="0"/>
          <w:trHeight w:val="470" w:hRule="atLeast"/>
          <w:tblHeader w:val="0"/>
        </w:trPr>
        <w:tc>
          <w:tcPr/>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Set</w:t>
            </w:r>
          </w:p>
        </w:tc>
        <w:tc>
          <w:tcPr/>
          <w:p w:rsidR="00000000" w:rsidDel="00000000" w:rsidP="00000000" w:rsidRDefault="00000000" w:rsidRPr="00000000" w14:paraId="0000003F">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Used to load spreadsheet data into ServiceNow for further processing.</w:t>
            </w:r>
          </w:p>
        </w:tc>
        <w:tc>
          <w:tcPr/>
          <w:p w:rsidR="00000000" w:rsidDel="00000000" w:rsidP="00000000" w:rsidRDefault="00000000" w:rsidRPr="00000000" w14:paraId="00000040">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Import Sets</w:t>
            </w:r>
          </w:p>
          <w:p w:rsidR="00000000" w:rsidDel="00000000" w:rsidP="00000000" w:rsidRDefault="00000000" w:rsidRPr="00000000" w14:paraId="00000041">
            <w:pPr>
              <w:tabs>
                <w:tab w:val="left" w:leader="none" w:pos="2320"/>
              </w:tabs>
              <w:rPr>
                <w:rFonts w:ascii="Arial" w:cs="Arial" w:eastAsia="Arial" w:hAnsi="Arial"/>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Set Table</w:t>
            </w:r>
          </w:p>
        </w:tc>
        <w:tc>
          <w:tcPr/>
          <w:p w:rsidR="00000000" w:rsidDel="00000000" w:rsidP="00000000" w:rsidRDefault="00000000" w:rsidRPr="00000000" w14:paraId="00000044">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Temporary staging table that stores imported source records before transformation.</w:t>
            </w:r>
          </w:p>
        </w:tc>
        <w:tc>
          <w:tcPr/>
          <w:p w:rsidR="00000000" w:rsidDel="00000000" w:rsidP="00000000" w:rsidRDefault="00000000" w:rsidRPr="00000000" w14:paraId="00000045">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Import Set Table</w:t>
            </w:r>
          </w:p>
          <w:p w:rsidR="00000000" w:rsidDel="00000000" w:rsidP="00000000" w:rsidRDefault="00000000" w:rsidRPr="00000000" w14:paraId="00000046">
            <w:pPr>
              <w:tabs>
                <w:tab w:val="left" w:leader="none" w:pos="2320"/>
              </w:tabs>
              <w:rPr>
                <w:rFonts w:ascii="Arial" w:cs="Arial" w:eastAsia="Arial" w:hAnsi="Arial"/>
              </w:rPr>
            </w:pPr>
            <w:r w:rsidDel="00000000" w:rsidR="00000000" w:rsidRPr="00000000">
              <w:rPr>
                <w:rtl w:val="0"/>
              </w:rPr>
            </w:r>
          </w:p>
        </w:tc>
      </w:tr>
      <w:tr>
        <w:trPr>
          <w:cantSplit w:val="0"/>
          <w:trHeight w:val="1245" w:hRule="atLeast"/>
          <w:tblHeader w:val="0"/>
        </w:trPr>
        <w:tc>
          <w:tcPr/>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Transform Map</w:t>
            </w:r>
          </w:p>
          <w:p w:rsidR="00000000" w:rsidDel="00000000" w:rsidP="00000000" w:rsidRDefault="00000000" w:rsidRPr="00000000" w14:paraId="00000049">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4A">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Defines how source data is mapped and transformed into the target table.</w:t>
            </w:r>
          </w:p>
          <w:p w:rsidR="00000000" w:rsidDel="00000000" w:rsidP="00000000" w:rsidRDefault="00000000" w:rsidRPr="00000000" w14:paraId="0000004B">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4C">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Transform Maps</w:t>
            </w:r>
          </w:p>
          <w:p w:rsidR="00000000" w:rsidDel="00000000" w:rsidP="00000000" w:rsidRDefault="00000000" w:rsidRPr="00000000" w14:paraId="0000004D">
            <w:pPr>
              <w:tabs>
                <w:tab w:val="left" w:leader="none" w:pos="2320"/>
              </w:tabs>
              <w:rPr>
                <w:rFonts w:ascii="Arial" w:cs="Arial" w:eastAsia="Arial" w:hAnsi="Ari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tabs>
                <w:tab w:val="left" w:leader="none" w:pos="2320"/>
              </w:tabs>
              <w:rPr>
                <w:rFonts w:ascii="Arial" w:cs="Arial" w:eastAsia="Arial" w:hAnsi="Arial"/>
              </w:rPr>
            </w:pPr>
            <w:r w:rsidDel="00000000" w:rsidR="00000000" w:rsidRPr="00000000">
              <w:rPr>
                <w:rFonts w:ascii="Arial" w:cs="Arial" w:eastAsia="Arial" w:hAnsi="Arial"/>
                <w:rtl w:val="0"/>
              </w:rPr>
              <w:t xml:space="preserve">Field Mapping </w:t>
            </w:r>
          </w:p>
        </w:tc>
        <w:tc>
          <w:tcPr/>
          <w:p w:rsidR="00000000" w:rsidDel="00000000" w:rsidP="00000000" w:rsidRDefault="00000000" w:rsidRPr="00000000" w14:paraId="00000050">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Maps source spreadsheet fields to corresponding target table fields.</w:t>
            </w:r>
          </w:p>
        </w:tc>
        <w:tc>
          <w:tcPr/>
          <w:p w:rsidR="00000000" w:rsidDel="00000000" w:rsidP="00000000" w:rsidRDefault="00000000" w:rsidRPr="00000000" w14:paraId="00000051">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Field Maps</w:t>
            </w:r>
          </w:p>
          <w:p w:rsidR="00000000" w:rsidDel="00000000" w:rsidP="00000000" w:rsidRDefault="00000000" w:rsidRPr="00000000" w14:paraId="00000052">
            <w:pPr>
              <w:tabs>
                <w:tab w:val="left" w:leader="none" w:pos="2320"/>
              </w:tabs>
              <w:rPr>
                <w:rFonts w:ascii="Arial" w:cs="Arial" w:eastAsia="Arial" w:hAnsi="Arial"/>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Transformation</w:t>
            </w:r>
          </w:p>
        </w:tc>
        <w:tc>
          <w:tcPr/>
          <w:p w:rsidR="00000000" w:rsidDel="00000000" w:rsidP="00000000" w:rsidRDefault="00000000" w:rsidRPr="00000000" w14:paraId="00000055">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Processes imported records and creates or updates records in the target table.</w:t>
            </w:r>
          </w:p>
        </w:tc>
        <w:tc>
          <w:tcPr/>
          <w:p w:rsidR="00000000" w:rsidDel="00000000" w:rsidP="00000000" w:rsidRDefault="00000000" w:rsidRPr="00000000" w14:paraId="00000056">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Transform Engine </w:t>
            </w:r>
          </w:p>
        </w:tc>
      </w:tr>
      <w:tr>
        <w:trPr>
          <w:cantSplit w:val="0"/>
          <w:trHeight w:val="489" w:hRule="atLeast"/>
          <w:tblHeader w:val="0"/>
        </w:trPr>
        <w:tc>
          <w:tcPr/>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Table</w:t>
            </w:r>
          </w:p>
          <w:p w:rsidR="00000000" w:rsidDel="00000000" w:rsidP="00000000" w:rsidRDefault="00000000" w:rsidRPr="00000000" w14:paraId="00000059">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5A">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Stores the final transformed records in ServiceNow.</w:t>
            </w:r>
          </w:p>
        </w:tc>
        <w:tc>
          <w:tcPr/>
          <w:p w:rsidR="00000000" w:rsidDel="00000000" w:rsidP="00000000" w:rsidRDefault="00000000" w:rsidRPr="00000000" w14:paraId="0000005B">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Database Table</w:t>
            </w:r>
          </w:p>
        </w:tc>
      </w:tr>
      <w:tr>
        <w:trPr>
          <w:cantSplit w:val="0"/>
          <w:trHeight w:val="489" w:hRule="atLeast"/>
          <w:tblHeader w:val="0"/>
        </w:trPr>
        <w:tc>
          <w:tcPr/>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Coalesce / Duplicate Prevention</w:t>
            </w:r>
          </w:p>
          <w:p w:rsidR="00000000" w:rsidDel="00000000" w:rsidP="00000000" w:rsidRDefault="00000000" w:rsidRPr="00000000" w14:paraId="0000005E">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5F">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Identifies matching records and helps prevent duplicate records during transformation.</w:t>
            </w:r>
          </w:p>
          <w:p w:rsidR="00000000" w:rsidDel="00000000" w:rsidP="00000000" w:rsidRDefault="00000000" w:rsidRPr="00000000" w14:paraId="00000060">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61">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Coalesce </w:t>
            </w:r>
          </w:p>
        </w:tc>
      </w:tr>
      <w:tr>
        <w:trPr>
          <w:cantSplit w:val="0"/>
          <w:trHeight w:val="489" w:hRule="atLeast"/>
          <w:tblHeader w:val="0"/>
        </w:trPr>
        <w:tc>
          <w:tcPr/>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tabs>
                <w:tab w:val="left" w:leader="none" w:pos="2320"/>
              </w:tabs>
              <w:rPr>
                <w:rFonts w:ascii="Arial" w:cs="Arial" w:eastAsia="Arial" w:hAnsi="Arial"/>
              </w:rPr>
            </w:pPr>
            <w:r w:rsidDel="00000000" w:rsidR="00000000" w:rsidRPr="00000000">
              <w:rPr>
                <w:rFonts w:ascii="Arial" w:cs="Arial" w:eastAsia="Arial" w:hAnsi="Arial"/>
                <w:rtl w:val="0"/>
              </w:rPr>
              <w:t xml:space="preserve">Reports and Dashboard </w:t>
            </w:r>
          </w:p>
        </w:tc>
        <w:tc>
          <w:tcPr/>
          <w:p w:rsidR="00000000" w:rsidDel="00000000" w:rsidP="00000000" w:rsidRDefault="00000000" w:rsidRPr="00000000" w14:paraId="00000064">
            <w:pPr>
              <w:tabs>
                <w:tab w:val="left" w:leader="none" w:pos="2320"/>
              </w:tabs>
              <w:rPr>
                <w:rFonts w:ascii="Arial" w:cs="Arial" w:eastAsia="Arial" w:hAnsi="Arial"/>
              </w:rPr>
            </w:pPr>
            <w:r w:rsidDel="00000000" w:rsidR="00000000" w:rsidRPr="00000000">
              <w:rPr>
                <w:rFonts w:ascii="Arial" w:cs="Arial" w:eastAsia="Arial" w:hAnsi="Arial"/>
                <w:rtl w:val="0"/>
              </w:rPr>
              <w:t xml:space="preserve">Displays transformed records and project results for monitoring and analysis. </w:t>
            </w:r>
          </w:p>
        </w:tc>
        <w:tc>
          <w:tcPr/>
          <w:p w:rsidR="00000000" w:rsidDel="00000000" w:rsidP="00000000" w:rsidRDefault="00000000" w:rsidRPr="00000000" w14:paraId="00000065">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ServiceNow Reports / Dashboards</w:t>
            </w:r>
          </w:p>
        </w:tc>
      </w:tr>
      <w:tr>
        <w:trPr>
          <w:cantSplit w:val="0"/>
          <w:trHeight w:val="489" w:hRule="atLeast"/>
          <w:tblHeader w:val="0"/>
        </w:trPr>
        <w:tc>
          <w:tcPr/>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Platform / Infrastructure</w:t>
            </w:r>
          </w:p>
          <w:p w:rsidR="00000000" w:rsidDel="00000000" w:rsidP="00000000" w:rsidRDefault="00000000" w:rsidRPr="00000000" w14:paraId="00000068">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69">
            <w:pPr>
              <w:tabs>
                <w:tab w:val="left" w:leader="none" w:pos="232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Provides the environment required to configure, transform, validate and report imported data. </w:t>
            </w:r>
          </w:p>
          <w:p w:rsidR="00000000" w:rsidDel="00000000" w:rsidP="00000000" w:rsidRDefault="00000000" w:rsidRPr="00000000" w14:paraId="0000006A">
            <w:pPr>
              <w:tabs>
                <w:tab w:val="left" w:leader="none" w:pos="2320"/>
              </w:tabs>
              <w:rPr>
                <w:rFonts w:ascii="Arial" w:cs="Arial" w:eastAsia="Arial" w:hAnsi="Arial"/>
              </w:rPr>
            </w:pPr>
            <w:r w:rsidDel="00000000" w:rsidR="00000000" w:rsidRPr="00000000">
              <w:rPr>
                <w:rtl w:val="0"/>
              </w:rPr>
            </w:r>
          </w:p>
        </w:tc>
        <w:tc>
          <w:tcPr/>
          <w:p w:rsidR="00000000" w:rsidDel="00000000" w:rsidP="00000000" w:rsidRDefault="00000000" w:rsidRPr="00000000" w14:paraId="0000006B">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Cloud Platform </w:t>
            </w:r>
          </w:p>
        </w:tc>
      </w:tr>
    </w:tbl>
    <w:p w:rsidR="00000000" w:rsidDel="00000000" w:rsidP="00000000" w:rsidRDefault="00000000" w:rsidRPr="00000000" w14:paraId="0000006C">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p w:rsidR="00000000" w:rsidDel="00000000" w:rsidP="00000000" w:rsidRDefault="00000000" w:rsidRPr="00000000" w14:paraId="0000006E">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S.No</w:t>
            </w:r>
          </w:p>
        </w:tc>
        <w:tc>
          <w:tcPr/>
          <w:p w:rsidR="00000000" w:rsidDel="00000000" w:rsidP="00000000" w:rsidRDefault="00000000" w:rsidRPr="00000000" w14:paraId="0000006F">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Characteristics</w:t>
            </w:r>
          </w:p>
        </w:tc>
        <w:tc>
          <w:tcPr/>
          <w:p w:rsidR="00000000" w:rsidDel="00000000" w:rsidP="00000000" w:rsidRDefault="00000000" w:rsidRPr="00000000" w14:paraId="00000070">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071">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Technology </w:t>
            </w:r>
          </w:p>
        </w:tc>
      </w:tr>
      <w:tr>
        <w:trPr>
          <w:cantSplit w:val="0"/>
          <w:trHeight w:val="229" w:hRule="atLeast"/>
          <w:tblHeader w:val="0"/>
        </w:trPr>
        <w:tc>
          <w:tcPr/>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tabs>
                <w:tab w:val="left" w:leader="none" w:pos="2320"/>
              </w:tabs>
              <w:rPr>
                <w:rFonts w:ascii="Arial" w:cs="Arial" w:eastAsia="Arial" w:hAnsi="Arial"/>
              </w:rPr>
            </w:pPr>
            <w:r w:rsidDel="00000000" w:rsidR="00000000" w:rsidRPr="00000000">
              <w:rPr>
                <w:rFonts w:ascii="Arial" w:cs="Arial" w:eastAsia="Arial" w:hAnsi="Arial"/>
                <w:rtl w:val="0"/>
              </w:rPr>
              <w:t xml:space="preserve">Open-Source Frameworks</w:t>
            </w:r>
          </w:p>
        </w:tc>
        <w:tc>
          <w:tcPr/>
          <w:p w:rsidR="00000000" w:rsidDel="00000000" w:rsidP="00000000" w:rsidRDefault="00000000" w:rsidRPr="00000000" w14:paraId="00000074">
            <w:pPr>
              <w:tabs>
                <w:tab w:val="left" w:leader="none" w:pos="2320"/>
              </w:tabs>
              <w:rPr>
                <w:rFonts w:ascii="Arial" w:cs="Arial" w:eastAsia="Arial" w:hAnsi="Arial"/>
              </w:rPr>
            </w:pPr>
            <w:r w:rsidDel="00000000" w:rsidR="00000000" w:rsidRPr="00000000">
              <w:rPr>
                <w:rFonts w:ascii="Arial" w:cs="Arial" w:eastAsia="Arial" w:hAnsi="Arial"/>
                <w:rtl w:val="0"/>
              </w:rPr>
              <w:t xml:space="preserve">No external open-source framework is required. The project uses built-in ServiceNow platform functionality.</w:t>
            </w:r>
          </w:p>
        </w:tc>
        <w:tc>
          <w:tcPr/>
          <w:p w:rsidR="00000000" w:rsidDel="00000000" w:rsidP="00000000" w:rsidRDefault="00000000" w:rsidRPr="00000000" w14:paraId="00000075">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Platform</w:t>
            </w:r>
          </w:p>
        </w:tc>
      </w:tr>
      <w:tr>
        <w:trPr>
          <w:cantSplit w:val="0"/>
          <w:trHeight w:val="229" w:hRule="atLeast"/>
          <w:tblHeader w:val="0"/>
        </w:trPr>
        <w:tc>
          <w:tcPr/>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tabs>
                <w:tab w:val="left" w:leader="none" w:pos="2320"/>
              </w:tabs>
              <w:rPr>
                <w:rFonts w:ascii="Arial" w:cs="Arial" w:eastAsia="Arial" w:hAnsi="Arial"/>
              </w:rPr>
            </w:pPr>
            <w:r w:rsidDel="00000000" w:rsidR="00000000" w:rsidRPr="00000000">
              <w:rPr>
                <w:rFonts w:ascii="Arial" w:cs="Arial" w:eastAsia="Arial" w:hAnsi="Arial"/>
                <w:rtl w:val="0"/>
              </w:rPr>
              <w:t xml:space="preserve">Security Implementations</w:t>
            </w:r>
          </w:p>
        </w:tc>
        <w:tc>
          <w:tcPr/>
          <w:p w:rsidR="00000000" w:rsidDel="00000000" w:rsidP="00000000" w:rsidRDefault="00000000" w:rsidRPr="00000000" w14:paraId="00000078">
            <w:pPr>
              <w:tabs>
                <w:tab w:val="left" w:leader="none" w:pos="2320"/>
              </w:tabs>
              <w:rPr>
                <w:rFonts w:ascii="Arial" w:cs="Arial" w:eastAsia="Arial" w:hAnsi="Arial"/>
              </w:rPr>
            </w:pPr>
            <w:r w:rsidDel="00000000" w:rsidR="00000000" w:rsidRPr="00000000">
              <w:rPr>
                <w:rFonts w:ascii="Arial" w:cs="Arial" w:eastAsia="Arial" w:hAnsi="Arial"/>
                <w:rtl w:val="0"/>
              </w:rPr>
              <w:t xml:space="preserve">Access to import, transformation, reports and dashboard functions is controlled using ServiceNow user roles and permissions.</w:t>
            </w:r>
          </w:p>
        </w:tc>
        <w:tc>
          <w:tcPr/>
          <w:p w:rsidR="00000000" w:rsidDel="00000000" w:rsidP="00000000" w:rsidRDefault="00000000" w:rsidRPr="00000000" w14:paraId="00000079">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Roles and Access Controls</w:t>
            </w:r>
          </w:p>
        </w:tc>
      </w:tr>
      <w:tr>
        <w:trPr>
          <w:cantSplit w:val="0"/>
          <w:trHeight w:val="229" w:hRule="atLeast"/>
          <w:tblHeader w:val="0"/>
        </w:trPr>
        <w:tc>
          <w:tcPr/>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tabs>
                <w:tab w:val="left" w:leader="none" w:pos="2320"/>
              </w:tabs>
              <w:rPr>
                <w:rFonts w:ascii="Arial" w:cs="Arial" w:eastAsia="Arial" w:hAnsi="Arial"/>
              </w:rPr>
            </w:pPr>
            <w:r w:rsidDel="00000000" w:rsidR="00000000" w:rsidRPr="00000000">
              <w:rPr>
                <w:rFonts w:ascii="Arial" w:cs="Arial" w:eastAsia="Arial" w:hAnsi="Arial"/>
                <w:rtl w:val="0"/>
              </w:rPr>
              <w:t xml:space="preserve">Scalable Architecture</w:t>
            </w:r>
          </w:p>
        </w:tc>
        <w:tc>
          <w:tcPr/>
          <w:p w:rsidR="00000000" w:rsidDel="00000000" w:rsidP="00000000" w:rsidRDefault="00000000" w:rsidRPr="00000000" w14:paraId="0000007C">
            <w:pPr>
              <w:tabs>
                <w:tab w:val="left" w:leader="none" w:pos="2320"/>
              </w:tabs>
              <w:rPr>
                <w:rFonts w:ascii="Arial" w:cs="Arial" w:eastAsia="Arial" w:hAnsi="Arial"/>
              </w:rPr>
            </w:pPr>
            <w:r w:rsidDel="00000000" w:rsidR="00000000" w:rsidRPr="00000000">
              <w:rPr>
                <w:rFonts w:ascii="Arial" w:cs="Arial" w:eastAsia="Arial" w:hAnsi="Arial"/>
                <w:rtl w:val="0"/>
              </w:rPr>
              <w:t xml:space="preserve">The solution can process increasing amounts of spreadsheet data using ServiceNow Import Sets and Transform Maps.</w:t>
            </w:r>
          </w:p>
        </w:tc>
        <w:tc>
          <w:tcPr/>
          <w:p w:rsidR="00000000" w:rsidDel="00000000" w:rsidP="00000000" w:rsidRDefault="00000000" w:rsidRPr="00000000" w14:paraId="0000007D">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Import Sets and Transform Maps</w:t>
            </w:r>
          </w:p>
        </w:tc>
      </w:tr>
      <w:tr>
        <w:trPr>
          <w:cantSplit w:val="0"/>
          <w:trHeight w:val="229" w:hRule="atLeast"/>
          <w:tblHeader w:val="0"/>
        </w:trPr>
        <w:tc>
          <w:tcPr/>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tabs>
                <w:tab w:val="left" w:leader="none" w:pos="2320"/>
              </w:tabs>
              <w:rPr>
                <w:rFonts w:ascii="Arial" w:cs="Arial" w:eastAsia="Arial" w:hAnsi="Arial"/>
              </w:rPr>
            </w:pPr>
            <w:r w:rsidDel="00000000" w:rsidR="00000000" w:rsidRPr="00000000">
              <w:rPr>
                <w:rFonts w:ascii="Arial" w:cs="Arial" w:eastAsia="Arial" w:hAnsi="Arial"/>
                <w:rtl w:val="0"/>
              </w:rPr>
              <w:t xml:space="preserve">Availability</w:t>
            </w:r>
          </w:p>
        </w:tc>
        <w:tc>
          <w:tcPr/>
          <w:p w:rsidR="00000000" w:rsidDel="00000000" w:rsidP="00000000" w:rsidRDefault="00000000" w:rsidRPr="00000000" w14:paraId="00000080">
            <w:pPr>
              <w:tabs>
                <w:tab w:val="left" w:leader="none" w:pos="2320"/>
              </w:tabs>
              <w:rPr>
                <w:rFonts w:ascii="Arial" w:cs="Arial" w:eastAsia="Arial" w:hAnsi="Arial"/>
              </w:rPr>
            </w:pPr>
            <w:r w:rsidDel="00000000" w:rsidR="00000000" w:rsidRPr="00000000">
              <w:rPr>
                <w:rFonts w:ascii="Arial" w:cs="Arial" w:eastAsia="Arial" w:hAnsi="Arial"/>
                <w:rtl w:val="0"/>
              </w:rPr>
              <w:t xml:space="preserve">The solution is available through the ServiceNow platform for authorized users to perform data import and transformation activities.</w:t>
            </w:r>
          </w:p>
        </w:tc>
        <w:tc>
          <w:tcPr/>
          <w:p w:rsidR="00000000" w:rsidDel="00000000" w:rsidP="00000000" w:rsidRDefault="00000000" w:rsidRPr="00000000" w14:paraId="00000081">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Cloud Platform</w:t>
            </w:r>
          </w:p>
        </w:tc>
      </w:tr>
      <w:tr>
        <w:trPr>
          <w:cantSplit w:val="0"/>
          <w:trHeight w:val="229" w:hRule="atLeast"/>
          <w:tblHeader w:val="0"/>
        </w:trPr>
        <w:tc>
          <w:tcPr/>
          <w:p w:rsidR="00000000" w:rsidDel="00000000" w:rsidP="00000000" w:rsidRDefault="00000000" w:rsidRPr="00000000" w14:paraId="00000082">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tabs>
                <w:tab w:val="left" w:leader="none" w:pos="2320"/>
              </w:tabs>
              <w:rPr>
                <w:rFonts w:ascii="Arial" w:cs="Arial" w:eastAsia="Arial" w:hAnsi="Arial"/>
              </w:rPr>
            </w:pPr>
            <w:r w:rsidDel="00000000" w:rsidR="00000000" w:rsidRPr="00000000">
              <w:rPr>
                <w:rFonts w:ascii="Arial" w:cs="Arial" w:eastAsia="Arial" w:hAnsi="Arial"/>
                <w:rtl w:val="0"/>
              </w:rPr>
              <w:t xml:space="preserve">Performance</w:t>
            </w:r>
          </w:p>
        </w:tc>
        <w:tc>
          <w:tcPr/>
          <w:p w:rsidR="00000000" w:rsidDel="00000000" w:rsidP="00000000" w:rsidRDefault="00000000" w:rsidRPr="00000000" w14:paraId="00000084">
            <w:pPr>
              <w:tabs>
                <w:tab w:val="left" w:leader="none" w:pos="2320"/>
              </w:tabs>
              <w:rPr>
                <w:rFonts w:ascii="Arial" w:cs="Arial" w:eastAsia="Arial" w:hAnsi="Arial"/>
              </w:rPr>
            </w:pPr>
            <w:r w:rsidDel="00000000" w:rsidR="00000000" w:rsidRPr="00000000">
              <w:rPr>
                <w:rFonts w:ascii="Arial" w:cs="Arial" w:eastAsia="Arial" w:hAnsi="Arial"/>
                <w:rtl w:val="0"/>
              </w:rPr>
              <w:t xml:space="preserve">The system should process spreadsheet records efficiently and complete transformation within a reasonable time.</w:t>
            </w:r>
          </w:p>
        </w:tc>
        <w:tc>
          <w:tcPr/>
          <w:p w:rsidR="00000000" w:rsidDel="00000000" w:rsidP="00000000" w:rsidRDefault="00000000" w:rsidRPr="00000000" w14:paraId="00000085">
            <w:pPr>
              <w:tabs>
                <w:tab w:val="left" w:leader="none" w:pos="2320"/>
              </w:tabs>
              <w:rPr>
                <w:rFonts w:ascii="Arial" w:cs="Arial" w:eastAsia="Arial" w:hAnsi="Arial"/>
              </w:rPr>
            </w:pPr>
            <w:r w:rsidDel="00000000" w:rsidR="00000000" w:rsidRPr="00000000">
              <w:rPr>
                <w:rFonts w:ascii="Arial" w:cs="Arial" w:eastAsia="Arial" w:hAnsi="Arial"/>
                <w:rtl w:val="0"/>
              </w:rPr>
              <w:t xml:space="preserve">ServiceNow Import and Transform Engine</w:t>
            </w:r>
          </w:p>
        </w:tc>
      </w:tr>
    </w:tbl>
    <w:p w:rsidR="00000000" w:rsidDel="00000000" w:rsidP="00000000" w:rsidRDefault="00000000" w:rsidRPr="00000000" w14:paraId="00000086">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89">
      <w:pPr>
        <w:numPr>
          <w:ilvl w:val="0"/>
          <w:numId w:val="1"/>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Import Sets Key Concepts</w:t>
      </w:r>
      <w:hyperlink r:id="rId7">
        <w:r w:rsidDel="00000000" w:rsidR="00000000" w:rsidRPr="00000000">
          <w:rPr>
            <w:rFonts w:ascii="Arial" w:cs="Arial" w:eastAsia="Arial" w:hAnsi="Arial"/>
            <w:b w:val="1"/>
            <w:bCs w:val="1"/>
            <w:rtl w:val="0"/>
          </w:rPr>
          <w:t xml:space="preserve"> </w:t>
        </w:r>
      </w:hyperlink>
      <w:hyperlink r:id="rId8">
        <w:r w:rsidDel="00000000" w:rsidR="00000000" w:rsidRPr="00000000">
          <w:rPr>
            <w:rFonts w:ascii="Arial" w:cs="Arial" w:eastAsia="Arial" w:hAnsi="Arial"/>
            <w:b w:val="1"/>
            <w:bCs w:val="1"/>
            <w:color w:val="1155cc"/>
            <w:u w:val="single"/>
            <w:rtl w:val="0"/>
          </w:rPr>
          <w:t xml:space="preserve">Open official documentation</w:t>
        </w:r>
      </w:hyperlink>
      <w:r w:rsidDel="00000000" w:rsidR="00000000" w:rsidRPr="00000000">
        <w:rPr>
          <w:rtl w:val="0"/>
        </w:rPr>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Create a Transform Map</w:t>
      </w:r>
      <w:hyperlink r:id="rId9">
        <w:r w:rsidDel="00000000" w:rsidR="00000000" w:rsidRPr="00000000">
          <w:rPr>
            <w:rFonts w:ascii="Arial" w:cs="Arial" w:eastAsia="Arial" w:hAnsi="Arial"/>
            <w:b w:val="1"/>
            <w:bCs w:val="1"/>
            <w:rtl w:val="0"/>
          </w:rPr>
          <w:t xml:space="preserve"> </w:t>
        </w:r>
      </w:hyperlink>
      <w:hyperlink r:id="rId10">
        <w:r w:rsidDel="00000000" w:rsidR="00000000" w:rsidRPr="00000000">
          <w:rPr>
            <w:rFonts w:ascii="Arial" w:cs="Arial" w:eastAsia="Arial" w:hAnsi="Arial"/>
            <w:b w:val="1"/>
            <w:bCs w:val="1"/>
            <w:color w:val="1155cc"/>
            <w:u w:val="single"/>
            <w:rtl w:val="0"/>
          </w:rPr>
          <w:t xml:space="preserve">Open official documentation</w:t>
        </w:r>
      </w:hyperlink>
      <w:r w:rsidDel="00000000" w:rsidR="00000000" w:rsidRPr="00000000">
        <w:rPr>
          <w:rtl w:val="0"/>
        </w:rPr>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Create a Field Map</w:t>
      </w:r>
      <w:hyperlink r:id="rId11">
        <w:r w:rsidDel="00000000" w:rsidR="00000000" w:rsidRPr="00000000">
          <w:rPr>
            <w:rFonts w:ascii="Arial" w:cs="Arial" w:eastAsia="Arial" w:hAnsi="Arial"/>
            <w:b w:val="1"/>
            <w:bCs w:val="1"/>
            <w:rtl w:val="0"/>
          </w:rPr>
          <w:t xml:space="preserve"> </w:t>
        </w:r>
      </w:hyperlink>
      <w:hyperlink r:id="rId12">
        <w:r w:rsidDel="00000000" w:rsidR="00000000" w:rsidRPr="00000000">
          <w:rPr>
            <w:rFonts w:ascii="Arial" w:cs="Arial" w:eastAsia="Arial" w:hAnsi="Arial"/>
            <w:b w:val="1"/>
            <w:bCs w:val="1"/>
            <w:color w:val="1155cc"/>
            <w:u w:val="single"/>
            <w:rtl w:val="0"/>
          </w:rPr>
          <w:t xml:space="preserve">Open official documentation</w:t>
        </w:r>
      </w:hyperlink>
      <w:r w:rsidDel="00000000" w:rsidR="00000000" w:rsidRPr="00000000">
        <w:rPr>
          <w:rtl w:val="0"/>
        </w:rPr>
      </w:r>
    </w:p>
    <w:p w:rsidR="00000000" w:rsidDel="00000000" w:rsidP="00000000" w:rsidRDefault="00000000" w:rsidRPr="00000000" w14:paraId="0000008C">
      <w:pPr>
        <w:numPr>
          <w:ilvl w:val="0"/>
          <w:numId w:val="1"/>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Updating Records Using Coalesce</w:t>
      </w:r>
      <w:hyperlink r:id="rId13">
        <w:r w:rsidDel="00000000" w:rsidR="00000000" w:rsidRPr="00000000">
          <w:rPr>
            <w:rFonts w:ascii="Arial" w:cs="Arial" w:eastAsia="Arial" w:hAnsi="Arial"/>
            <w:b w:val="1"/>
            <w:bCs w:val="1"/>
            <w:rtl w:val="0"/>
          </w:rPr>
          <w:t xml:space="preserve"> </w:t>
        </w:r>
      </w:hyperlink>
      <w:hyperlink r:id="rId14">
        <w:r w:rsidDel="00000000" w:rsidR="00000000" w:rsidRPr="00000000">
          <w:rPr>
            <w:rFonts w:ascii="Arial" w:cs="Arial" w:eastAsia="Arial" w:hAnsi="Arial"/>
            <w:b w:val="1"/>
            <w:bCs w:val="1"/>
            <w:color w:val="1155cc"/>
            <w:u w:val="single"/>
            <w:rtl w:val="0"/>
          </w:rPr>
          <w:t xml:space="preserve">Open official documentation</w:t>
        </w:r>
      </w:hyperlink>
      <w:r w:rsidDel="00000000" w:rsidR="00000000" w:rsidRPr="00000000">
        <w:rPr>
          <w:rtl w:val="0"/>
        </w:rPr>
      </w:r>
    </w:p>
    <w:p w:rsidR="00000000" w:rsidDel="00000000" w:rsidP="00000000" w:rsidRDefault="00000000" w:rsidRPr="00000000" w14:paraId="0000008D">
      <w:pPr>
        <w:rPr>
          <w:rFonts w:ascii="Arial" w:cs="Arial" w:eastAsia="Arial" w:hAnsi="Arial"/>
          <w:b w:val="1"/>
          <w:bCs w:val="1"/>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644" w:hanging="359.9999999999998"/>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left"/>
      <w:pPr>
        <w:ind w:left="644" w:hanging="359.9999999999998"/>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ervicenow.com/docs/r/integrate-applications/system-import-sets/t_CreatingAFieldMap.html?utm_source=chatgpt.com" TargetMode="External"/><Relationship Id="rId10" Type="http://schemas.openxmlformats.org/officeDocument/2006/relationships/hyperlink" Target="https://www.servicenow.com/docs/r/integrate-applications/system-import-sets/t_CreateATransformMap.html?utm_source=chatgpt.com" TargetMode="External"/><Relationship Id="rId13" Type="http://schemas.openxmlformats.org/officeDocument/2006/relationships/hyperlink" Target="https://www.servicenow.com/docs/r/integrate-applications/system-import-sets/c_ImportSetCoalesce.html?utm_source=chatgpt.com" TargetMode="External"/><Relationship Id="rId12" Type="http://schemas.openxmlformats.org/officeDocument/2006/relationships/hyperlink" Target="https://www.servicenow.com/docs/r/integrate-applications/system-import-sets/t_CreatingAFieldMap.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rvicenow.com/docs/r/integrate-applications/system-import-sets/t_CreateATransformMap.html?utm_source=chatgpt.com" TargetMode="External"/><Relationship Id="rId14" Type="http://schemas.openxmlformats.org/officeDocument/2006/relationships/hyperlink" Target="https://www.servicenow.com/docs/r/integrate-applications/system-import-sets/c_ImportSetCoalesce.html?utm_source=chatgpt.com" TargetMode="External"/><Relationship Id="rId5" Type="http://schemas.openxmlformats.org/officeDocument/2006/relationships/styles" Target="styles.xml"/><Relationship Id="rId6" Type="http://schemas.openxmlformats.org/officeDocument/2006/relationships/hyperlink" Target="https://www.servicenow.com/docs/r/integrate-applications/system-import-sets/c_ImportSetsKeyConcepts.html?utm_source=chatgpt.com" TargetMode="External"/><Relationship Id="rId7" Type="http://schemas.openxmlformats.org/officeDocument/2006/relationships/hyperlink" Target="https://www.servicenow.com/docs/r/integrate-applications/system-import-sets/c_ImportSetsKeyConcepts.html?utm_source=chatgpt.com" TargetMode="External"/><Relationship Id="rId8" Type="http://schemas.openxmlformats.org/officeDocument/2006/relationships/hyperlink" Target="https://www.servicenow.com/docs/r/integrate-applications/system-import-sets/c_ImportSetsKeyConcepts.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