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03120" cy="354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olution_logo_horizontal_col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354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  <w:color w:val="0C78B9"/>
          <w:sz w:val="36"/>
        </w:rPr>
        <w:t>Atakama Browser Security vs. Cisco Umbrella</w:t>
      </w:r>
    </w:p>
    <w:p>
      <w:pPr>
        <w:spacing w:after="160"/>
      </w:pPr>
      <w:r>
        <w:rPr>
          <w:i/>
          <w:color w:val="666666"/>
          <w:sz w:val="19"/>
        </w:rPr>
        <w:t>Service comparison &amp; migration economics  |  Prepared by Vince McCullum  |  June 26, 2026</w:t>
      </w:r>
    </w:p>
    <w:p>
      <w:pPr>
        <w:spacing w:after="120"/>
      </w:pPr>
      <w:r>
        <w:rPr>
          <w:rFonts w:ascii="Carlito" w:hAnsi="Carlito"/>
          <w:b w:val="0"/>
          <w:color w:val="1A1A1A"/>
          <w:sz w:val="21"/>
        </w:rPr>
        <w:t>Follow-up evaluation from Pax8 Beyond. Atakama is an MSP-built browser-security platform proposed as a replacement for our current Cisco Umbrella content-filtering line. This compares the two at the Umbrella tier we actually license today, lays out the pricing, and proposes a go-to-market approach for the team to weigh.</w:t>
      </w:r>
    </w:p>
    <w:p>
      <w:pPr>
        <w:spacing w:before="240" w:after="80"/>
      </w:pPr>
      <w:r>
        <w:rPr>
          <w:rFonts w:ascii="Carlito" w:hAnsi="Carlito"/>
          <w:b/>
          <w:color w:val="0C78B9"/>
          <w:sz w:val="28"/>
        </w:rPr>
        <w:t>What Atakama is</w:t>
      </w:r>
    </w:p>
    <w:p>
      <w:pPr>
        <w:spacing w:after="60"/>
      </w:pPr>
      <w:r>
        <w:rPr>
          <w:rFonts w:ascii="Carlito" w:hAnsi="Carlito"/>
          <w:b w:val="0"/>
          <w:color w:val="1A1A1A"/>
          <w:sz w:val="21"/>
        </w:rPr>
        <w:t>Two components, both deployed through our RMM (install is straightforward):</w:t>
      </w:r>
    </w:p>
    <w:p>
      <w:pPr>
        <w:pStyle w:val="ListBullet"/>
        <w:spacing w:after="40"/>
      </w:pPr>
      <w:r>
        <w:rPr>
          <w:rFonts w:ascii="Carlito" w:hAnsi="Carlito"/>
          <w:b w:val="0"/>
          <w:color w:val="1A1A1A"/>
          <w:sz w:val="21"/>
        </w:rPr>
        <w:t>Agent — DNS + web content filtering at the network/endpoint (what Umbrella does for us today), and controls which browsers are allowed to run (Edge, Chrome, Firefox).</w:t>
      </w:r>
    </w:p>
    <w:p>
      <w:pPr>
        <w:pStyle w:val="ListBullet"/>
        <w:spacing w:after="40"/>
      </w:pPr>
      <w:r>
        <w:rPr>
          <w:rFonts w:ascii="Carlito" w:hAnsi="Carlito"/>
          <w:b w:val="0"/>
          <w:color w:val="1A1A1A"/>
          <w:sz w:val="21"/>
        </w:rPr>
        <w:t>Browser extension — in-browser policy enforcement and page-level controls.</w:t>
      </w:r>
    </w:p>
    <w:p>
      <w:pPr>
        <w:pStyle w:val="ListBullet"/>
        <w:spacing w:after="120"/>
      </w:pPr>
      <w:r>
        <w:rPr>
          <w:rFonts w:ascii="Carlito" w:hAnsi="Carlito"/>
          <w:b w:val="0"/>
          <w:color w:val="1A1A1A"/>
          <w:sz w:val="21"/>
        </w:rPr>
        <w:t>Policy follows the user via Microsoft sign-in. Users not already signed into M365 in their browser (Chrome/Firefox) sign in once; Atakama provides client-communication collateral to support that rollout.</w:t>
      </w:r>
    </w:p>
    <w:p>
      <w:pPr>
        <w:spacing w:before="240" w:after="80"/>
      </w:pPr>
      <w:r>
        <w:rPr>
          <w:rFonts w:ascii="Carlito" w:hAnsi="Carlito"/>
          <w:b/>
          <w:color w:val="0C78B9"/>
          <w:sz w:val="28"/>
        </w:rPr>
        <w:t>Capability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176"/>
            <w:shd w:val="clear" w:color="auto" w:fill="0C78B9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2952"/>
            <w:shd w:val="clear" w:color="auto" w:fill="0C78B9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20"/>
              </w:rPr>
              <w:t>Cisco Umbrella (DNS-Security tier — current)</w:t>
            </w:r>
          </w:p>
        </w:tc>
        <w:tc>
          <w:tcPr>
            <w:tcW w:type="dxa" w:w="2952"/>
            <w:shd w:val="clear" w:color="auto" w:fill="0C78B9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20"/>
              </w:rPr>
              <w:t>Atakama Browser Security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1A1A1A"/>
                <w:sz w:val="19"/>
              </w:rPr>
              <w:t>DNS-layer threat blocking (malware, phishing, C2)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98BA66"/>
                <w:sz w:val="19"/>
              </w:rPr>
              <w:t>Yes — Cisco Talos intel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98BA66"/>
                <w:sz w:val="19"/>
              </w:rPr>
              <w:t>Yes</w:t>
            </w:r>
          </w:p>
        </w:tc>
      </w:tr>
      <w:tr>
        <w:tc>
          <w:tcPr>
            <w:tcW w:type="dxa" w:w="4176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1A1A1A"/>
                <w:sz w:val="19"/>
              </w:rPr>
              <w:t>Web content filtering (category-based)</w:t>
            </w:r>
          </w:p>
        </w:tc>
        <w:tc>
          <w:tcPr>
            <w:tcW w:type="dxa" w:w="2952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98BA66"/>
                <w:sz w:val="19"/>
              </w:rPr>
              <w:t>Yes — 85+ categories</w:t>
            </w:r>
          </w:p>
        </w:tc>
        <w:tc>
          <w:tcPr>
            <w:tcW w:type="dxa" w:w="2952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98BA66"/>
                <w:sz w:val="19"/>
              </w:rPr>
              <w:t>Yes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1A1A1A"/>
                <w:sz w:val="19"/>
              </w:rPr>
              <w:t>On- and off-network coverage (installed agent)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98BA66"/>
                <w:sz w:val="19"/>
              </w:rPr>
              <w:t>Yes — roaming client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98BA66"/>
                <w:sz w:val="19"/>
              </w:rPr>
              <w:t>Yes — agent</w:t>
            </w:r>
          </w:p>
        </w:tc>
      </w:tr>
      <w:tr>
        <w:tc>
          <w:tcPr>
            <w:tcW w:type="dxa" w:w="4176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1A1A1A"/>
                <w:sz w:val="19"/>
              </w:rPr>
              <w:t>Filters all device/app traffic, not just browser</w:t>
            </w:r>
          </w:p>
        </w:tc>
        <w:tc>
          <w:tcPr>
            <w:tcW w:type="dxa" w:w="2952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98BA66"/>
                <w:sz w:val="19"/>
              </w:rPr>
              <w:t>Yes — DNS layer</w:t>
            </w:r>
          </w:p>
        </w:tc>
        <w:tc>
          <w:tcPr>
            <w:tcW w:type="dxa" w:w="2952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color w:val="666666"/>
                <w:sz w:val="19"/>
              </w:rPr>
              <w:t>Yes at DNS; deep controls browser-only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1A1A1A"/>
                <w:sz w:val="19"/>
              </w:rPr>
              <w:t>Deploys via RMM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98BA66"/>
                <w:sz w:val="19"/>
              </w:rPr>
              <w:t>Yes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98BA66"/>
                <w:sz w:val="19"/>
              </w:rPr>
              <w:t>Yes — agent + extension</w:t>
            </w:r>
          </w:p>
        </w:tc>
      </w:tr>
      <w:tr>
        <w:tc>
          <w:tcPr>
            <w:tcW w:type="dxa" w:w="4176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1A1A1A"/>
                <w:sz w:val="19"/>
              </w:rPr>
              <w:t>Controls / locks which browsers can run</w:t>
            </w:r>
          </w:p>
        </w:tc>
        <w:tc>
          <w:tcPr>
            <w:tcW w:type="dxa" w:w="2952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color w:val="666666"/>
                <w:sz w:val="19"/>
              </w:rPr>
              <w:t>No</w:t>
            </w:r>
          </w:p>
        </w:tc>
        <w:tc>
          <w:tcPr>
            <w:tcW w:type="dxa" w:w="2952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98BA66"/>
                <w:sz w:val="19"/>
              </w:rPr>
              <w:t>Yes — Edge, Chrome, Firefox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1A1A1A"/>
                <w:sz w:val="19"/>
              </w:rPr>
              <w:t>In-browser DLP (block up/downloads, PII mask, clipboard, watermark)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/>
            <w:r>
              <w:rPr>
                <w:rFonts w:ascii="Carlito" w:hAnsi="Carlito"/>
                <w:color w:val="666666"/>
                <w:sz w:val="19"/>
              </w:rPr>
              <w:t>No ¹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98BA66"/>
                <w:sz w:val="19"/>
              </w:rPr>
              <w:t>Yes</w:t>
            </w:r>
          </w:p>
        </w:tc>
      </w:tr>
      <w:tr>
        <w:tc>
          <w:tcPr>
            <w:tcW w:type="dxa" w:w="4176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1A1A1A"/>
                <w:sz w:val="19"/>
              </w:rPr>
              <w:t>Credential hygiene (weak / reused / breached passwords)</w:t>
            </w:r>
          </w:p>
        </w:tc>
        <w:tc>
          <w:tcPr>
            <w:tcW w:type="dxa" w:w="2952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color w:val="666666"/>
                <w:sz w:val="19"/>
              </w:rPr>
              <w:t>No</w:t>
            </w:r>
          </w:p>
        </w:tc>
        <w:tc>
          <w:tcPr>
            <w:tcW w:type="dxa" w:w="2952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98BA66"/>
                <w:sz w:val="19"/>
              </w:rPr>
              <w:t>Yes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1A1A1A"/>
                <w:sz w:val="19"/>
              </w:rPr>
              <w:t>SaaS / shadow-IT visibility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/>
            <w:r>
              <w:rPr>
                <w:rFonts w:ascii="Carlito" w:hAnsi="Carlito"/>
                <w:color w:val="666666"/>
                <w:sz w:val="19"/>
              </w:rPr>
              <w:t>No ¹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98BA66"/>
                <w:sz w:val="19"/>
              </w:rPr>
              <w:t>Yes</w:t>
            </w:r>
          </w:p>
        </w:tc>
      </w:tr>
      <w:tr>
        <w:tc>
          <w:tcPr>
            <w:tcW w:type="dxa" w:w="4176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1A1A1A"/>
                <w:sz w:val="19"/>
              </w:rPr>
              <w:t>Browser hardening (enforce native browser settings)</w:t>
            </w:r>
          </w:p>
        </w:tc>
        <w:tc>
          <w:tcPr>
            <w:tcW w:type="dxa" w:w="2952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color w:val="666666"/>
                <w:sz w:val="19"/>
              </w:rPr>
              <w:t>No</w:t>
            </w:r>
          </w:p>
        </w:tc>
        <w:tc>
          <w:tcPr>
            <w:tcW w:type="dxa" w:w="2952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98BA66"/>
                <w:sz w:val="19"/>
              </w:rPr>
              <w:t>Yes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1A1A1A"/>
                <w:sz w:val="19"/>
              </w:rPr>
              <w:t>Per-user management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/>
            <w:r>
              <w:rPr>
                <w:rFonts w:ascii="Carlito" w:hAnsi="Carlito"/>
                <w:color w:val="666666"/>
                <w:sz w:val="19"/>
              </w:rPr>
              <w:t>Cumbersome — a known pain point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98BA66"/>
                <w:sz w:val="19"/>
              </w:rPr>
              <w:t>Yes — Microsoft identity-based</w:t>
            </w:r>
          </w:p>
        </w:tc>
      </w:tr>
      <w:tr>
        <w:tc>
          <w:tcPr>
            <w:tcW w:type="dxa" w:w="4176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1A1A1A"/>
                <w:sz w:val="19"/>
              </w:rPr>
              <w:t>GenAI data controls (block AI apps, PII-in-chat, no model training)</w:t>
            </w:r>
          </w:p>
        </w:tc>
        <w:tc>
          <w:tcPr>
            <w:tcW w:type="dxa" w:w="2952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color w:val="666666"/>
                <w:sz w:val="19"/>
              </w:rPr>
              <w:t>No</w:t>
            </w:r>
          </w:p>
        </w:tc>
        <w:tc>
          <w:tcPr>
            <w:tcW w:type="dxa" w:w="2952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color w:val="0C78B9"/>
                <w:sz w:val="19"/>
              </w:rPr>
              <w:t>Roadmap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1A1A1A"/>
                <w:sz w:val="19"/>
              </w:rPr>
              <w:t>SIEM integration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98BA66"/>
                <w:sz w:val="19"/>
              </w:rPr>
              <w:t>Yes — log export / API, Cisco XDR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/>
            <w:r>
              <w:rPr>
                <w:rFonts w:ascii="Carlito" w:hAnsi="Carlito"/>
                <w:color w:val="0C78B9"/>
                <w:sz w:val="19"/>
              </w:rPr>
              <w:t>Roadmap</w:t>
            </w:r>
          </w:p>
        </w:tc>
      </w:tr>
      <w:tr>
        <w:tc>
          <w:tcPr>
            <w:tcW w:type="dxa" w:w="4176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1A1A1A"/>
                <w:sz w:val="19"/>
              </w:rPr>
              <w:t>Remote Browser Isolation</w:t>
            </w:r>
          </w:p>
        </w:tc>
        <w:tc>
          <w:tcPr>
            <w:tcW w:type="dxa" w:w="2952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color w:val="666666"/>
                <w:sz w:val="19"/>
              </w:rPr>
              <w:t>No ¹</w:t>
            </w:r>
          </w:p>
        </w:tc>
        <w:tc>
          <w:tcPr>
            <w:tcW w:type="dxa" w:w="2952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color w:val="666666"/>
                <w:sz w:val="19"/>
              </w:rPr>
              <w:t>No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1A1A1A"/>
                <w:sz w:val="19"/>
              </w:rPr>
              <w:t>Threat-intel maturity &amp; scale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98BA66"/>
                <w:sz w:val="19"/>
              </w:rPr>
              <w:t>Strong — Talos, 30k+ orgs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/>
            <w:r>
              <w:rPr>
                <w:rFonts w:ascii="Carlito" w:hAnsi="Carlito"/>
                <w:color w:val="666666"/>
                <w:sz w:val="19"/>
              </w:rPr>
              <w:t>Newer entrant to this category</w:t>
            </w:r>
          </w:p>
        </w:tc>
      </w:tr>
      <w:tr>
        <w:tc>
          <w:tcPr>
            <w:tcW w:type="dxa" w:w="4176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1A1A1A"/>
                <w:sz w:val="19"/>
              </w:rPr>
              <w:t>MSP multi-tenancy + policy templates</w:t>
            </w:r>
          </w:p>
        </w:tc>
        <w:tc>
          <w:tcPr>
            <w:tcW w:type="dxa" w:w="2952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98BA66"/>
                <w:sz w:val="19"/>
              </w:rPr>
              <w:t>Yes</w:t>
            </w:r>
          </w:p>
        </w:tc>
        <w:tc>
          <w:tcPr>
            <w:tcW w:type="dxa" w:w="2952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98BA66"/>
                <w:sz w:val="19"/>
              </w:rPr>
              <w:t>Yes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1A1A1A"/>
                <w:sz w:val="19"/>
              </w:rPr>
              <w:t>PSA billing integration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98BA66"/>
                <w:sz w:val="19"/>
              </w:rPr>
              <w:t>Yes — via distributor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/>
            <w:r>
              <w:rPr>
                <w:rFonts w:ascii="Carlito" w:hAnsi="Carlito"/>
                <w:color w:val="0C78B9"/>
                <w:sz w:val="19"/>
              </w:rPr>
              <w:t>Roadmap — API in Q3</w:t>
            </w:r>
          </w:p>
        </w:tc>
      </w:tr>
      <w:tr>
        <w:tc>
          <w:tcPr>
            <w:tcW w:type="dxa" w:w="4176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1A1A1A"/>
                <w:sz w:val="19"/>
              </w:rPr>
              <w:t>Our cost / endpoint / month</w:t>
            </w:r>
          </w:p>
        </w:tc>
        <w:tc>
          <w:tcPr>
            <w:tcW w:type="dxa" w:w="2952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1A1A1A"/>
                <w:sz w:val="19"/>
              </w:rPr>
              <w:t>$1.00</w:t>
            </w:r>
          </w:p>
        </w:tc>
        <w:tc>
          <w:tcPr>
            <w:tcW w:type="dxa" w:w="2952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1A1A1A"/>
                <w:sz w:val="19"/>
              </w:rPr>
              <w:t>$1.50  ($1.35 @ 3-yr, 1,000 seats)</w:t>
            </w:r>
          </w:p>
        </w:tc>
      </w:tr>
    </w:tbl>
    <w:p>
      <w:pPr>
        <w:spacing w:before="80"/>
      </w:pPr>
      <w:r>
        <w:rPr>
          <w:i/>
          <w:color w:val="666666"/>
          <w:sz w:val="17"/>
        </w:rPr>
        <w:t>¹ Available on Umbrella’s SIG Essentials / SIG Advantage tiers, which cost materially more than our current DNS-Security license — and more than the Atakama price delta. Comparison assumes our current DNS-Security tier; confirm exact SKU.</w:t>
      </w:r>
    </w:p>
    <w:p>
      <w:pPr>
        <w:spacing w:before="240" w:after="80"/>
      </w:pPr>
      <w:r>
        <w:rPr>
          <w:rFonts w:ascii="Carlito" w:hAnsi="Carlito"/>
          <w:b/>
          <w:color w:val="0C78B9"/>
          <w:sz w:val="28"/>
        </w:rPr>
        <w:t>Pricing (per endpoint / month)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C78B9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20"/>
              </w:rPr>
              <w:t>Product</w:t>
            </w:r>
          </w:p>
        </w:tc>
        <w:tc>
          <w:tcPr>
            <w:tcW w:type="dxa" w:w="2160"/>
            <w:shd w:val="clear" w:color="auto" w:fill="0C78B9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20"/>
              </w:rPr>
              <w:t>Our cost</w:t>
            </w:r>
          </w:p>
        </w:tc>
        <w:tc>
          <w:tcPr>
            <w:tcW w:type="dxa" w:w="2160"/>
            <w:shd w:val="clear" w:color="auto" w:fill="0C78B9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20"/>
              </w:rPr>
              <w:t>We charge</w:t>
            </w:r>
          </w:p>
        </w:tc>
        <w:tc>
          <w:tcPr>
            <w:tcW w:type="dxa" w:w="2160"/>
            <w:shd w:val="clear" w:color="auto" w:fill="0C78B9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1A1A1A"/>
                <w:sz w:val="19"/>
              </w:rPr>
              <w:t>Umbrella (today)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rlito" w:hAnsi="Carlito"/>
                <w:color w:val="1A1A1A"/>
                <w:sz w:val="19"/>
              </w:rPr>
              <w:t>$1.00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rlito" w:hAnsi="Carlito"/>
                <w:color w:val="1A1A1A"/>
                <w:sz w:val="19"/>
              </w:rPr>
              <w:t>$2.50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rlito" w:hAnsi="Carlito"/>
                <w:color w:val="1A1A1A"/>
                <w:sz w:val="19"/>
              </w:rPr>
              <w:t>$1.50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1A1A1A"/>
                <w:sz w:val="19"/>
              </w:rPr>
              <w:t>Atakama (1,000–5,000 endpoints)</w:t>
            </w:r>
          </w:p>
        </w:tc>
        <w:tc>
          <w:tcPr>
            <w:tcW w:type="dxa" w:w="2160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color w:val="1A1A1A"/>
                <w:sz w:val="19"/>
              </w:rPr>
              <w:t>$1.50</w:t>
            </w:r>
          </w:p>
        </w:tc>
        <w:tc>
          <w:tcPr>
            <w:tcW w:type="dxa" w:w="2160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color w:val="1A1A1A"/>
                <w:sz w:val="19"/>
              </w:rPr>
              <w:t>$2.50*</w:t>
            </w:r>
          </w:p>
        </w:tc>
        <w:tc>
          <w:tcPr>
            <w:tcW w:type="dxa" w:w="2160"/>
            <w:shd w:val="clear" w:color="auto" w:fill="F2F6FA"/>
          </w:tcPr>
          <w:p>
            <w:pPr>
              <w:spacing w:after="40" w:before="40"/>
            </w:pPr>
            <w:r/>
            <w:r>
              <w:rPr>
                <w:rFonts w:ascii="Carlito" w:hAnsi="Carlito"/>
                <w:color w:val="1A1A1A"/>
                <w:sz w:val="19"/>
              </w:rPr>
              <w:t>$1.00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rlito" w:hAnsi="Carlito"/>
                <w:b/>
                <w:color w:val="1A1A1A"/>
                <w:sz w:val="19"/>
              </w:rPr>
              <w:t>Atakama (3-yr, 1,000-seat commit)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rlito" w:hAnsi="Carlito"/>
                <w:color w:val="1A1A1A"/>
                <w:sz w:val="19"/>
              </w:rPr>
              <w:t>$1.35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rlito" w:hAnsi="Carlito"/>
                <w:color w:val="1A1A1A"/>
                <w:sz w:val="19"/>
              </w:rPr>
              <w:t>$2.50*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rlito" w:hAnsi="Carlito"/>
                <w:color w:val="1A1A1A"/>
                <w:sz w:val="19"/>
              </w:rPr>
              <w:t>$1.15</w:t>
            </w:r>
          </w:p>
        </w:tc>
      </w:tr>
    </w:tbl>
    <w:p>
      <w:pPr>
        <w:spacing w:after="120"/>
      </w:pPr>
      <w:r>
        <w:rPr>
          <w:rFonts w:ascii="Carlito" w:hAnsi="Carlito"/>
          <w:b w:val="0"/>
          <w:color w:val="666666"/>
          <w:sz w:val="17"/>
        </w:rPr>
        <w:t>* If we hold the current $2.50 price. Atakama costs us $0.35–$0.50 more per endpoint than Umbrella — at today’s price that is a margin reduction, which the added DLP / visibility / AI controls readily justify.</w:t>
      </w:r>
    </w:p>
    <w:p>
      <w:pPr>
        <w:spacing w:before="240" w:after="80"/>
      </w:pPr>
      <w:r>
        <w:rPr>
          <w:rFonts w:ascii="Carlito" w:hAnsi="Carlito"/>
          <w:b/>
          <w:color w:val="0C78B9"/>
          <w:sz w:val="28"/>
        </w:rPr>
        <w:t>Proposed go-to-market / pricing approach</w:t>
      </w:r>
    </w:p>
    <w:p>
      <w:pPr>
        <w:pStyle w:val="ListBullet"/>
        <w:spacing w:after="60"/>
      </w:pPr>
      <w:r>
        <w:rPr>
          <w:rFonts w:ascii="Carlito" w:hAnsi="Carlito"/>
          <w:b w:val="0"/>
          <w:color w:val="1A1A1A"/>
          <w:sz w:val="21"/>
        </w:rPr>
        <w:t>Existing clients — migrate to Atakama and include the added features (DLP, credential hygiene, SaaS visibility, browser hardening) at no additional charge. Hold the current $2.50. Margin moves from $1.50 to ~$1.00–$1.15 per endpoint. We trade a little margin for retention, a stronger security posture, and a pre-deployed footprint we can later upsell (e.g., the GenAI data controls).</w:t>
      </w:r>
    </w:p>
    <w:p>
      <w:pPr>
        <w:pStyle w:val="ListBullet"/>
        <w:spacing w:after="120"/>
      </w:pPr>
      <w:r>
        <w:rPr>
          <w:rFonts w:ascii="Carlito" w:hAnsi="Carlito"/>
          <w:b w:val="0"/>
          <w:color w:val="1A1A1A"/>
          <w:sz w:val="21"/>
        </w:rPr>
        <w:t>New clients — price the richer capability set into the standard deployment. Set new-client pricing above today’s Umbrella line to reflect the expanded features and restore/expand margin. (Team to land on the exact number.)</w:t>
      </w:r>
    </w:p>
    <w:p>
      <w:pPr>
        <w:spacing w:before="240" w:after="80"/>
      </w:pPr>
      <w:r>
        <w:rPr>
          <w:rFonts w:ascii="Carlito" w:hAnsi="Carlito"/>
          <w:b/>
          <w:color w:val="0C78B9"/>
          <w:sz w:val="28"/>
        </w:rPr>
        <w:t>Transition &amp; timing</w:t>
      </w:r>
    </w:p>
    <w:p>
      <w:pPr>
        <w:pStyle w:val="ListBullet"/>
        <w:spacing w:after="40"/>
      </w:pPr>
      <w:r>
        <w:rPr>
          <w:rFonts w:ascii="Carlito" w:hAnsi="Carlito"/>
          <w:b w:val="0"/>
          <w:color w:val="1A1A1A"/>
          <w:sz w:val="21"/>
        </w:rPr>
        <w:t>Migrating the whole base off an embedded Cisco product is real work, not a flip-a-switch.</w:t>
      </w:r>
    </w:p>
    <w:p>
      <w:pPr>
        <w:pStyle w:val="ListBullet"/>
        <w:spacing w:after="40"/>
      </w:pPr>
      <w:r>
        <w:rPr>
          <w:rFonts w:ascii="Carlito" w:hAnsi="Carlito"/>
          <w:b w:val="0"/>
          <w:color w:val="1A1A1A"/>
          <w:sz w:val="21"/>
        </w:rPr>
        <w:t>One-time Microsoft sign-in per non-MS browser is a minor user hurdle (collateral helps).</w:t>
      </w:r>
    </w:p>
    <w:p>
      <w:pPr>
        <w:pStyle w:val="ListBullet"/>
        <w:spacing w:after="40"/>
      </w:pPr>
      <w:r>
        <w:rPr>
          <w:rFonts w:ascii="Carlito" w:hAnsi="Carlito"/>
          <w:b w:val="0"/>
          <w:color w:val="1A1A1A"/>
          <w:sz w:val="21"/>
        </w:rPr>
        <w:t>Atakama is relatively new to browser security (came in from a file-encryption background) — worth a reference check.</w:t>
      </w:r>
    </w:p>
    <w:p>
      <w:pPr>
        <w:pStyle w:val="ListBullet"/>
        <w:spacing w:after="40"/>
      </w:pPr>
      <w:r>
        <w:rPr>
          <w:rFonts w:ascii="Carlito" w:hAnsi="Carlito"/>
          <w:b w:val="0"/>
          <w:color w:val="1A1A1A"/>
          <w:sz w:val="21"/>
        </w:rPr>
        <w:t>Some bigger items (SIEM, open APIs, parts of the AI controls) are roadmap, not shipped; PSA/billing API is Q3.</w:t>
      </w:r>
    </w:p>
    <w:p>
      <w:pPr>
        <w:pStyle w:val="ListBullet"/>
        <w:spacing w:after="120"/>
      </w:pPr>
      <w:r>
        <w:rPr>
          <w:rFonts w:ascii="Carlito" w:hAnsi="Carlito"/>
          <w:b w:val="0"/>
          <w:color w:val="1A1A1A"/>
          <w:sz w:val="21"/>
        </w:rPr>
        <w:t>Timing works for us: our Umbrella term appears to run to ~November (confirming), and Atakama gives a 3-month ramp after the trial — enough runway to transition without paying for both at once.</w:t>
      </w:r>
    </w:p>
    <w:p>
      <w:pPr>
        <w:spacing w:before="240" w:after="80"/>
      </w:pPr>
      <w:r>
        <w:rPr>
          <w:rFonts w:ascii="Carlito" w:hAnsi="Carlito"/>
          <w:b/>
          <w:color w:val="0C78B9"/>
          <w:sz w:val="28"/>
        </w:rPr>
        <w:t>Where it’s heading (roadmap highlights)</w:t>
      </w:r>
    </w:p>
    <w:p>
      <w:pPr>
        <w:pStyle w:val="ListBullet"/>
        <w:spacing w:after="40"/>
      </w:pPr>
      <w:r>
        <w:rPr>
          <w:rFonts w:ascii="Carlito" w:hAnsi="Carlito"/>
          <w:b w:val="0"/>
          <w:color w:val="1A1A1A"/>
          <w:sz w:val="21"/>
        </w:rPr>
        <w:t>GenAI data controls — block risky AI apps, detect/block PII in AI chats, prevent company data from training AI models. Directly answers the “what are our people pasting into ChatGPT” risk clients are raising.</w:t>
      </w:r>
    </w:p>
    <w:p>
      <w:pPr>
        <w:pStyle w:val="ListBullet"/>
        <w:spacing w:after="40"/>
      </w:pPr>
      <w:r>
        <w:rPr>
          <w:rFonts w:ascii="Carlito" w:hAnsi="Carlito"/>
          <w:b w:val="0"/>
          <w:color w:val="1A1A1A"/>
          <w:sz w:val="21"/>
        </w:rPr>
        <w:t>SIEM integration + open reporting APIs (would feed our Todyl SIEM / MXDR stack).</w:t>
      </w:r>
    </w:p>
    <w:p>
      <w:pPr>
        <w:pStyle w:val="ListBullet"/>
        <w:spacing w:after="40"/>
      </w:pPr>
      <w:r>
        <w:rPr>
          <w:rFonts w:ascii="Carlito" w:hAnsi="Carlito"/>
          <w:b w:val="0"/>
          <w:color w:val="1A1A1A"/>
          <w:sz w:val="21"/>
        </w:rPr>
        <w:t>Device-level policy, macOS support, and Google Workspace identity support (not just Microsoft).</w:t>
      </w:r>
    </w:p>
    <w:p>
      <w:pPr>
        <w:pStyle w:val="ListBullet"/>
        <w:spacing w:after="120"/>
      </w:pPr>
      <w:r>
        <w:rPr>
          <w:rFonts w:ascii="Carlito" w:hAnsi="Carlito"/>
          <w:b w:val="0"/>
          <w:color w:val="1A1A1A"/>
          <w:sz w:val="21"/>
        </w:rPr>
        <w:t>Block personal accounts on managed devices, Click-Fix attack protection, mass user broadcast.</w:t>
      </w:r>
    </w:p>
    <w:p>
      <w:pPr>
        <w:spacing w:before="240" w:after="80"/>
      </w:pPr>
      <w:r>
        <w:rPr>
          <w:rFonts w:ascii="Carlito" w:hAnsi="Carlito"/>
          <w:b/>
          <w:color w:val="0C78B9"/>
          <w:sz w:val="28"/>
        </w:rPr>
        <w:t>Recommendation</w:t>
      </w:r>
    </w:p>
    <w:p>
      <w:pPr>
        <w:spacing w:after="120"/>
      </w:pPr>
      <w:r>
        <w:rPr>
          <w:rFonts w:ascii="Carlito" w:hAnsi="Carlito"/>
          <w:b w:val="0"/>
          <w:color w:val="1A1A1A"/>
          <w:sz w:val="21"/>
        </w:rPr>
        <w:t>The value is there: for $0.35–$0.50 more per endpoint, Atakama replaces Umbrella and folds in cleaner user management, DLP, credential hygiene, SaaS visibility, and a real GenAI-data-control story we cannot sell today. Not a blind swap, though. We have a trial accepted and the contract timing lines up — run an internal pilot, prove rollout friction and browser-enforcement impact, confirm the Umbrella end date, and model the existing-vs-new pricing split before rolling to the client base.</w:t>
      </w:r>
    </w:p>
    <w:p>
      <w:pPr>
        <w:spacing w:before="200"/>
      </w:pPr>
      <w:r>
        <w:rPr>
          <w:i/>
          <w:color w:val="666666"/>
          <w:sz w:val="16"/>
        </w:rPr>
        <w:t>Confidential — Internal Revolution Group use only. Atakama roadmap items are vendor-confidential; do not distribute externally.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