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LECTURE SHEET</w:t>
      </w:r>
    </w:p>
    <w:p>
      <w:pPr>
        <w:jc w:val="center"/>
      </w:pPr>
      <w:r>
        <w:rPr>
          <w:b/>
          <w:sz w:val="42"/>
        </w:rPr>
        <w:t>Training, Development, Learning Cycle and Barriers to Learning</w:t>
      </w:r>
    </w:p>
    <w:p>
      <w:pPr>
        <w:jc w:val="center"/>
      </w:pPr>
      <w:r>
        <w:rPr>
          <w:i/>
          <w:sz w:val="24"/>
        </w:rPr>
        <w:t>Human Resource Management</w:t>
      </w:r>
    </w:p>
    <w:p>
      <w:pPr>
        <w:jc w:val="center"/>
      </w:pPr>
      <w:r>
        <w:rPr>
          <w:sz w:val="20"/>
        </w:rPr>
        <w:t>A professional guide with concepts, comparisons, models, examples and practical applications</w:t>
      </w:r>
    </w:p>
    <w:p>
      <w:pPr>
        <w:pStyle w:val="Heading1"/>
      </w:pPr>
      <w:r>
        <w:t>Learning Outcomes</w:t>
      </w:r>
    </w:p>
    <w:p>
      <w:r>
        <w:t>After studying this topic, students should be able to:</w:t>
      </w:r>
    </w:p>
    <w:p>
      <w:pPr>
        <w:pStyle w:val="ListBullet"/>
      </w:pPr>
      <w:r>
        <w:t>Define training and development and explain how they differ.</w:t>
      </w:r>
    </w:p>
    <w:p>
      <w:pPr>
        <w:pStyle w:val="ListBullet"/>
      </w:pPr>
      <w:r>
        <w:t>Explain why organizations need both training and development.</w:t>
      </w:r>
    </w:p>
    <w:p>
      <w:pPr>
        <w:pStyle w:val="ListBullet"/>
      </w:pPr>
      <w:r>
        <w:t>Describe the learning cycle and explain the contributions of Lewin, Kolb, and Honey &amp; Mumford.</w:t>
      </w:r>
    </w:p>
    <w:p>
      <w:pPr>
        <w:pStyle w:val="ListBullet"/>
      </w:pPr>
      <w:r>
        <w:t>Identify environmental, physical, psychological and cognitive barriers to learning.</w:t>
      </w:r>
    </w:p>
    <w:p>
      <w:pPr>
        <w:pStyle w:val="ListBullet"/>
      </w:pPr>
      <w:r>
        <w:t>Suggest practical ways organizations and individuals can overcome barriers to learning.</w:t>
      </w:r>
    </w:p>
    <w:p>
      <w:pPr>
        <w:pStyle w:val="ListBullet"/>
      </w:pPr>
      <w:r>
        <w:t>Apply these concepts to workplace situations and HRM decisions.</w:t>
      </w:r>
    </w:p>
    <w:p>
      <w:pPr>
        <w:pStyle w:val="Heading1"/>
      </w:pPr>
      <w:r>
        <w:t>1. Training and Development</w:t>
      </w:r>
    </w:p>
    <w:p>
      <w:pPr>
        <w:pStyle w:val="Heading2"/>
      </w:pPr>
      <w:r>
        <w:t>1.1 Meaning of Training</w:t>
      </w:r>
    </w:p>
    <w:p>
      <w:r>
        <w:t>Training is a planned learning activity designed to improve an employee’s knowledge, skills, abilities or behaviour so that the employee can perform a current job more effectively. It is usually linked closely to present job requirements and may take place as a single event or as a series of related activities.</w:t>
      </w:r>
    </w:p>
    <w:p>
      <w:r>
        <w:rPr>
          <w:b/>
        </w:rPr>
        <w:t xml:space="preserve">Example – New employee: </w:t>
      </w:r>
      <w:r>
        <w:t>A bank gives newly recruited customer-service officers a two-day programme on its software, customer-handling procedures and complaint-management process.</w:t>
      </w:r>
    </w:p>
    <w:p>
      <w:pPr>
        <w:pStyle w:val="Heading2"/>
      </w:pPr>
      <w:r>
        <w:t>1.2 Meaning of Development</w:t>
      </w:r>
    </w:p>
    <w:p>
      <w:r>
        <w:t>Development is a broader and longer-term process through which employees build capabilities for future responsibilities, career growth and greater effectiveness. Development normally has a more protracted timescale and builds on knowledge and skills gained through training, work experience, coaching, mentoring and other learning activities.</w:t>
      </w:r>
    </w:p>
    <w:p>
      <w:r>
        <w:rPr>
          <w:b/>
        </w:rPr>
        <w:t xml:space="preserve">Example – Future manager: </w:t>
      </w:r>
      <w:r>
        <w:t>A high-potential employee may receive leadership training and then take part in mentoring, job rotation and project assignments to prepare for a future managerial role.</w:t>
      </w:r>
    </w:p>
    <w:p>
      <w:pPr>
        <w:pStyle w:val="Heading2"/>
      </w:pPr>
      <w:r>
        <w:t>1.3 Training vs. Development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Basis</w:t>
            </w:r>
          </w:p>
        </w:tc>
        <w:tc>
          <w:tcPr>
            <w:tcW w:type="dxa" w:w="3312"/>
            <w:vAlign w:val="center"/>
            <w:shd w:fill="D9EAF7"/>
          </w:tcPr>
          <w:p>
            <w:r/>
            <w:r>
              <w:rPr>
                <w:b/>
                <w:sz w:val="19"/>
              </w:rPr>
              <w:t>Training</w:t>
            </w:r>
          </w:p>
        </w:tc>
        <w:tc>
          <w:tcPr>
            <w:tcW w:type="dxa" w:w="3312"/>
            <w:vAlign w:val="center"/>
            <w:shd w:fill="D9EAF7"/>
          </w:tcPr>
          <w:p>
            <w:r/>
            <w:r>
              <w:rPr>
                <w:b/>
                <w:sz w:val="19"/>
              </w:rPr>
              <w:t>Development</w:t>
            </w:r>
          </w:p>
        </w:tc>
      </w:tr>
      <w:tr>
        <w:tc>
          <w:tcPr>
            <w:tcW w:type="dxa" w:w="3312"/>
            <w:vAlign w:val="center"/>
          </w:tcPr>
          <w:p>
            <w:r/>
            <w:r>
              <w:rPr>
                <w:b w:val="0"/>
                <w:sz w:val="19"/>
              </w:rPr>
              <w:t>Main focus</w:t>
            </w:r>
          </w:p>
        </w:tc>
        <w:tc>
          <w:tcPr>
            <w:tcW w:type="dxa" w:w="3312"/>
            <w:vAlign w:val="center"/>
          </w:tcPr>
          <w:p>
            <w:r/>
            <w:r>
              <w:rPr>
                <w:b w:val="0"/>
                <w:sz w:val="19"/>
              </w:rPr>
              <w:t>Current job performance</w:t>
            </w:r>
          </w:p>
        </w:tc>
        <w:tc>
          <w:tcPr>
            <w:tcW w:type="dxa" w:w="3312"/>
            <w:vAlign w:val="center"/>
          </w:tcPr>
          <w:p>
            <w:r/>
            <w:r>
              <w:rPr>
                <w:b w:val="0"/>
                <w:sz w:val="19"/>
              </w:rPr>
              <w:t>Future roles and broader capability</w:t>
            </w:r>
          </w:p>
        </w:tc>
      </w:tr>
      <w:tr>
        <w:tc>
          <w:tcPr>
            <w:tcW w:type="dxa" w:w="3312"/>
            <w:vAlign w:val="center"/>
          </w:tcPr>
          <w:p>
            <w:r/>
            <w:r>
              <w:rPr>
                <w:b w:val="0"/>
                <w:sz w:val="19"/>
              </w:rPr>
              <w:t>Time frame</w:t>
            </w:r>
          </w:p>
        </w:tc>
        <w:tc>
          <w:tcPr>
            <w:tcW w:type="dxa" w:w="3312"/>
            <w:vAlign w:val="center"/>
          </w:tcPr>
          <w:p>
            <w:r/>
            <w:r>
              <w:rPr>
                <w:b w:val="0"/>
                <w:sz w:val="19"/>
              </w:rPr>
              <w:t>Usually short- or medium-term</w:t>
            </w:r>
          </w:p>
        </w:tc>
        <w:tc>
          <w:tcPr>
            <w:tcW w:type="dxa" w:w="3312"/>
            <w:vAlign w:val="center"/>
          </w:tcPr>
          <w:p>
            <w:r/>
            <w:r>
              <w:rPr>
                <w:b w:val="0"/>
                <w:sz w:val="19"/>
              </w:rPr>
              <w:t>Usually longer-term and continuous</w:t>
            </w:r>
          </w:p>
        </w:tc>
      </w:tr>
      <w:tr>
        <w:tc>
          <w:tcPr>
            <w:tcW w:type="dxa" w:w="3312"/>
            <w:vAlign w:val="center"/>
          </w:tcPr>
          <w:p>
            <w:r/>
            <w:r>
              <w:rPr>
                <w:b w:val="0"/>
                <w:sz w:val="19"/>
              </w:rPr>
              <w:t>Purpose</w:t>
            </w:r>
          </w:p>
        </w:tc>
        <w:tc>
          <w:tcPr>
            <w:tcW w:type="dxa" w:w="3312"/>
            <w:vAlign w:val="center"/>
          </w:tcPr>
          <w:p>
            <w:r/>
            <w:r>
              <w:rPr>
                <w:b w:val="0"/>
                <w:sz w:val="19"/>
              </w:rPr>
              <w:t>Correct or improve specific performance needs</w:t>
            </w:r>
          </w:p>
        </w:tc>
        <w:tc>
          <w:tcPr>
            <w:tcW w:type="dxa" w:w="3312"/>
            <w:vAlign w:val="center"/>
          </w:tcPr>
          <w:p>
            <w:r/>
            <w:r>
              <w:rPr>
                <w:b w:val="0"/>
                <w:sz w:val="19"/>
              </w:rPr>
              <w:t>Prepare people for future responsibilities and growth</w:t>
            </w:r>
          </w:p>
        </w:tc>
      </w:tr>
      <w:tr>
        <w:tc>
          <w:tcPr>
            <w:tcW w:type="dxa" w:w="3312"/>
            <w:vAlign w:val="center"/>
          </w:tcPr>
          <w:p>
            <w:r/>
            <w:r>
              <w:rPr>
                <w:b w:val="0"/>
                <w:sz w:val="19"/>
              </w:rPr>
              <w:t>Scope</w:t>
            </w:r>
          </w:p>
        </w:tc>
        <w:tc>
          <w:tcPr>
            <w:tcW w:type="dxa" w:w="3312"/>
            <w:vAlign w:val="center"/>
          </w:tcPr>
          <w:p>
            <w:r/>
            <w:r>
              <w:rPr>
                <w:b w:val="0"/>
                <w:sz w:val="19"/>
              </w:rPr>
              <w:t>Often job-specific</w:t>
            </w:r>
          </w:p>
        </w:tc>
        <w:tc>
          <w:tcPr>
            <w:tcW w:type="dxa" w:w="3312"/>
            <w:vAlign w:val="center"/>
          </w:tcPr>
          <w:p>
            <w:r/>
            <w:r>
              <w:rPr>
                <w:b w:val="0"/>
                <w:sz w:val="19"/>
              </w:rPr>
              <w:t>Broader: career, leadership, professional and personal capability</w:t>
            </w:r>
          </w:p>
        </w:tc>
      </w:tr>
      <w:tr>
        <w:tc>
          <w:tcPr>
            <w:tcW w:type="dxa" w:w="3312"/>
            <w:vAlign w:val="center"/>
          </w:tcPr>
          <w:p>
            <w:r/>
            <w:r>
              <w:rPr>
                <w:b w:val="0"/>
                <w:sz w:val="19"/>
              </w:rPr>
              <w:t>Common methods</w:t>
            </w:r>
          </w:p>
        </w:tc>
        <w:tc>
          <w:tcPr>
            <w:tcW w:type="dxa" w:w="3312"/>
            <w:vAlign w:val="center"/>
          </w:tcPr>
          <w:p>
            <w:r/>
            <w:r>
              <w:rPr>
                <w:b w:val="0"/>
                <w:sz w:val="19"/>
              </w:rPr>
              <w:t>Workshops, demonstrations, simulations, instruction</w:t>
            </w:r>
          </w:p>
        </w:tc>
        <w:tc>
          <w:tcPr>
            <w:tcW w:type="dxa" w:w="3312"/>
            <w:vAlign w:val="center"/>
          </w:tcPr>
          <w:p>
            <w:r/>
            <w:r>
              <w:rPr>
                <w:b w:val="0"/>
                <w:sz w:val="19"/>
              </w:rPr>
              <w:t>Coaching, mentoring, job rotation, projects, career planning</w:t>
            </w:r>
          </w:p>
        </w:tc>
      </w:tr>
      <w:tr>
        <w:tc>
          <w:tcPr>
            <w:tcW w:type="dxa" w:w="3312"/>
            <w:vAlign w:val="center"/>
          </w:tcPr>
          <w:p>
            <w:r/>
            <w:r>
              <w:rPr>
                <w:b w:val="0"/>
                <w:sz w:val="19"/>
              </w:rPr>
              <w:t>Typical question</w:t>
            </w:r>
          </w:p>
        </w:tc>
        <w:tc>
          <w:tcPr>
            <w:tcW w:type="dxa" w:w="3312"/>
            <w:vAlign w:val="center"/>
          </w:tcPr>
          <w:p>
            <w:r/>
            <w:r>
              <w:rPr>
                <w:b w:val="0"/>
                <w:sz w:val="19"/>
              </w:rPr>
              <w:t>“What does the employee need to do better now?”</w:t>
            </w:r>
          </w:p>
        </w:tc>
        <w:tc>
          <w:tcPr>
            <w:tcW w:type="dxa" w:w="3312"/>
            <w:vAlign w:val="center"/>
          </w:tcPr>
          <w:p>
            <w:r/>
            <w:r>
              <w:rPr>
                <w:b w:val="0"/>
                <w:sz w:val="19"/>
              </w:rPr>
              <w:t>“What capabilities will the employee need in the future?”</w:t>
            </w:r>
          </w:p>
        </w:tc>
      </w:tr>
    </w:tbl>
    <w:p>
      <w:pPr>
        <w:pStyle w:val="Heading2"/>
      </w:pPr>
      <w:r>
        <w:t>1.4 Is Training a One-Off Event?</w:t>
      </w:r>
    </w:p>
    <w:p>
      <w:r>
        <w:t>Training can be delivered as a one-off event—for example, a one-day workshop on a new software system. However, effective organizational learning is rarely achieved through isolated events alone. Employees generally need opportunities to practise, receive feedback, apply what they learned and refresh their knowledge.</w:t>
      </w:r>
    </w:p>
    <w:p>
      <w:r>
        <w:rPr>
          <w:b/>
        </w:rPr>
        <w:t xml:space="preserve">Example – Software implementation: </w:t>
      </w:r>
      <w:r>
        <w:t>A company introduces a new HR information system. A one-day training session teaches employees the basic functions. Follow-up practice, coaching and refresher sessions help employees use the system confidently.</w:t>
      </w:r>
    </w:p>
    <w:p>
      <w:pPr>
        <w:pStyle w:val="Heading1"/>
      </w:pPr>
      <w:r>
        <w:t>2. Should Organizations Focus on Training, Development, or Both?</w:t>
      </w:r>
    </w:p>
    <w:p>
      <w:r>
        <w:t>Organizations generally need both. Training addresses immediate performance and capability requirements, while development supports longer-term adaptability, career progression and organizational sustainability. The appropriate balance depends on business strategy, employee needs, job requirements and available resources.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2F0D9"/>
          </w:tcPr>
          <w:p>
            <w:r/>
            <w:r>
              <w:rPr>
                <w:b/>
                <w:sz w:val="19"/>
              </w:rPr>
              <w:t>Training helps organizations to…</w:t>
            </w:r>
          </w:p>
        </w:tc>
        <w:tc>
          <w:tcPr>
            <w:tcW w:type="dxa" w:w="3312"/>
            <w:vAlign w:val="center"/>
            <w:shd w:fill="E2F0D9"/>
          </w:tcPr>
          <w:p>
            <w:r/>
            <w:r>
              <w:rPr>
                <w:b/>
                <w:sz w:val="19"/>
              </w:rPr>
              <w:t>Development helps organizations to…</w:t>
            </w:r>
          </w:p>
        </w:tc>
        <w:tc>
          <w:tcPr>
            <w:tcW w:type="dxa" w:w="3312"/>
            <w:vAlign w:val="center"/>
            <w:shd w:fill="E2F0D9"/>
          </w:tcPr>
          <w:p>
            <w:r/>
            <w:r>
              <w:rPr>
                <w:b/>
                <w:sz w:val="19"/>
              </w:rPr>
              <w:t>Together they can…</w:t>
            </w:r>
          </w:p>
        </w:tc>
      </w:tr>
      <w:tr>
        <w:tc>
          <w:tcPr>
            <w:tcW w:type="dxa" w:w="3312"/>
            <w:vAlign w:val="center"/>
          </w:tcPr>
          <w:p>
            <w:r/>
            <w:r>
              <w:rPr>
                <w:b w:val="0"/>
                <w:sz w:val="19"/>
              </w:rPr>
              <w:t>Improve current job performance</w:t>
            </w:r>
          </w:p>
        </w:tc>
        <w:tc>
          <w:tcPr>
            <w:tcW w:type="dxa" w:w="3312"/>
            <w:vAlign w:val="center"/>
          </w:tcPr>
          <w:p>
            <w:r/>
            <w:r>
              <w:rPr>
                <w:b w:val="0"/>
                <w:sz w:val="19"/>
              </w:rPr>
              <w:t>Build future leaders</w:t>
            </w:r>
          </w:p>
        </w:tc>
        <w:tc>
          <w:tcPr>
            <w:tcW w:type="dxa" w:w="3312"/>
            <w:vAlign w:val="center"/>
          </w:tcPr>
          <w:p>
            <w:r/>
            <w:r>
              <w:rPr>
                <w:b w:val="0"/>
                <w:sz w:val="19"/>
              </w:rPr>
              <w:t>Create a capable and adaptable workforce</w:t>
            </w:r>
          </w:p>
        </w:tc>
      </w:tr>
      <w:tr>
        <w:tc>
          <w:tcPr>
            <w:tcW w:type="dxa" w:w="3312"/>
            <w:vAlign w:val="center"/>
          </w:tcPr>
          <w:p>
            <w:r/>
            <w:r>
              <w:rPr>
                <w:b w:val="0"/>
                <w:sz w:val="19"/>
              </w:rPr>
              <w:t>Reduce skill gaps</w:t>
            </w:r>
          </w:p>
        </w:tc>
        <w:tc>
          <w:tcPr>
            <w:tcW w:type="dxa" w:w="3312"/>
            <w:vAlign w:val="center"/>
          </w:tcPr>
          <w:p>
            <w:r/>
            <w:r>
              <w:rPr>
                <w:b w:val="0"/>
                <w:sz w:val="19"/>
              </w:rPr>
              <w:t>Support career growth</w:t>
            </w:r>
          </w:p>
        </w:tc>
        <w:tc>
          <w:tcPr>
            <w:tcW w:type="dxa" w:w="3312"/>
            <w:vAlign w:val="center"/>
          </w:tcPr>
          <w:p>
            <w:r/>
            <w:r>
              <w:rPr>
                <w:b w:val="0"/>
                <w:sz w:val="19"/>
              </w:rPr>
              <w:t>Improve employee engagement and retention</w:t>
            </w:r>
          </w:p>
        </w:tc>
      </w:tr>
      <w:tr>
        <w:tc>
          <w:tcPr>
            <w:tcW w:type="dxa" w:w="3312"/>
            <w:vAlign w:val="center"/>
          </w:tcPr>
          <w:p>
            <w:r/>
            <w:r>
              <w:rPr>
                <w:b w:val="0"/>
                <w:sz w:val="19"/>
              </w:rPr>
              <w:t>Teach procedures and technical skills</w:t>
            </w:r>
          </w:p>
        </w:tc>
        <w:tc>
          <w:tcPr>
            <w:tcW w:type="dxa" w:w="3312"/>
            <w:vAlign w:val="center"/>
          </w:tcPr>
          <w:p>
            <w:r/>
            <w:r>
              <w:rPr>
                <w:b w:val="0"/>
                <w:sz w:val="19"/>
              </w:rPr>
              <w:t>Build broader competencies</w:t>
            </w:r>
          </w:p>
        </w:tc>
        <w:tc>
          <w:tcPr>
            <w:tcW w:type="dxa" w:w="3312"/>
            <w:vAlign w:val="center"/>
          </w:tcPr>
          <w:p>
            <w:r/>
            <w:r>
              <w:rPr>
                <w:b w:val="0"/>
                <w:sz w:val="19"/>
              </w:rPr>
              <w:t>Connect present performance with future needs</w:t>
            </w:r>
          </w:p>
        </w:tc>
      </w:tr>
      <w:tr>
        <w:tc>
          <w:tcPr>
            <w:tcW w:type="dxa" w:w="3312"/>
            <w:vAlign w:val="center"/>
          </w:tcPr>
          <w:p>
            <w:r/>
            <w:r>
              <w:rPr>
                <w:b w:val="0"/>
                <w:sz w:val="19"/>
              </w:rPr>
              <w:t>Support compliance and safety</w:t>
            </w:r>
          </w:p>
        </w:tc>
        <w:tc>
          <w:tcPr>
            <w:tcW w:type="dxa" w:w="3312"/>
            <w:vAlign w:val="center"/>
          </w:tcPr>
          <w:p>
            <w:r/>
            <w:r>
              <w:rPr>
                <w:b w:val="0"/>
                <w:sz w:val="19"/>
              </w:rPr>
              <w:t>Prepare for organizational change</w:t>
            </w:r>
          </w:p>
        </w:tc>
        <w:tc>
          <w:tcPr>
            <w:tcW w:type="dxa" w:w="3312"/>
            <w:vAlign w:val="center"/>
          </w:tcPr>
          <w:p>
            <w:r/>
            <w:r>
              <w:rPr>
                <w:b w:val="0"/>
                <w:sz w:val="19"/>
              </w:rPr>
              <w:t>Create continuous learning</w:t>
            </w:r>
          </w:p>
        </w:tc>
      </w:tr>
    </w:tbl>
    <w:p>
      <w:pPr>
        <w:pStyle w:val="Heading2"/>
      </w:pPr>
      <w:r>
        <w:t>Practical HRM Approach</w:t>
      </w:r>
    </w:p>
    <w:p>
      <w:pPr>
        <w:pStyle w:val="ListNumber"/>
      </w:pPr>
      <w:r>
        <w:t>Identify current performance and skill gaps.</w:t>
      </w:r>
    </w:p>
    <w:p>
      <w:pPr>
        <w:pStyle w:val="ListNumber"/>
      </w:pPr>
      <w:r>
        <w:t>Provide targeted training for immediate needs.</w:t>
      </w:r>
    </w:p>
    <w:p>
      <w:pPr>
        <w:pStyle w:val="ListNumber"/>
      </w:pPr>
      <w:r>
        <w:t>Create development opportunities for future capability.</w:t>
      </w:r>
    </w:p>
    <w:p>
      <w:pPr>
        <w:pStyle w:val="ListNumber"/>
      </w:pPr>
      <w:r>
        <w:t>Allow employees to practise and apply learning at work.</w:t>
      </w:r>
    </w:p>
    <w:p>
      <w:pPr>
        <w:pStyle w:val="ListNumber"/>
      </w:pPr>
      <w:r>
        <w:t>Provide coaching, feedback and mentoring.</w:t>
      </w:r>
    </w:p>
    <w:p>
      <w:pPr>
        <w:pStyle w:val="ListNumber"/>
      </w:pPr>
      <w:r>
        <w:t>Evaluate whether learning has improved performance and contributed to organizational goals.</w:t>
      </w:r>
    </w:p>
    <w:p>
      <w:r>
        <w:rPr>
          <w:b/>
        </w:rPr>
        <w:t xml:space="preserve">Example – University faculty: </w:t>
      </w:r>
      <w:r>
        <w:t>A new lecturer may receive training on the university’s LMS and assessment system. Development may involve mentoring, research workshops, conference participation, curriculum design and leadership opportunities.</w:t>
      </w:r>
    </w:p>
    <w:p>
      <w:pPr>
        <w:pStyle w:val="Heading1"/>
      </w:pPr>
      <w:r>
        <w:t>3. The Learning Cycle: Learning as a Continuous Process</w:t>
      </w:r>
    </w:p>
    <w:p>
      <w:r>
        <w:t>Learning is not simply the act of attending a training programme. It is a continuous process in which people gain experience, reflect on it, develop ideas or understanding, try new approaches and learn from the results. Learning-cycle theories provide different ways of understanding this process.</w:t>
      </w:r>
    </w:p>
    <w:p>
      <w:pPr>
        <w:pStyle w:val="Heading2"/>
      </w:pPr>
      <w:r>
        <w:t>3.1 Lewin’s Learning Cycle</w:t>
      </w:r>
    </w:p>
    <w:p>
      <w:r>
        <w:t>Kurt Lewin’s experiential learning approach emphasizes a recurring process of experience, reflection, conceptualization and experimentation. The model is commonly presented as a four-stage cycle:</w:t>
      </w:r>
    </w:p>
    <w:p>
      <w:pPr>
        <w:pStyle w:val="ListNumber"/>
      </w:pPr>
      <w:r>
        <w:t>Concrete experience – The learner experiences or performs something.</w:t>
      </w:r>
    </w:p>
    <w:p>
      <w:pPr>
        <w:pStyle w:val="ListNumber"/>
      </w:pPr>
      <w:r>
        <w:t>Observation and reflection – The learner thinks about what happened and what could be improved.</w:t>
      </w:r>
    </w:p>
    <w:p>
      <w:pPr>
        <w:pStyle w:val="ListNumber"/>
      </w:pPr>
      <w:r>
        <w:t>Formation of abstract concepts – The learner develops an explanation, principle or new understanding.</w:t>
      </w:r>
    </w:p>
    <w:p>
      <w:pPr>
        <w:pStyle w:val="ListNumber"/>
      </w:pPr>
      <w:r>
        <w:t>Testing in new situations – The learner applies the new idea and observes the result.</w:t>
      </w:r>
    </w:p>
    <w:p>
      <w:r>
        <w:rPr>
          <w:b/>
        </w:rPr>
        <w:t xml:space="preserve">Example – Presentation skills: </w:t>
      </w:r>
      <w:r>
        <w:t>A lecturer gives a presentation (experience), reviews student feedback (reflection), identifies that more examples improve understanding (conceptualization), and uses more examples in the next class (testing).</w:t>
      </w:r>
    </w:p>
    <w:p>
      <w:pPr>
        <w:pStyle w:val="Heading2"/>
      </w:pPr>
      <w:r>
        <w:t>3.2 Kolb’s Experiential Learning Cycle</w:t>
      </w:r>
    </w:p>
    <w:p>
      <w:r>
        <w:t>David Kolb developed a widely used experiential learning model. It contains four connected stages. Effective learning occurs when the learner moves through the cycle rather than stopping after receiving information.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FCE4D6"/>
          </w:tcPr>
          <w:p>
            <w:r/>
            <w:r>
              <w:rPr>
                <w:b/>
                <w:sz w:val="19"/>
              </w:rPr>
              <w:t>Stage</w:t>
            </w:r>
          </w:p>
        </w:tc>
        <w:tc>
          <w:tcPr>
            <w:tcW w:type="dxa" w:w="3312"/>
            <w:vAlign w:val="center"/>
            <w:shd w:fill="FCE4D6"/>
          </w:tcPr>
          <w:p>
            <w:r/>
            <w:r>
              <w:rPr>
                <w:b/>
                <w:sz w:val="19"/>
              </w:rPr>
              <w:t>Meaning</w:t>
            </w:r>
          </w:p>
        </w:tc>
        <w:tc>
          <w:tcPr>
            <w:tcW w:type="dxa" w:w="3312"/>
            <w:vAlign w:val="center"/>
            <w:shd w:fill="FCE4D6"/>
          </w:tcPr>
          <w:p>
            <w:r/>
            <w:r>
              <w:rPr>
                <w:b/>
                <w:sz w:val="19"/>
              </w:rPr>
              <w:t>Simple example</w:t>
            </w:r>
          </w:p>
        </w:tc>
      </w:tr>
      <w:tr>
        <w:tc>
          <w:tcPr>
            <w:tcW w:type="dxa" w:w="3312"/>
            <w:vAlign w:val="center"/>
          </w:tcPr>
          <w:p>
            <w:r/>
            <w:r>
              <w:rPr>
                <w:b w:val="0"/>
                <w:sz w:val="19"/>
              </w:rPr>
              <w:t>1. Concrete Experience (CE)</w:t>
            </w:r>
          </w:p>
        </w:tc>
        <w:tc>
          <w:tcPr>
            <w:tcW w:type="dxa" w:w="3312"/>
            <w:vAlign w:val="center"/>
          </w:tcPr>
          <w:p>
            <w:r/>
            <w:r>
              <w:rPr>
                <w:b w:val="0"/>
                <w:sz w:val="19"/>
              </w:rPr>
              <w:t>Doing or experiencing something directly.</w:t>
            </w:r>
          </w:p>
        </w:tc>
        <w:tc>
          <w:tcPr>
            <w:tcW w:type="dxa" w:w="3312"/>
            <w:vAlign w:val="center"/>
          </w:tcPr>
          <w:p>
            <w:r/>
            <w:r>
              <w:rPr>
                <w:b w:val="0"/>
                <w:sz w:val="19"/>
              </w:rPr>
              <w:t>A student conducts a group presentation.</w:t>
            </w:r>
          </w:p>
        </w:tc>
      </w:tr>
      <w:tr>
        <w:tc>
          <w:tcPr>
            <w:tcW w:type="dxa" w:w="3312"/>
            <w:vAlign w:val="center"/>
          </w:tcPr>
          <w:p>
            <w:r/>
            <w:r>
              <w:rPr>
                <w:b w:val="0"/>
                <w:sz w:val="19"/>
              </w:rPr>
              <w:t>2. Reflective Observation (RO)</w:t>
            </w:r>
          </w:p>
        </w:tc>
        <w:tc>
          <w:tcPr>
            <w:tcW w:type="dxa" w:w="3312"/>
            <w:vAlign w:val="center"/>
          </w:tcPr>
          <w:p>
            <w:r/>
            <w:r>
              <w:rPr>
                <w:b w:val="0"/>
                <w:sz w:val="19"/>
              </w:rPr>
              <w:t>Reviewing and thinking about the experience.</w:t>
            </w:r>
          </w:p>
        </w:tc>
        <w:tc>
          <w:tcPr>
            <w:tcW w:type="dxa" w:w="3312"/>
            <w:vAlign w:val="center"/>
          </w:tcPr>
          <w:p>
            <w:r/>
            <w:r>
              <w:rPr>
                <w:b w:val="0"/>
                <w:sz w:val="19"/>
              </w:rPr>
              <w:t>The student considers what went well and what went wrong.</w:t>
            </w:r>
          </w:p>
        </w:tc>
      </w:tr>
      <w:tr>
        <w:tc>
          <w:tcPr>
            <w:tcW w:type="dxa" w:w="3312"/>
            <w:vAlign w:val="center"/>
          </w:tcPr>
          <w:p>
            <w:r/>
            <w:r>
              <w:rPr>
                <w:b w:val="0"/>
                <w:sz w:val="19"/>
              </w:rPr>
              <w:t>3. Abstract Conceptualization (AC)</w:t>
            </w:r>
          </w:p>
        </w:tc>
        <w:tc>
          <w:tcPr>
            <w:tcW w:type="dxa" w:w="3312"/>
            <w:vAlign w:val="center"/>
          </w:tcPr>
          <w:p>
            <w:r/>
            <w:r>
              <w:rPr>
                <w:b w:val="0"/>
                <w:sz w:val="19"/>
              </w:rPr>
              <w:t>Developing concepts, principles or explanations.</w:t>
            </w:r>
          </w:p>
        </w:tc>
        <w:tc>
          <w:tcPr>
            <w:tcW w:type="dxa" w:w="3312"/>
            <w:vAlign w:val="center"/>
          </w:tcPr>
          <w:p>
            <w:r/>
            <w:r>
              <w:rPr>
                <w:b w:val="0"/>
                <w:sz w:val="19"/>
              </w:rPr>
              <w:t>The student concludes that clear structure improves presentations.</w:t>
            </w:r>
          </w:p>
        </w:tc>
      </w:tr>
      <w:tr>
        <w:tc>
          <w:tcPr>
            <w:tcW w:type="dxa" w:w="3312"/>
            <w:vAlign w:val="center"/>
          </w:tcPr>
          <w:p>
            <w:r/>
            <w:r>
              <w:rPr>
                <w:b w:val="0"/>
                <w:sz w:val="19"/>
              </w:rPr>
              <w:t>4. Active Experimentation (AE)</w:t>
            </w:r>
          </w:p>
        </w:tc>
        <w:tc>
          <w:tcPr>
            <w:tcW w:type="dxa" w:w="3312"/>
            <w:vAlign w:val="center"/>
          </w:tcPr>
          <w:p>
            <w:r/>
            <w:r>
              <w:rPr>
                <w:b w:val="0"/>
                <w:sz w:val="19"/>
              </w:rPr>
              <w:t>Trying the new understanding in another situation.</w:t>
            </w:r>
          </w:p>
        </w:tc>
        <w:tc>
          <w:tcPr>
            <w:tcW w:type="dxa" w:w="3312"/>
            <w:vAlign w:val="center"/>
          </w:tcPr>
          <w:p>
            <w:r/>
            <w:r>
              <w:rPr>
                <w:b w:val="0"/>
                <w:sz w:val="19"/>
              </w:rPr>
              <w:t>The student uses a clearer structure in the next presentation.</w:t>
            </w:r>
          </w:p>
        </w:tc>
      </w:tr>
    </w:tbl>
    <w:p>
      <w:r>
        <w:rPr>
          <w:b/>
        </w:rPr>
        <w:t>Key idea: Experience alone does not guarantee learning. Reflection, understanding and application help turn experience into learning.</w:t>
      </w:r>
    </w:p>
    <w:p>
      <w:pPr>
        <w:pStyle w:val="Heading2"/>
      </w:pPr>
      <w:r>
        <w:t>3.3 Honey and Mumford’s Learning Styles</w:t>
      </w:r>
    </w:p>
    <w:p>
      <w:r>
        <w:t>Peter Honey and Alan Mumford built on experiential learning ideas and identified four preferred ways of learning. These are often called learning styles. They describe preferences, not fixed labels; a learner can use more than one style.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EDE7F6"/>
          </w:tcPr>
          <w:p>
            <w:r/>
            <w:r>
              <w:rPr>
                <w:b/>
                <w:sz w:val="19"/>
              </w:rPr>
              <w:t>Style</w:t>
            </w:r>
          </w:p>
        </w:tc>
        <w:tc>
          <w:tcPr>
            <w:tcW w:type="dxa" w:w="3312"/>
            <w:vAlign w:val="center"/>
            <w:shd w:fill="EDE7F6"/>
          </w:tcPr>
          <w:p>
            <w:r/>
            <w:r>
              <w:rPr>
                <w:b/>
                <w:sz w:val="19"/>
              </w:rPr>
              <w:t>Characteristics</w:t>
            </w:r>
          </w:p>
        </w:tc>
        <w:tc>
          <w:tcPr>
            <w:tcW w:type="dxa" w:w="3312"/>
            <w:vAlign w:val="center"/>
            <w:shd w:fill="EDE7F6"/>
          </w:tcPr>
          <w:p>
            <w:r/>
            <w:r>
              <w:rPr>
                <w:b/>
                <w:sz w:val="19"/>
              </w:rPr>
              <w:t>Example</w:t>
            </w:r>
          </w:p>
        </w:tc>
      </w:tr>
      <w:tr>
        <w:tc>
          <w:tcPr>
            <w:tcW w:type="dxa" w:w="3312"/>
            <w:vAlign w:val="center"/>
          </w:tcPr>
          <w:p>
            <w:r/>
            <w:r>
              <w:rPr>
                <w:b w:val="0"/>
                <w:sz w:val="19"/>
              </w:rPr>
              <w:t>Activist</w:t>
            </w:r>
          </w:p>
        </w:tc>
        <w:tc>
          <w:tcPr>
            <w:tcW w:type="dxa" w:w="3312"/>
            <w:vAlign w:val="center"/>
          </w:tcPr>
          <w:p>
            <w:r/>
            <w:r>
              <w:rPr>
                <w:b w:val="0"/>
                <w:sz w:val="19"/>
              </w:rPr>
              <w:t>Likes doing, participating, trying new experiences and learning through activity.</w:t>
            </w:r>
          </w:p>
        </w:tc>
        <w:tc>
          <w:tcPr>
            <w:tcW w:type="dxa" w:w="3312"/>
            <w:vAlign w:val="center"/>
          </w:tcPr>
          <w:p>
            <w:r/>
            <w:r>
              <w:rPr>
                <w:b w:val="0"/>
                <w:sz w:val="19"/>
              </w:rPr>
              <w:t>Volunteers to lead a role-play exercise.</w:t>
            </w:r>
          </w:p>
        </w:tc>
      </w:tr>
      <w:tr>
        <w:tc>
          <w:tcPr>
            <w:tcW w:type="dxa" w:w="3312"/>
            <w:vAlign w:val="center"/>
          </w:tcPr>
          <w:p>
            <w:r/>
            <w:r>
              <w:rPr>
                <w:b w:val="0"/>
                <w:sz w:val="19"/>
              </w:rPr>
              <w:t>Reflector</w:t>
            </w:r>
          </w:p>
        </w:tc>
        <w:tc>
          <w:tcPr>
            <w:tcW w:type="dxa" w:w="3312"/>
            <w:vAlign w:val="center"/>
          </w:tcPr>
          <w:p>
            <w:r/>
            <w:r>
              <w:rPr>
                <w:b w:val="0"/>
                <w:sz w:val="19"/>
              </w:rPr>
              <w:t>Likes observing, collecting information and considering different perspectives before acting.</w:t>
            </w:r>
          </w:p>
        </w:tc>
        <w:tc>
          <w:tcPr>
            <w:tcW w:type="dxa" w:w="3312"/>
            <w:vAlign w:val="center"/>
          </w:tcPr>
          <w:p>
            <w:r/>
            <w:r>
              <w:rPr>
                <w:b w:val="0"/>
                <w:sz w:val="19"/>
              </w:rPr>
              <w:t>Reviews classmates’ presentations before preparing their own.</w:t>
            </w:r>
          </w:p>
        </w:tc>
      </w:tr>
      <w:tr>
        <w:tc>
          <w:tcPr>
            <w:tcW w:type="dxa" w:w="3312"/>
            <w:vAlign w:val="center"/>
          </w:tcPr>
          <w:p>
            <w:r/>
            <w:r>
              <w:rPr>
                <w:b w:val="0"/>
                <w:sz w:val="19"/>
              </w:rPr>
              <w:t>Theorist</w:t>
            </w:r>
          </w:p>
        </w:tc>
        <w:tc>
          <w:tcPr>
            <w:tcW w:type="dxa" w:w="3312"/>
            <w:vAlign w:val="center"/>
          </w:tcPr>
          <w:p>
            <w:r/>
            <w:r>
              <w:rPr>
                <w:b w:val="0"/>
                <w:sz w:val="19"/>
              </w:rPr>
              <w:t>Likes logical explanations, models, concepts and structured ideas.</w:t>
            </w:r>
          </w:p>
        </w:tc>
        <w:tc>
          <w:tcPr>
            <w:tcW w:type="dxa" w:w="3312"/>
            <w:vAlign w:val="center"/>
          </w:tcPr>
          <w:p>
            <w:r/>
            <w:r>
              <w:rPr>
                <w:b w:val="0"/>
                <w:sz w:val="19"/>
              </w:rPr>
              <w:t>Wants to understand the theory behind a management practice.</w:t>
            </w:r>
          </w:p>
        </w:tc>
      </w:tr>
      <w:tr>
        <w:tc>
          <w:tcPr>
            <w:tcW w:type="dxa" w:w="3312"/>
            <w:vAlign w:val="center"/>
          </w:tcPr>
          <w:p>
            <w:r/>
            <w:r>
              <w:rPr>
                <w:b w:val="0"/>
                <w:sz w:val="19"/>
              </w:rPr>
              <w:t>Pragmatist</w:t>
            </w:r>
          </w:p>
        </w:tc>
        <w:tc>
          <w:tcPr>
            <w:tcW w:type="dxa" w:w="3312"/>
            <w:vAlign w:val="center"/>
          </w:tcPr>
          <w:p>
            <w:r/>
            <w:r>
              <w:rPr>
                <w:b w:val="0"/>
                <w:sz w:val="19"/>
              </w:rPr>
              <w:t>Likes practical application and testing whether an idea works.</w:t>
            </w:r>
          </w:p>
        </w:tc>
        <w:tc>
          <w:tcPr>
            <w:tcW w:type="dxa" w:w="3312"/>
            <w:vAlign w:val="center"/>
          </w:tcPr>
          <w:p>
            <w:r/>
            <w:r>
              <w:rPr>
                <w:b w:val="0"/>
                <w:sz w:val="19"/>
              </w:rPr>
              <w:t>Immediately tries a new interview technique in a mock interview.</w:t>
            </w:r>
          </w:p>
        </w:tc>
      </w:tr>
    </w:tbl>
    <w:p>
      <w:r>
        <w:t>HR implication: A good learning programme can use varied activities—discussion, practice, reflection, theory and application—so that learners are not dependent on only one approach.</w:t>
      </w:r>
    </w:p>
    <w:p>
      <w:pPr>
        <w:pStyle w:val="Heading2"/>
      </w:pPr>
      <w:r>
        <w:t>3.4 Comparing the Learning-Cycle Approaches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DEBF7"/>
          </w:tcPr>
          <w:p>
            <w:r/>
            <w:r>
              <w:rPr>
                <w:b/>
                <w:sz w:val="19"/>
              </w:rPr>
              <w:t>Approach</w:t>
            </w:r>
          </w:p>
        </w:tc>
        <w:tc>
          <w:tcPr>
            <w:tcW w:type="dxa" w:w="2484"/>
            <w:vAlign w:val="center"/>
            <w:shd w:fill="DDEBF7"/>
          </w:tcPr>
          <w:p>
            <w:r/>
            <w:r>
              <w:rPr>
                <w:b/>
                <w:sz w:val="19"/>
              </w:rPr>
              <w:t>Main emphasis</w:t>
            </w:r>
          </w:p>
        </w:tc>
        <w:tc>
          <w:tcPr>
            <w:tcW w:type="dxa" w:w="2484"/>
            <w:vAlign w:val="center"/>
            <w:shd w:fill="DDEBF7"/>
          </w:tcPr>
          <w:p>
            <w:r/>
            <w:r>
              <w:rPr>
                <w:b/>
                <w:sz w:val="19"/>
              </w:rPr>
              <w:t>Key stages/ideas</w:t>
            </w:r>
          </w:p>
        </w:tc>
        <w:tc>
          <w:tcPr>
            <w:tcW w:type="dxa" w:w="2484"/>
            <w:vAlign w:val="center"/>
            <w:shd w:fill="DDEBF7"/>
          </w:tcPr>
          <w:p>
            <w:r/>
            <w:r>
              <w:rPr>
                <w:b/>
                <w:sz w:val="19"/>
              </w:rPr>
              <w:t>HRM application</w:t>
            </w:r>
          </w:p>
        </w:tc>
      </w:tr>
      <w:tr>
        <w:tc>
          <w:tcPr>
            <w:tcW w:type="dxa" w:w="2484"/>
            <w:vAlign w:val="center"/>
          </w:tcPr>
          <w:p>
            <w:r/>
            <w:r>
              <w:rPr>
                <w:b w:val="0"/>
                <w:sz w:val="19"/>
              </w:rPr>
              <w:t>Lewin</w:t>
            </w:r>
          </w:p>
        </w:tc>
        <w:tc>
          <w:tcPr>
            <w:tcW w:type="dxa" w:w="2484"/>
            <w:vAlign w:val="center"/>
          </w:tcPr>
          <w:p>
            <w:r/>
            <w:r>
              <w:rPr>
                <w:b w:val="0"/>
                <w:sz w:val="19"/>
              </w:rPr>
              <w:t>Learning through an experiential cycle</w:t>
            </w:r>
          </w:p>
        </w:tc>
        <w:tc>
          <w:tcPr>
            <w:tcW w:type="dxa" w:w="2484"/>
            <w:vAlign w:val="center"/>
          </w:tcPr>
          <w:p>
            <w:r/>
            <w:r>
              <w:rPr>
                <w:b w:val="0"/>
                <w:sz w:val="19"/>
              </w:rPr>
              <w:t>Experience → reflection → concepts → testing</w:t>
            </w:r>
          </w:p>
        </w:tc>
        <w:tc>
          <w:tcPr>
            <w:tcW w:type="dxa" w:w="2484"/>
            <w:vAlign w:val="center"/>
          </w:tcPr>
          <w:p>
            <w:r/>
            <w:r>
              <w:rPr>
                <w:b w:val="0"/>
                <w:sz w:val="19"/>
              </w:rPr>
              <w:t>Use workplace experience and feedback to improve practice.</w:t>
            </w:r>
          </w:p>
        </w:tc>
      </w:tr>
      <w:tr>
        <w:tc>
          <w:tcPr>
            <w:tcW w:type="dxa" w:w="2484"/>
            <w:vAlign w:val="center"/>
          </w:tcPr>
          <w:p>
            <w:r/>
            <w:r>
              <w:rPr>
                <w:b w:val="0"/>
                <w:sz w:val="19"/>
              </w:rPr>
              <w:t>Kolb</w:t>
            </w:r>
          </w:p>
        </w:tc>
        <w:tc>
          <w:tcPr>
            <w:tcW w:type="dxa" w:w="2484"/>
            <w:vAlign w:val="center"/>
          </w:tcPr>
          <w:p>
            <w:r/>
            <w:r>
              <w:rPr>
                <w:b w:val="0"/>
                <w:sz w:val="19"/>
              </w:rPr>
              <w:t>Experiential learning</w:t>
            </w:r>
          </w:p>
        </w:tc>
        <w:tc>
          <w:tcPr>
            <w:tcW w:type="dxa" w:w="2484"/>
            <w:vAlign w:val="center"/>
          </w:tcPr>
          <w:p>
            <w:r/>
            <w:r>
              <w:rPr>
                <w:b w:val="0"/>
                <w:sz w:val="19"/>
              </w:rPr>
              <w:t>Concrete experience → reflection → conceptualization → experimentation</w:t>
            </w:r>
          </w:p>
        </w:tc>
        <w:tc>
          <w:tcPr>
            <w:tcW w:type="dxa" w:w="2484"/>
            <w:vAlign w:val="center"/>
          </w:tcPr>
          <w:p>
            <w:r/>
            <w:r>
              <w:rPr>
                <w:b w:val="0"/>
                <w:sz w:val="19"/>
              </w:rPr>
              <w:t>Design training that includes doing, reflecting, understanding and applying.</w:t>
            </w:r>
          </w:p>
        </w:tc>
      </w:tr>
      <w:tr>
        <w:tc>
          <w:tcPr>
            <w:tcW w:type="dxa" w:w="2484"/>
            <w:vAlign w:val="center"/>
          </w:tcPr>
          <w:p>
            <w:r/>
            <w:r>
              <w:rPr>
                <w:b w:val="0"/>
                <w:sz w:val="19"/>
              </w:rPr>
              <w:t>Honey &amp; Mumford</w:t>
            </w:r>
          </w:p>
        </w:tc>
        <w:tc>
          <w:tcPr>
            <w:tcW w:type="dxa" w:w="2484"/>
            <w:vAlign w:val="center"/>
          </w:tcPr>
          <w:p>
            <w:r/>
            <w:r>
              <w:rPr>
                <w:b w:val="0"/>
                <w:sz w:val="19"/>
              </w:rPr>
              <w:t>Preferred learning approaches</w:t>
            </w:r>
          </w:p>
        </w:tc>
        <w:tc>
          <w:tcPr>
            <w:tcW w:type="dxa" w:w="2484"/>
            <w:vAlign w:val="center"/>
          </w:tcPr>
          <w:p>
            <w:r/>
            <w:r>
              <w:rPr>
                <w:b w:val="0"/>
                <w:sz w:val="19"/>
              </w:rPr>
              <w:t>Activist, Reflector, Theorist, Pragmatist</w:t>
            </w:r>
          </w:p>
        </w:tc>
        <w:tc>
          <w:tcPr>
            <w:tcW w:type="dxa" w:w="2484"/>
            <w:vAlign w:val="center"/>
          </w:tcPr>
          <w:p>
            <w:r/>
            <w:r>
              <w:rPr>
                <w:b w:val="0"/>
                <w:sz w:val="19"/>
              </w:rPr>
              <w:t>Use varied learning activities to engage different learner preferences.</w:t>
            </w:r>
          </w:p>
        </w:tc>
      </w:tr>
    </w:tbl>
    <w:p>
      <w:pPr>
        <w:pStyle w:val="Heading1"/>
      </w:pPr>
      <w:r>
        <w:t>4. Barriers to Learning</w:t>
      </w:r>
    </w:p>
    <w:p>
      <w:r>
        <w:t>A barrier to learning is anything that makes it difficult for a person to acquire, understand, remember, practise or apply new knowledge and skills. Barriers may arise from the work environment, physical conditions, psychological factors or cognitive processes.</w:t>
      </w:r>
    </w:p>
    <w:p>
      <w:pPr>
        <w:pStyle w:val="Heading2"/>
      </w:pPr>
      <w:r>
        <w:t>4.1 Environmental Barriers</w:t>
      </w:r>
    </w:p>
    <w:p>
      <w:pPr>
        <w:pStyle w:val="ListBullet"/>
      </w:pPr>
      <w:r>
        <w:t>Noise, interruptions and overcrowded learning spaces.</w:t>
      </w:r>
    </w:p>
    <w:p>
      <w:pPr>
        <w:pStyle w:val="ListBullet"/>
      </w:pPr>
      <w:r>
        <w:t>Poor lighting, uncomfortable temperature or inadequate equipment.</w:t>
      </w:r>
    </w:p>
    <w:p>
      <w:pPr>
        <w:pStyle w:val="ListBullet"/>
      </w:pPr>
      <w:r>
        <w:t>Lack of time because of workload or staffing pressure.</w:t>
      </w:r>
    </w:p>
    <w:p>
      <w:pPr>
        <w:pStyle w:val="ListBullet"/>
      </w:pPr>
      <w:r>
        <w:t>Limited access to computers, internet, learning materials or relevant technology.</w:t>
      </w:r>
    </w:p>
    <w:p>
      <w:pPr>
        <w:pStyle w:val="ListBullet"/>
      </w:pPr>
      <w:r>
        <w:t>A workplace culture that does not encourage questions, experimentation or learning.</w:t>
      </w:r>
    </w:p>
    <w:p>
      <w:pPr>
        <w:pStyle w:val="ListBullet"/>
      </w:pPr>
      <w:r>
        <w:t>Lack of managerial support or opportunities to apply newly learned skills.</w:t>
      </w:r>
    </w:p>
    <w:p>
      <w:r>
        <w:rPr>
          <w:b/>
        </w:rPr>
        <w:t xml:space="preserve">Example – Workplace: </w:t>
      </w:r>
      <w:r>
        <w:t>An employee attends training on data analysis but is given no computer access or time to practise. The training may have limited impact because the work environment does not support transfer of learning.</w:t>
      </w:r>
    </w:p>
    <w:p>
      <w:pPr>
        <w:pStyle w:val="Heading3"/>
      </w:pPr>
      <w:r>
        <w:t>How to Overcome Environmental Barriers</w:t>
      </w:r>
    </w:p>
    <w:p>
      <w:pPr>
        <w:pStyle w:val="ListBullet"/>
      </w:pPr>
      <w:r>
        <w:t>Provide a quiet, accessible and comfortable learning environment.</w:t>
      </w:r>
    </w:p>
    <w:p>
      <w:pPr>
        <w:pStyle w:val="ListBullet"/>
      </w:pPr>
      <w:r>
        <w:t>Schedule learning at realistic times and protect learning time from unnecessary interruptions.</w:t>
      </w:r>
    </w:p>
    <w:p>
      <w:pPr>
        <w:pStyle w:val="ListBullet"/>
      </w:pPr>
      <w:r>
        <w:t>Ensure access to appropriate technology, materials and equipment.</w:t>
      </w:r>
    </w:p>
    <w:p>
      <w:pPr>
        <w:pStyle w:val="ListBullet"/>
      </w:pPr>
      <w:r>
        <w:t>Build a supportive learning culture in which questions and mistakes are treated as opportunities to learn.</w:t>
      </w:r>
    </w:p>
    <w:p>
      <w:pPr>
        <w:pStyle w:val="ListBullet"/>
      </w:pPr>
      <w:r>
        <w:t>Give employees opportunities to apply learning in their jobs.</w:t>
      </w:r>
    </w:p>
    <w:p>
      <w:pPr>
        <w:pStyle w:val="Heading2"/>
      </w:pPr>
      <w:r>
        <w:t>4.2 Physical Barriers</w:t>
      </w:r>
    </w:p>
    <w:p>
      <w:pPr>
        <w:pStyle w:val="ListBullet"/>
      </w:pPr>
      <w:r>
        <w:t>Fatigue, lack of sleep or physical discomfort.</w:t>
      </w:r>
    </w:p>
    <w:p>
      <w:pPr>
        <w:pStyle w:val="ListBullet"/>
      </w:pPr>
      <w:r>
        <w:t>Hearing or visual difficulties that are not accommodated.</w:t>
      </w:r>
    </w:p>
    <w:p>
      <w:pPr>
        <w:pStyle w:val="ListBullet"/>
      </w:pPr>
      <w:r>
        <w:t>Illness or other temporary physical limitations.</w:t>
      </w:r>
    </w:p>
    <w:p>
      <w:pPr>
        <w:pStyle w:val="ListBullet"/>
      </w:pPr>
      <w:r>
        <w:t>Poor seating, inadequate breaks or excessively long sessions.</w:t>
      </w:r>
    </w:p>
    <w:p>
      <w:pPr>
        <w:pStyle w:val="ListBullet"/>
      </w:pPr>
      <w:r>
        <w:t>Accessibility problems for learners with disabilities.</w:t>
      </w:r>
    </w:p>
    <w:p>
      <w:r>
        <w:rPr>
          <w:b/>
        </w:rPr>
        <w:t xml:space="preserve">Example – Training session: </w:t>
      </w:r>
      <w:r>
        <w:t>A three-hour lecture with no break may reduce attention and retention, particularly when learners are already tired after a full workday.</w:t>
      </w:r>
    </w:p>
    <w:p>
      <w:pPr>
        <w:pStyle w:val="Heading3"/>
      </w:pPr>
      <w:r>
        <w:t>How to Overcome Physical Barriers</w:t>
      </w:r>
    </w:p>
    <w:p>
      <w:pPr>
        <w:pStyle w:val="ListBullet"/>
      </w:pPr>
      <w:r>
        <w:t>Use suitable session length and regular breaks.</w:t>
      </w:r>
    </w:p>
    <w:p>
      <w:pPr>
        <w:pStyle w:val="ListBullet"/>
      </w:pPr>
      <w:r>
        <w:t>Provide accessible seating, visual materials, audio support or assistive technology where needed.</w:t>
      </w:r>
    </w:p>
    <w:p>
      <w:pPr>
        <w:pStyle w:val="ListBullet"/>
      </w:pPr>
      <w:r>
        <w:t>Use readable slides, clear audio and appropriate room arrangements.</w:t>
      </w:r>
    </w:p>
    <w:p>
      <w:pPr>
        <w:pStyle w:val="ListBullet"/>
      </w:pPr>
      <w:r>
        <w:t>Avoid scheduling demanding learning activities when learners are likely to be excessively fatigued.</w:t>
      </w:r>
    </w:p>
    <w:p>
      <w:pPr>
        <w:pStyle w:val="Heading2"/>
      </w:pPr>
      <w:r>
        <w:t>4.3 Psychological Barriers</w:t>
      </w:r>
    </w:p>
    <w:p>
      <w:pPr>
        <w:pStyle w:val="ListBullet"/>
      </w:pPr>
      <w:r>
        <w:t>Fear of failure or making mistakes in front of others.</w:t>
      </w:r>
    </w:p>
    <w:p>
      <w:pPr>
        <w:pStyle w:val="ListBullet"/>
      </w:pPr>
      <w:r>
        <w:t>Low motivation or lack of perceived relevance.</w:t>
      </w:r>
    </w:p>
    <w:p>
      <w:pPr>
        <w:pStyle w:val="ListBullet"/>
      </w:pPr>
      <w:r>
        <w:t>Anxiety, stress or lack of confidence.</w:t>
      </w:r>
    </w:p>
    <w:p>
      <w:pPr>
        <w:pStyle w:val="ListBullet"/>
      </w:pPr>
      <w:r>
        <w:t>Negative attitudes toward training or previous bad learning experiences.</w:t>
      </w:r>
    </w:p>
    <w:p>
      <w:pPr>
        <w:pStyle w:val="ListBullet"/>
      </w:pPr>
      <w:r>
        <w:t>Fear that learning a new skill may increase workload or threaten job security.</w:t>
      </w:r>
    </w:p>
    <w:p>
      <w:pPr>
        <w:pStyle w:val="ListBullet"/>
      </w:pPr>
      <w:r>
        <w:t>Resistance to change.</w:t>
      </w:r>
    </w:p>
    <w:p>
      <w:r>
        <w:rPr>
          <w:b/>
        </w:rPr>
        <w:t xml:space="preserve">Example – New technology: </w:t>
      </w:r>
      <w:r>
        <w:t>An experienced employee may avoid a new HR software system because they fear making mistakes and appearing less competent than younger colleagues. The barrier is psychological, not necessarily a lack of ability.</w:t>
      </w:r>
    </w:p>
    <w:p>
      <w:pPr>
        <w:pStyle w:val="Heading3"/>
      </w:pPr>
      <w:r>
        <w:t>How to Overcome Psychological Barriers</w:t>
      </w:r>
    </w:p>
    <w:p>
      <w:pPr>
        <w:pStyle w:val="ListBullet"/>
      </w:pPr>
      <w:r>
        <w:t>Explain why the learning is relevant to the employee’s work and career.</w:t>
      </w:r>
    </w:p>
    <w:p>
      <w:pPr>
        <w:pStyle w:val="ListBullet"/>
      </w:pPr>
      <w:r>
        <w:t>Create a psychologically safe environment where questions and mistakes are acceptable.</w:t>
      </w:r>
    </w:p>
    <w:p>
      <w:pPr>
        <w:pStyle w:val="ListBullet"/>
      </w:pPr>
      <w:r>
        <w:t>Use encouragement, constructive feedback and achievable learning goals.</w:t>
      </w:r>
    </w:p>
    <w:p>
      <w:pPr>
        <w:pStyle w:val="ListBullet"/>
      </w:pPr>
      <w:r>
        <w:t>Recognize progress rather than focusing only on mistakes.</w:t>
      </w:r>
    </w:p>
    <w:p>
      <w:pPr>
        <w:pStyle w:val="ListBullet"/>
      </w:pPr>
      <w:r>
        <w:t>Involve employees in learning decisions where possible.</w:t>
      </w:r>
    </w:p>
    <w:p>
      <w:pPr>
        <w:pStyle w:val="ListBullet"/>
      </w:pPr>
      <w:r>
        <w:t>Provide coaching or mentoring when confidence is low.</w:t>
      </w:r>
    </w:p>
    <w:p>
      <w:pPr>
        <w:pStyle w:val="Heading2"/>
      </w:pPr>
      <w:r>
        <w:t>4.4 Cognitive Barriers</w:t>
      </w:r>
    </w:p>
    <w:p>
      <w:pPr>
        <w:pStyle w:val="ListBullet"/>
      </w:pPr>
      <w:r>
        <w:t>Limited prior knowledge or weak foundation in the subject.</w:t>
      </w:r>
    </w:p>
    <w:p>
      <w:pPr>
        <w:pStyle w:val="ListBullet"/>
      </w:pPr>
      <w:r>
        <w:t>Information overload caused by too much content at once.</w:t>
      </w:r>
    </w:p>
    <w:p>
      <w:pPr>
        <w:pStyle w:val="ListBullet"/>
      </w:pPr>
      <w:r>
        <w:t>Difficulty concentrating or processing complex information.</w:t>
      </w:r>
    </w:p>
    <w:p>
      <w:pPr>
        <w:pStyle w:val="ListBullet"/>
      </w:pPr>
      <w:r>
        <w:t>Language or communication difficulties.</w:t>
      </w:r>
    </w:p>
    <w:p>
      <w:pPr>
        <w:pStyle w:val="ListBullet"/>
      </w:pPr>
      <w:r>
        <w:t>Misunderstanding or incorrect assumptions based on previous knowledge.</w:t>
      </w:r>
    </w:p>
    <w:p>
      <w:pPr>
        <w:pStyle w:val="ListBullet"/>
      </w:pPr>
      <w:r>
        <w:t>Poor memory or difficulty connecting new information with existing knowledge.</w:t>
      </w:r>
    </w:p>
    <w:p>
      <w:r>
        <w:rPr>
          <w:b/>
        </w:rPr>
        <w:t xml:space="preserve">Example – Technical training: </w:t>
      </w:r>
      <w:r>
        <w:t>A new employee is introduced to 40 software functions in one session without practice. The amount of information may exceed the learner’s ability to process and retain it effectively.</w:t>
      </w:r>
    </w:p>
    <w:p>
      <w:pPr>
        <w:pStyle w:val="Heading3"/>
      </w:pPr>
      <w:r>
        <w:t>How to Overcome Cognitive Barriers</w:t>
      </w:r>
    </w:p>
    <w:p>
      <w:pPr>
        <w:pStyle w:val="ListBullet"/>
      </w:pPr>
      <w:r>
        <w:t>Break complex content into smaller, manageable units.</w:t>
      </w:r>
    </w:p>
    <w:p>
      <w:pPr>
        <w:pStyle w:val="ListBullet"/>
      </w:pPr>
      <w:r>
        <w:t>Start with basic concepts and build gradually.</w:t>
      </w:r>
    </w:p>
    <w:p>
      <w:pPr>
        <w:pStyle w:val="ListBullet"/>
      </w:pPr>
      <w:r>
        <w:t>Connect new ideas with learners’ existing knowledge and real work situations.</w:t>
      </w:r>
    </w:p>
    <w:p>
      <w:pPr>
        <w:pStyle w:val="ListBullet"/>
      </w:pPr>
      <w:r>
        <w:t>Use demonstrations, diagrams, examples, practice and repetition.</w:t>
      </w:r>
    </w:p>
    <w:p>
      <w:pPr>
        <w:pStyle w:val="ListBullet"/>
      </w:pPr>
      <w:r>
        <w:t>Check understanding through questions, activities or short assessments.</w:t>
      </w:r>
    </w:p>
    <w:p>
      <w:pPr>
        <w:pStyle w:val="ListBullet"/>
      </w:pPr>
      <w:r>
        <w:t>Provide learning materials for later review.</w:t>
      </w:r>
    </w:p>
    <w:p>
      <w:pPr>
        <w:pStyle w:val="ListBullet"/>
      </w:pPr>
      <w:r>
        <w:t>Use clear and simple language, especially where learners have different language backgrounds.</w:t>
      </w:r>
    </w:p>
    <w:p>
      <w:pPr>
        <w:pStyle w:val="Heading1"/>
      </w:pPr>
      <w:r>
        <w:t>5. Integrated Workplace Example</w:t>
      </w:r>
    </w:p>
    <w:p>
      <w:r>
        <w:t>Suppose a university introduces a new Learning Management System (LMS). The HR department arranges a two-hour training session to teach lecturers how to upload materials, create quizzes and record grades.</w:t>
      </w:r>
    </w:p>
    <w:p>
      <w:pPr>
        <w:pStyle w:val="ListNumber"/>
      </w:pPr>
      <w:r>
        <w:t>Training: The session develops the immediate skills needed to use the LMS.</w:t>
      </w:r>
    </w:p>
    <w:p>
      <w:pPr>
        <w:pStyle w:val="ListNumber"/>
      </w:pPr>
      <w:r>
        <w:t>Development: Follow-up coaching, peer learning and advanced digital-teaching workshops help lecturers build longer-term capability.</w:t>
      </w:r>
    </w:p>
    <w:p>
      <w:pPr>
        <w:pStyle w:val="ListNumber"/>
      </w:pPr>
      <w:r>
        <w:t>Learning cycle: Lecturers use the LMS, reflect on difficulties, develop better ways of using it and test those methods in later classes.</w:t>
      </w:r>
    </w:p>
    <w:p>
      <w:pPr>
        <w:pStyle w:val="ListNumber"/>
      </w:pPr>
      <w:r>
        <w:t>Environmental barrier: Poor internet access can interfere with learning and application.</w:t>
      </w:r>
    </w:p>
    <w:p>
      <w:pPr>
        <w:pStyle w:val="ListNumber"/>
      </w:pPr>
      <w:r>
        <w:t>Physical barrier: Long sessions without breaks may reduce attention.</w:t>
      </w:r>
    </w:p>
    <w:p>
      <w:pPr>
        <w:pStyle w:val="ListNumber"/>
      </w:pPr>
      <w:r>
        <w:t>Psychological barrier: A lecturer may fear making mistakes in front of colleagues.</w:t>
      </w:r>
    </w:p>
    <w:p>
      <w:pPr>
        <w:pStyle w:val="ListNumber"/>
      </w:pPr>
      <w:r>
        <w:t>Cognitive barrier: Too many unfamiliar functions presented at once can cause information overload.</w:t>
      </w:r>
    </w:p>
    <w:p>
      <w:pPr>
        <w:pStyle w:val="ListNumber"/>
      </w:pPr>
      <w:r>
        <w:t>HR solution: Provide hands-on practice, short modules, peer support, accessible guides, feedback and opportunities for repeated use.</w:t>
      </w:r>
    </w:p>
    <w:p>
      <w:pPr>
        <w:pStyle w:val="Heading1"/>
      </w:pPr>
      <w:r>
        <w:t>6. Key Takeaways</w:t>
      </w:r>
    </w:p>
    <w:p>
      <w:pPr>
        <w:pStyle w:val="ListBullet"/>
      </w:pPr>
      <w:r>
        <w:t>Training is generally focused on improving current job performance; development is broader and more future-oriented.</w:t>
      </w:r>
    </w:p>
    <w:p>
      <w:pPr>
        <w:pStyle w:val="ListBullet"/>
      </w:pPr>
      <w:r>
        <w:t>Training and development are complementary rather than mutually exclusive.</w:t>
      </w:r>
    </w:p>
    <w:p>
      <w:pPr>
        <w:pStyle w:val="ListBullet"/>
      </w:pPr>
      <w:r>
        <w:t>Learning is continuous and becomes stronger when people experience, reflect, understand and apply.</w:t>
      </w:r>
    </w:p>
    <w:p>
      <w:pPr>
        <w:pStyle w:val="ListBullet"/>
      </w:pPr>
      <w:r>
        <w:t>Lewin and Kolb emphasize experiential learning cycles, while Honey and Mumford focus on preferred approaches to learning.</w:t>
      </w:r>
    </w:p>
    <w:p>
      <w:pPr>
        <w:pStyle w:val="ListBullet"/>
      </w:pPr>
      <w:r>
        <w:t>Environmental, physical, psychological and cognitive barriers can reduce learning effectiveness.</w:t>
      </w:r>
    </w:p>
    <w:p>
      <w:pPr>
        <w:pStyle w:val="ListBullet"/>
      </w:pPr>
      <w:r>
        <w:t>Effective HRM identifies barriers and designs learning environments that support practice, feedback, application and continuous improvement.</w:t>
      </w:r>
    </w:p>
    <w:p>
      <w:pPr>
        <w:pStyle w:val="Heading1"/>
      </w:pPr>
      <w:r>
        <w:t>7. Review and Discussion Questions</w:t>
      </w:r>
    </w:p>
    <w:p>
      <w:pPr>
        <w:pStyle w:val="ListNumber"/>
      </w:pPr>
      <w:r>
        <w:t>Define training and development. Explain any four differences between them.</w:t>
      </w:r>
    </w:p>
    <w:p>
      <w:pPr>
        <w:pStyle w:val="ListNumber"/>
      </w:pPr>
      <w:r>
        <w:t>Why should an organization invest in both training and development? Give a workplace example.</w:t>
      </w:r>
    </w:p>
    <w:p>
      <w:pPr>
        <w:pStyle w:val="ListNumber"/>
      </w:pPr>
      <w:r>
        <w:t>Explain Kolb’s learning cycle with a suitable example.</w:t>
      </w:r>
    </w:p>
    <w:p>
      <w:pPr>
        <w:pStyle w:val="ListNumber"/>
      </w:pPr>
      <w:r>
        <w:t>Describe the four learning styles identified by Honey and Mumford.</w:t>
      </w:r>
    </w:p>
    <w:p>
      <w:pPr>
        <w:pStyle w:val="ListNumber"/>
      </w:pPr>
      <w:r>
        <w:t>What are environmental, physical, psychological and cognitive barriers to learning? Give one example of each.</w:t>
      </w:r>
    </w:p>
    <w:p>
      <w:pPr>
        <w:pStyle w:val="ListNumber"/>
      </w:pPr>
      <w:r>
        <w:t>A company provides excellent training, but employee performance does not improve. Identify possible barriers and suggest solutions.</w:t>
      </w:r>
    </w:p>
    <w:p>
      <w:pPr>
        <w:pStyle w:val="ListNumber"/>
      </w:pPr>
      <w:r>
        <w:t>How can an HR manager design a learning programme that supports continuous learning rather than a one-off training event?</w:t>
      </w:r>
    </w:p>
    <w:p>
      <w:pPr>
        <w:pStyle w:val="Heading1"/>
      </w:pPr>
      <w:r>
        <w:t>8. Classroom Activity</w:t>
      </w:r>
    </w:p>
    <w:p>
      <w:r>
        <w:t>Case: A company trains 20 employees on a new customer relationship management (CRM) system. After training, many employees continue using the old system. Some say the new system is difficult, some are afraid of making mistakes, and some complain that they have no time to practise.</w:t>
      </w:r>
    </w:p>
    <w:p>
      <w:r>
        <w:t>Task:</w:t>
      </w:r>
    </w:p>
    <w:p>
      <w:pPr>
        <w:pStyle w:val="ListBullet"/>
      </w:pPr>
      <w:r>
        <w:t>Identify the different barriers to learning in the case.</w:t>
      </w:r>
    </w:p>
    <w:p>
      <w:pPr>
        <w:pStyle w:val="ListBullet"/>
      </w:pPr>
      <w:r>
        <w:t>Classify each barrier as environmental, physical, psychological or cognitive.</w:t>
      </w:r>
    </w:p>
    <w:p>
      <w:pPr>
        <w:pStyle w:val="ListBullet"/>
      </w:pPr>
      <w:r>
        <w:t>Suggest two HR interventions for improving learning transfer.</w:t>
      </w:r>
    </w:p>
    <w:p>
      <w:pPr>
        <w:pStyle w:val="ListBullet"/>
      </w:pPr>
      <w:r>
        <w:t>Explain how the learning cycle could be used after the initial training.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Human Resource Management | Training, Development, Learning Cycle &amp; Barriers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