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66CC"/>
          <w:sz w:val="56"/>
        </w:rPr>
        <w:t>SAVIOR BOTTLED WATER</w:t>
      </w:r>
    </w:p>
    <w:p>
      <w:pPr>
        <w:jc w:val="center"/>
      </w:pPr>
      <w:r>
        <w:rPr>
          <w:rFonts w:ascii="Calibri" w:hAnsi="Calibri"/>
          <w:i/>
          <w:color w:val="555555"/>
          <w:sz w:val="28"/>
        </w:rPr>
        <w:t>A Strategic Investment Report on Value Leadership and Sustainable Operations in Bangladesh</w:t>
      </w:r>
    </w:p>
    <w:p/>
    <w:p>
      <w:pPr>
        <w:jc w:val="center"/>
      </w:pPr>
      <w:r>
        <w:rPr>
          <w:b/>
          <w:sz w:val="22"/>
        </w:rPr>
        <w:t xml:space="preserve">Course Title: </w:t>
      </w:r>
      <w:r>
        <w:rPr>
          <w:sz w:val="22"/>
        </w:rPr>
        <w:t>Marketing Management (BA3102)</w:t>
      </w:r>
    </w:p>
    <w:p>
      <w:pPr>
        <w:jc w:val="center"/>
      </w:pPr>
      <w:r>
        <w:rPr>
          <w:b/>
          <w:sz w:val="22"/>
        </w:rPr>
        <w:t xml:space="preserve">Institution: </w:t>
      </w:r>
      <w:r>
        <w:rPr>
          <w:sz w:val="22"/>
        </w:rPr>
        <w:t>Sonargaon University</w:t>
      </w:r>
    </w:p>
    <w:p>
      <w:pPr>
        <w:jc w:val="center"/>
      </w:pPr>
      <w:r>
        <w:rPr>
          <w:b/>
          <w:sz w:val="22"/>
        </w:rPr>
        <w:t xml:space="preserve">Submitted To: </w:t>
      </w:r>
      <w:r>
        <w:rPr>
          <w:sz w:val="22"/>
        </w:rPr>
        <w:t>Sharmila Sikder, Assistant Professor, BBA</w:t>
      </w:r>
    </w:p>
    <w:p>
      <w:pPr>
        <w:jc w:val="center"/>
      </w:pPr>
      <w:r>
        <w:rPr>
          <w:b/>
          <w:sz w:val="22"/>
        </w:rPr>
        <w:t xml:space="preserve">Prepared By: </w:t>
      </w:r>
      <w:r>
        <w:rPr>
          <w:sz w:val="22"/>
        </w:rPr>
        <w:t>Vision Venture</w:t>
      </w:r>
    </w:p>
    <w:p/>
    <w:tbl>
      <w:tblPr>
        <w:tblStyle w:val="TableGrid"/>
        <w:tblW w:type="auto" w:w="0"/>
        <w:tblLook w:firstColumn="1" w:firstRow="1" w:lastColumn="0" w:lastRow="0" w:noHBand="0" w:noVBand="1" w:val="04A0"/>
      </w:tblPr>
      <w:tblGrid>
        <w:gridCol w:w="2880"/>
        <w:gridCol w:w="2880"/>
        <w:gridCol w:w="2880"/>
      </w:tblGrid>
      <w:tr>
        <w:tc>
          <w:tcPr>
            <w:tcW w:type="dxa" w:w="2880"/>
            <w:shd w:fill="2E2E2E"/>
          </w:tcPr>
          <w:p>
            <w:pPr>
              <w:jc w:val="center"/>
            </w:pPr>
            <w:r>
              <w:rPr>
                <w:b/>
                <w:color w:val="FFFFFF"/>
                <w:sz w:val="20"/>
              </w:rPr>
              <w:t>SL</w:t>
            </w:r>
          </w:p>
        </w:tc>
        <w:tc>
          <w:tcPr>
            <w:tcW w:type="dxa" w:w="2880"/>
            <w:shd w:fill="2E2E2E"/>
          </w:tcPr>
          <w:p>
            <w:pPr>
              <w:jc w:val="center"/>
            </w:pPr>
            <w:r>
              <w:rPr>
                <w:b/>
                <w:color w:val="FFFFFF"/>
                <w:sz w:val="20"/>
              </w:rPr>
              <w:t>Name</w:t>
            </w:r>
          </w:p>
        </w:tc>
        <w:tc>
          <w:tcPr>
            <w:tcW w:type="dxa" w:w="2880"/>
            <w:shd w:fill="2E2E2E"/>
          </w:tcPr>
          <w:p>
            <w:pPr>
              <w:jc w:val="center"/>
            </w:pPr>
            <w:r>
              <w:rPr>
                <w:b/>
                <w:color w:val="FFFFFF"/>
                <w:sz w:val="20"/>
              </w:rPr>
              <w:t>ID</w:t>
            </w:r>
          </w:p>
        </w:tc>
      </w:tr>
      <w:tr>
        <w:tc>
          <w:tcPr>
            <w:tcW w:type="dxa" w:w="2880"/>
          </w:tcPr>
          <w:p>
            <w:pPr>
              <w:jc w:val="center"/>
            </w:pPr>
            <w:r>
              <w:rPr>
                <w:sz w:val="20"/>
              </w:rPr>
              <w:t>01</w:t>
            </w:r>
          </w:p>
        </w:tc>
        <w:tc>
          <w:tcPr>
            <w:tcW w:type="dxa" w:w="2880"/>
          </w:tcPr>
          <w:p>
            <w:pPr>
              <w:jc w:val="center"/>
            </w:pPr>
            <w:r>
              <w:rPr>
                <w:sz w:val="20"/>
              </w:rPr>
              <w:t>Rasel Shikder</w:t>
            </w:r>
          </w:p>
        </w:tc>
        <w:tc>
          <w:tcPr>
            <w:tcW w:type="dxa" w:w="2880"/>
          </w:tcPr>
          <w:p>
            <w:pPr>
              <w:jc w:val="center"/>
            </w:pPr>
            <w:r>
              <w:rPr>
                <w:sz w:val="20"/>
              </w:rPr>
              <w:t>BBA2402032084</w:t>
            </w:r>
          </w:p>
        </w:tc>
      </w:tr>
      <w:tr>
        <w:tc>
          <w:tcPr>
            <w:tcW w:type="dxa" w:w="2880"/>
          </w:tcPr>
          <w:p>
            <w:pPr>
              <w:jc w:val="center"/>
            </w:pPr>
            <w:r>
              <w:rPr>
                <w:sz w:val="20"/>
              </w:rPr>
              <w:t>02</w:t>
            </w:r>
          </w:p>
        </w:tc>
        <w:tc>
          <w:tcPr>
            <w:tcW w:type="dxa" w:w="2880"/>
          </w:tcPr>
          <w:p>
            <w:pPr>
              <w:jc w:val="center"/>
            </w:pPr>
            <w:r>
              <w:rPr>
                <w:sz w:val="20"/>
              </w:rPr>
              <w:t>Rahed Abu Jafor Rahi</w:t>
            </w:r>
          </w:p>
        </w:tc>
        <w:tc>
          <w:tcPr>
            <w:tcW w:type="dxa" w:w="2880"/>
          </w:tcPr>
          <w:p>
            <w:pPr>
              <w:jc w:val="center"/>
            </w:pPr>
            <w:r>
              <w:rPr>
                <w:sz w:val="20"/>
              </w:rPr>
              <w:t>BBA2402032089</w:t>
            </w:r>
          </w:p>
        </w:tc>
      </w:tr>
      <w:tr>
        <w:tc>
          <w:tcPr>
            <w:tcW w:type="dxa" w:w="2880"/>
          </w:tcPr>
          <w:p>
            <w:pPr>
              <w:jc w:val="center"/>
            </w:pPr>
            <w:r>
              <w:rPr>
                <w:sz w:val="20"/>
              </w:rPr>
              <w:t>03</w:t>
            </w:r>
          </w:p>
        </w:tc>
        <w:tc>
          <w:tcPr>
            <w:tcW w:type="dxa" w:w="2880"/>
          </w:tcPr>
          <w:p>
            <w:pPr>
              <w:jc w:val="center"/>
            </w:pPr>
            <w:r>
              <w:rPr>
                <w:sz w:val="20"/>
              </w:rPr>
              <w:t>Saidul Islam</w:t>
            </w:r>
          </w:p>
        </w:tc>
        <w:tc>
          <w:tcPr>
            <w:tcW w:type="dxa" w:w="2880"/>
          </w:tcPr>
          <w:p>
            <w:pPr>
              <w:jc w:val="center"/>
            </w:pPr>
            <w:r>
              <w:rPr>
                <w:sz w:val="20"/>
              </w:rPr>
              <w:t>BBA2402032154</w:t>
            </w:r>
          </w:p>
        </w:tc>
      </w:tr>
      <w:tr>
        <w:tc>
          <w:tcPr>
            <w:tcW w:type="dxa" w:w="2880"/>
          </w:tcPr>
          <w:p>
            <w:pPr>
              <w:jc w:val="center"/>
            </w:pPr>
            <w:r>
              <w:rPr>
                <w:sz w:val="20"/>
              </w:rPr>
              <w:t>04</w:t>
            </w:r>
          </w:p>
        </w:tc>
        <w:tc>
          <w:tcPr>
            <w:tcW w:type="dxa" w:w="2880"/>
          </w:tcPr>
          <w:p>
            <w:pPr>
              <w:jc w:val="center"/>
            </w:pPr>
            <w:r>
              <w:rPr>
                <w:sz w:val="20"/>
              </w:rPr>
              <w:t>Mazharul Islam Maruf</w:t>
            </w:r>
          </w:p>
        </w:tc>
        <w:tc>
          <w:tcPr>
            <w:tcW w:type="dxa" w:w="2880"/>
          </w:tcPr>
          <w:p>
            <w:pPr>
              <w:jc w:val="center"/>
            </w:pPr>
            <w:r>
              <w:rPr>
                <w:sz w:val="20"/>
              </w:rPr>
              <w:t>BBA2402032022</w:t>
            </w:r>
          </w:p>
        </w:tc>
      </w:tr>
      <w:tr>
        <w:tc>
          <w:tcPr>
            <w:tcW w:type="dxa" w:w="2880"/>
          </w:tcPr>
          <w:p>
            <w:pPr>
              <w:jc w:val="center"/>
            </w:pPr>
            <w:r>
              <w:rPr>
                <w:sz w:val="20"/>
              </w:rPr>
              <w:t>05</w:t>
            </w:r>
          </w:p>
        </w:tc>
        <w:tc>
          <w:tcPr>
            <w:tcW w:type="dxa" w:w="2880"/>
          </w:tcPr>
          <w:p>
            <w:pPr>
              <w:jc w:val="center"/>
            </w:pPr>
            <w:r>
              <w:rPr>
                <w:sz w:val="20"/>
              </w:rPr>
              <w:t>Tasfiq Abrahy Tousif</w:t>
            </w:r>
          </w:p>
        </w:tc>
        <w:tc>
          <w:tcPr>
            <w:tcW w:type="dxa" w:w="2880"/>
          </w:tcPr>
          <w:p>
            <w:pPr>
              <w:jc w:val="center"/>
            </w:pPr>
            <w:r>
              <w:rPr>
                <w:sz w:val="20"/>
              </w:rPr>
              <w:t>BBA2402032146</w:t>
            </w:r>
          </w:p>
        </w:tc>
      </w:tr>
      <w:tr>
        <w:tc>
          <w:tcPr>
            <w:tcW w:type="dxa" w:w="2880"/>
          </w:tcPr>
          <w:p>
            <w:pPr>
              <w:jc w:val="center"/>
            </w:pPr>
            <w:r>
              <w:rPr>
                <w:sz w:val="20"/>
              </w:rPr>
              <w:t>06</w:t>
            </w:r>
          </w:p>
        </w:tc>
        <w:tc>
          <w:tcPr>
            <w:tcW w:type="dxa" w:w="2880"/>
          </w:tcPr>
          <w:p>
            <w:pPr>
              <w:jc w:val="center"/>
            </w:pPr>
            <w:r>
              <w:rPr>
                <w:sz w:val="20"/>
              </w:rPr>
              <w:t>Abdullah Al Amin</w:t>
            </w:r>
          </w:p>
        </w:tc>
        <w:tc>
          <w:tcPr>
            <w:tcW w:type="dxa" w:w="2880"/>
          </w:tcPr>
          <w:p>
            <w:pPr>
              <w:jc w:val="center"/>
            </w:pPr>
            <w:r>
              <w:rPr>
                <w:sz w:val="20"/>
              </w:rPr>
              <w:t>BBA2402032066</w:t>
            </w:r>
          </w:p>
        </w:tc>
      </w:tr>
    </w:tbl>
    <w:p>
      <w:r>
        <w:br w:type="page"/>
      </w:r>
    </w:p>
    <w:p>
      <w:pPr>
        <w:jc w:val="left"/>
      </w:pPr>
      <w:r>
        <w:rPr>
          <w:rFonts w:ascii="Calibri" w:hAnsi="Calibri"/>
          <w:b/>
          <w:color w:val="0066CC"/>
          <w:sz w:val="36"/>
        </w:rPr>
        <w:t>TABLE OF CONTENTS</w:t>
      </w:r>
    </w:p>
    <w:p>
      <w:r>
        <w:rPr>
          <w:rFonts w:ascii="Calibri" w:hAnsi="Calibri"/>
          <w:sz w:val="22"/>
        </w:rPr>
        <w:t>1. Executive Summary</w:t>
      </w:r>
    </w:p>
    <w:p>
      <w:r>
        <w:rPr>
          <w:rFonts w:ascii="Calibri" w:hAnsi="Calibri"/>
          <w:sz w:val="22"/>
        </w:rPr>
        <w:t>2. Introduction</w:t>
      </w:r>
    </w:p>
    <w:p>
      <w:r>
        <w:rPr>
          <w:rFonts w:ascii="Calibri" w:hAnsi="Calibri"/>
          <w:sz w:val="22"/>
        </w:rPr>
        <w:t>3. Problem Statement</w:t>
      </w:r>
    </w:p>
    <w:p>
      <w:r>
        <w:rPr>
          <w:rFonts w:ascii="Calibri" w:hAnsi="Calibri"/>
          <w:sz w:val="22"/>
        </w:rPr>
        <w:t>4. Project Goals</w:t>
      </w:r>
    </w:p>
    <w:p>
      <w:r>
        <w:rPr>
          <w:rFonts w:ascii="Calibri" w:hAnsi="Calibri"/>
          <w:sz w:val="22"/>
        </w:rPr>
        <w:t>5. About Savior</w:t>
      </w:r>
    </w:p>
    <w:p>
      <w:r>
        <w:rPr>
          <w:rFonts w:ascii="Calibri" w:hAnsi="Calibri"/>
          <w:sz w:val="22"/>
        </w:rPr>
        <w:t>6. What We Offer</w:t>
      </w:r>
    </w:p>
    <w:p>
      <w:r>
        <w:rPr>
          <w:rFonts w:ascii="Calibri" w:hAnsi="Calibri"/>
          <w:sz w:val="22"/>
        </w:rPr>
        <w:t>7. Target Market</w:t>
      </w:r>
    </w:p>
    <w:p>
      <w:r>
        <w:rPr>
          <w:rFonts w:ascii="Calibri" w:hAnsi="Calibri"/>
          <w:sz w:val="22"/>
        </w:rPr>
        <w:t>8. Marketing Mix (4Ps)</w:t>
      </w:r>
    </w:p>
    <w:p>
      <w:r>
        <w:rPr>
          <w:rFonts w:ascii="Calibri" w:hAnsi="Calibri"/>
          <w:sz w:val="22"/>
        </w:rPr>
        <w:t>9. SWOT Analysis</w:t>
      </w:r>
    </w:p>
    <w:p>
      <w:r>
        <w:rPr>
          <w:rFonts w:ascii="Calibri" w:hAnsi="Calibri"/>
          <w:sz w:val="22"/>
        </w:rPr>
        <w:t>10. Financial Plan</w:t>
      </w:r>
    </w:p>
    <w:p>
      <w:r>
        <w:rPr>
          <w:rFonts w:ascii="Calibri" w:hAnsi="Calibri"/>
          <w:sz w:val="22"/>
        </w:rPr>
        <w:t>11. Future Improvements</w:t>
      </w:r>
    </w:p>
    <w:p>
      <w:r>
        <w:rPr>
          <w:rFonts w:ascii="Calibri" w:hAnsi="Calibri"/>
          <w:sz w:val="22"/>
        </w:rPr>
        <w:t>12. Conclusion</w:t>
      </w:r>
    </w:p>
    <w:p>
      <w:r>
        <w:rPr>
          <w:rFonts w:ascii="Calibri" w:hAnsi="Calibri"/>
          <w:sz w:val="22"/>
        </w:rPr>
        <w:t>13. References</w:t>
      </w:r>
    </w:p>
    <w:p>
      <w:r>
        <w:br w:type="page"/>
      </w:r>
    </w:p>
    <w:p>
      <w:pPr>
        <w:jc w:val="left"/>
      </w:pPr>
      <w:r>
        <w:rPr>
          <w:rFonts w:ascii="Calibri" w:hAnsi="Calibri"/>
          <w:b/>
          <w:color w:val="0066CC"/>
          <w:sz w:val="32"/>
        </w:rPr>
        <w:t>1. EXECUTIVE SUMMARY</w:t>
      </w:r>
    </w:p>
    <w:p>
      <w:r>
        <w:rPr>
          <w:rFonts w:ascii="Calibri" w:hAnsi="Calibri"/>
          <w:b w:val="0"/>
          <w:i w:val="0"/>
          <w:sz w:val="22"/>
        </w:rPr>
        <w:t>Savior Bottled Water tackles two urgent problems in Bangladesh: scarce affordable safe drinking water and severe plastic pollution. Using advanced multi-stage RO/UV purification, Savior sells certified-safe water at 14–16 BDT for 500ml — 20–30% below competitors Mum (18–20 BDT) and Kinley (20–22 BDT).</w:t>
      </w:r>
    </w:p>
    <w:p>
      <w:r>
        <w:rPr>
          <w:rFonts w:ascii="Calibri" w:hAnsi="Calibri"/>
          <w:b w:val="0"/>
          <w:i w:val="0"/>
          <w:sz w:val="22"/>
        </w:rPr>
        <w:t>The brand launches with 250ml, 500ml, and 1L bottles, expanding to 2L and 5L for households and businesses. Sustainability is built into operations through solar-powered production, 75–80% optimized RO recovery, and hybrid packaging: plant-based PLA for small bottles, durable reusable PET/HDPE for larger formats.</w:t>
      </w:r>
    </w:p>
    <w:p>
      <w:r>
        <w:rPr>
          <w:rFonts w:ascii="Calibri" w:hAnsi="Calibri"/>
          <w:b w:val="0"/>
          <w:i w:val="0"/>
          <w:sz w:val="22"/>
        </w:rPr>
        <w:t>Test phase (7,000 units/month) projects a monthly loss of 10,500 BDT due to 28,500 BDT fixed costs. Break-even at 14,000 units/month. Full-scale production (50,000 units/month) targets annual profits exceeding 2.64 million BDT by Year 3.</w:t>
      </w:r>
    </w:p>
    <w:p>
      <w:pPr>
        <w:jc w:val="left"/>
      </w:pPr>
      <w:r>
        <w:rPr>
          <w:rFonts w:ascii="Calibri" w:hAnsi="Calibri"/>
          <w:b/>
          <w:color w:val="0066CC"/>
          <w:sz w:val="32"/>
        </w:rPr>
        <w:t>2. INTRODUCTION</w:t>
      </w:r>
    </w:p>
    <w:p>
      <w:pPr>
        <w:jc w:val="left"/>
      </w:pPr>
      <w:r>
        <w:rPr>
          <w:rFonts w:ascii="Calibri" w:hAnsi="Calibri"/>
          <w:b/>
          <w:color w:val="000000"/>
          <w:sz w:val="26"/>
        </w:rPr>
        <w:t>2.1 Background</w:t>
      </w:r>
    </w:p>
    <w:p>
      <w:r>
        <w:rPr>
          <w:rFonts w:ascii="Calibri" w:hAnsi="Calibri"/>
          <w:b w:val="0"/>
          <w:i w:val="0"/>
          <w:sz w:val="22"/>
        </w:rPr>
        <w:t>In Bangladesh, bottled water is not a luxury but a public health necessity. Widespread contamination has made most public water sources unsafe to drink. Groundwater accessed through tubewells contains dangerous levels of arsenic, putting an estimated 50 million people at risk of severe illnesses including skin disease, organ damage, and cancer. Additional contaminants such as manganese and boron further threaten public health, with children facing the greatest vulnerability.</w:t>
      </w:r>
    </w:p>
    <w:p>
      <w:r>
        <w:rPr>
          <w:rFonts w:ascii="Calibri" w:hAnsi="Calibri"/>
          <w:b w:val="0"/>
          <w:i w:val="0"/>
          <w:sz w:val="22"/>
        </w:rPr>
        <w:t>Because consuming this polluted water directly causes preventable disease, certified purified water has become an essential health commodity rather than an optional purchase.</w:t>
      </w:r>
    </w:p>
    <w:p>
      <w:pPr>
        <w:jc w:val="left"/>
      </w:pPr>
      <w:r>
        <w:rPr>
          <w:rFonts w:ascii="Calibri" w:hAnsi="Calibri"/>
          <w:b/>
          <w:color w:val="000000"/>
          <w:sz w:val="26"/>
        </w:rPr>
        <w:t>2.2 The Environmental Crisis</w:t>
      </w:r>
    </w:p>
    <w:p>
      <w:r>
        <w:rPr>
          <w:rFonts w:ascii="Calibri" w:hAnsi="Calibri"/>
          <w:b w:val="0"/>
          <w:i w:val="0"/>
          <w:sz w:val="22"/>
        </w:rPr>
        <w:t>Bangladesh generates 3.15–3.84 billion single-use plastic bottles annually. 78.6% are never recycled. Only 21.4% recycled nationwide; 37.2% in Dhaka. Major waterways including the Buriganga, Turag, and Shitalakshya Rivers are heavily polluted with plastic debris. Bottles persist 450 years, degrading into microplastics and releasing BPA. Only 18.4% of urban consumers recognize these environmental hazards.</w:t>
      </w:r>
    </w:p>
    <w:p>
      <w:pPr>
        <w:jc w:val="left"/>
      </w:pPr>
      <w:r>
        <w:rPr>
          <w:rFonts w:ascii="Calibri" w:hAnsi="Calibri"/>
          <w:b/>
          <w:color w:val="0066CC"/>
          <w:sz w:val="32"/>
        </w:rPr>
        <w:t>3. PROBLEM STATEMENT</w:t>
      </w:r>
    </w:p>
    <w:p>
      <w:pPr>
        <w:jc w:val="left"/>
      </w:pPr>
      <w:r>
        <w:rPr>
          <w:rFonts w:ascii="Calibri" w:hAnsi="Calibri"/>
          <w:b/>
          <w:color w:val="000000"/>
          <w:sz w:val="24"/>
        </w:rPr>
        <w:t>Problem 1: Unsafe Drinking Water</w:t>
      </w:r>
    </w:p>
    <w:p>
      <w:pPr>
        <w:pStyle w:val="ListBullet"/>
        <w:spacing w:after="80"/>
        <w:ind w:left="360"/>
      </w:pPr>
      <w:r>
        <w:t>50 million people at risk from arsenic-contaminated groundwater</w:t>
      </w:r>
    </w:p>
    <w:p>
      <w:pPr>
        <w:pStyle w:val="ListBullet"/>
        <w:spacing w:after="80"/>
        <w:ind w:left="360"/>
      </w:pPr>
      <w:r>
        <w:t>63% of Dhaka tap water tests positive for E. coli</w:t>
      </w:r>
    </w:p>
    <w:p>
      <w:pPr>
        <w:pStyle w:val="ListBullet"/>
        <w:spacing w:after="80"/>
        <w:ind w:left="360"/>
      </w:pPr>
      <w:r>
        <w:t>Additional contaminants: manganese, boron, heavy metals</w:t>
      </w:r>
    </w:p>
    <w:p>
      <w:pPr>
        <w:pStyle w:val="ListBullet"/>
        <w:spacing w:after="80"/>
        <w:ind w:left="360"/>
      </w:pPr>
      <w:r>
        <w:t>Children face greatest vulnerability</w:t>
      </w:r>
    </w:p>
    <w:p>
      <w:pPr>
        <w:jc w:val="left"/>
      </w:pPr>
      <w:r>
        <w:rPr>
          <w:rFonts w:ascii="Calibri" w:hAnsi="Calibri"/>
          <w:b/>
          <w:color w:val="000000"/>
          <w:sz w:val="24"/>
        </w:rPr>
        <w:t>Problem 2: Unaffordable Safe Water</w:t>
      </w:r>
    </w:p>
    <w:p>
      <w:pPr>
        <w:pStyle w:val="ListBullet"/>
        <w:spacing w:after="80"/>
        <w:ind w:left="360"/>
      </w:pPr>
      <w:r>
        <w:t>Premium brands (Kinley: 20–22 BDT, Mum: 18–20 BDT) price out the mass market</w:t>
      </w:r>
    </w:p>
    <w:p>
      <w:pPr>
        <w:pStyle w:val="ListBullet"/>
        <w:spacing w:after="80"/>
        <w:ind w:left="360"/>
      </w:pPr>
      <w:r>
        <w:t>Budget brands (Fresh: 15–18 BDT) suffer perceived lower quality</w:t>
      </w:r>
    </w:p>
    <w:p>
      <w:pPr>
        <w:pStyle w:val="ListBullet"/>
        <w:spacing w:after="80"/>
        <w:ind w:left="360"/>
      </w:pPr>
      <w:r>
        <w:t>No brand combines certified purity with genuine affordability</w:t>
      </w:r>
    </w:p>
    <w:p>
      <w:pPr>
        <w:jc w:val="left"/>
      </w:pPr>
      <w:r>
        <w:rPr>
          <w:rFonts w:ascii="Calibri" w:hAnsi="Calibri"/>
          <w:b/>
          <w:color w:val="000000"/>
          <w:sz w:val="24"/>
        </w:rPr>
        <w:t>Problem 3: Plastic Pollution</w:t>
      </w:r>
    </w:p>
    <w:p>
      <w:pPr>
        <w:pStyle w:val="ListBullet"/>
        <w:spacing w:after="80"/>
        <w:ind w:left="360"/>
      </w:pPr>
      <w:r>
        <w:t>3.15–3.84 billion SUP bottles generated annually; 78.6% not recycled</w:t>
      </w:r>
    </w:p>
    <w:p>
      <w:pPr>
        <w:pStyle w:val="ListBullet"/>
        <w:spacing w:after="80"/>
        <w:ind w:left="360"/>
      </w:pPr>
      <w:r>
        <w:t>Bottles persist 450 years, degrading into microplastics</w:t>
      </w:r>
    </w:p>
    <w:p>
      <w:pPr>
        <w:pStyle w:val="ListBullet"/>
        <w:spacing w:after="80"/>
        <w:ind w:left="360"/>
      </w:pPr>
      <w:r>
        <w:t>Only 18.4% of urban consumers aware of environmental risks</w:t>
      </w:r>
    </w:p>
    <w:p>
      <w:pPr>
        <w:pStyle w:val="ListBullet"/>
        <w:spacing w:after="80"/>
        <w:ind w:left="360"/>
      </w:pPr>
      <w:r>
        <w:t>No major brand adopts measurable sustainable packaging</w:t>
      </w:r>
    </w:p>
    <w:p>
      <w:pPr>
        <w:jc w:val="left"/>
      </w:pPr>
      <w:r>
        <w:rPr>
          <w:rFonts w:ascii="Calibri" w:hAnsi="Calibri"/>
          <w:b/>
          <w:color w:val="0066CC"/>
          <w:sz w:val="32"/>
        </w:rPr>
        <w:t>4. PROJECT GOALS</w:t>
      </w:r>
    </w:p>
    <w:p>
      <w:pPr>
        <w:jc w:val="left"/>
      </w:pPr>
      <w:r>
        <w:rPr>
          <w:rFonts w:ascii="Calibri" w:hAnsi="Calibri"/>
          <w:b/>
          <w:color w:val="000000"/>
          <w:sz w:val="24"/>
        </w:rPr>
        <w:t>Primary Goals</w:t>
      </w:r>
    </w:p>
    <w:p>
      <w:pPr>
        <w:pStyle w:val="ListBullet"/>
        <w:spacing w:after="80"/>
        <w:ind w:left="360"/>
      </w:pPr>
      <w:r>
        <w:t>Provide certified, arsenic-free drinking water to price-sensitive consumers</w:t>
      </w:r>
    </w:p>
    <w:p>
      <w:pPr>
        <w:pStyle w:val="ListBullet"/>
        <w:spacing w:after="80"/>
        <w:ind w:left="360"/>
      </w:pPr>
      <w:r>
        <w:t>Capture market share with 20–30% lower prices than competitors</w:t>
      </w:r>
    </w:p>
    <w:p>
      <w:pPr>
        <w:pStyle w:val="ListBullet"/>
        <w:spacing w:after="80"/>
        <w:ind w:left="360"/>
      </w:pPr>
      <w:r>
        <w:t>Minimize plastic waste through plant-based packaging and reuse programs</w:t>
      </w:r>
    </w:p>
    <w:p>
      <w:pPr>
        <w:jc w:val="left"/>
      </w:pPr>
      <w:r>
        <w:rPr>
          <w:rFonts w:ascii="Calibri" w:hAnsi="Calibri"/>
          <w:b/>
          <w:color w:val="000000"/>
          <w:sz w:val="24"/>
        </w:rPr>
        <w:t>Secondary Goals</w:t>
      </w:r>
    </w:p>
    <w:p>
      <w:pPr>
        <w:pStyle w:val="ListBullet"/>
        <w:spacing w:after="80"/>
        <w:ind w:left="360"/>
      </w:pPr>
      <w:r>
        <w:t>Reach break-even (14,000 units/month) within 6–9 months</w:t>
      </w:r>
    </w:p>
    <w:p>
      <w:pPr>
        <w:pStyle w:val="ListBullet"/>
        <w:spacing w:after="80"/>
        <w:ind w:left="360"/>
      </w:pPr>
      <w:r>
        <w:t>Establish Savior as trusted value-leader within 3 years</w:t>
      </w:r>
    </w:p>
    <w:p>
      <w:pPr>
        <w:pStyle w:val="ListBullet"/>
        <w:spacing w:after="80"/>
        <w:ind w:left="360"/>
      </w:pPr>
      <w:r>
        <w:t>Achieve 75–80% RO recovery and solar-powered production</w:t>
      </w:r>
    </w:p>
    <w:p>
      <w:pPr>
        <w:pStyle w:val="ListBullet"/>
        <w:spacing w:after="80"/>
        <w:ind w:left="360"/>
      </w:pPr>
      <w:r>
        <w:t>Create local employment in manufacturing and logistics</w:t>
      </w:r>
    </w:p>
    <w:p>
      <w:pPr>
        <w:jc w:val="left"/>
      </w:pPr>
      <w:r>
        <w:rPr>
          <w:rFonts w:ascii="Calibri" w:hAnsi="Calibri"/>
          <w:b/>
          <w:color w:val="000000"/>
          <w:sz w:val="24"/>
        </w:rPr>
        <w:t>Long-Term Goals</w:t>
      </w:r>
    </w:p>
    <w:p>
      <w:pPr>
        <w:pStyle w:val="ListBullet"/>
        <w:spacing w:after="80"/>
        <w:ind w:left="360"/>
      </w:pPr>
      <w:r>
        <w:t>Introduce 2L and 5L formats for household and B2B markets</w:t>
      </w:r>
    </w:p>
    <w:p>
      <w:pPr>
        <w:pStyle w:val="ListBullet"/>
        <w:spacing w:after="80"/>
        <w:ind w:left="360"/>
      </w:pPr>
      <w:r>
        <w:t>Develop bottle buy-back program</w:t>
      </w:r>
    </w:p>
    <w:p>
      <w:pPr>
        <w:pStyle w:val="ListBullet"/>
        <w:spacing w:after="80"/>
        <w:ind w:left="360"/>
      </w:pPr>
      <w:r>
        <w:t>Expand from Dhaka to Narayanganj, Gazipur, and beyond</w:t>
      </w:r>
    </w:p>
    <w:p>
      <w:pPr>
        <w:pStyle w:val="ListBullet"/>
        <w:spacing w:after="80"/>
        <w:ind w:left="360"/>
      </w:pPr>
      <w:r>
        <w:t>Target annual profitability of 2.64 million BDT by Year 3</w:t>
      </w:r>
    </w:p>
    <w:p>
      <w:pPr>
        <w:jc w:val="left"/>
      </w:pPr>
      <w:r>
        <w:rPr>
          <w:rFonts w:ascii="Calibri" w:hAnsi="Calibri"/>
          <w:b/>
          <w:color w:val="0066CC"/>
          <w:sz w:val="32"/>
        </w:rPr>
        <w:t>5. ABOUT SAVIOR</w:t>
      </w:r>
    </w:p>
    <w:p>
      <w:pPr>
        <w:jc w:val="left"/>
      </w:pPr>
      <w:r>
        <w:rPr>
          <w:rFonts w:ascii="Calibri" w:hAnsi="Calibri"/>
          <w:b/>
          <w:color w:val="000000"/>
          <w:sz w:val="24"/>
        </w:rPr>
        <w:t>Brand Identity</w:t>
      </w:r>
    </w:p>
    <w:p>
      <w:pPr>
        <w:pStyle w:val="ListBullet"/>
        <w:spacing w:after="80"/>
        <w:ind w:left="360"/>
      </w:pPr>
      <w:r>
        <w:t>Name: Savior Bottled Water</w:t>
      </w:r>
    </w:p>
    <w:p>
      <w:pPr>
        <w:pStyle w:val="ListBullet"/>
        <w:spacing w:after="80"/>
        <w:ind w:left="360"/>
      </w:pPr>
      <w:r>
        <w:t>Tagline: "Save yourself, reimagine yourself"</w:t>
      </w:r>
    </w:p>
    <w:p>
      <w:pPr>
        <w:pStyle w:val="ListBullet"/>
        <w:spacing w:after="80"/>
        <w:ind w:left="360"/>
      </w:pPr>
      <w:r>
        <w:t>By: Vision Venture, Sonargaon University</w:t>
      </w:r>
    </w:p>
    <w:p>
      <w:pPr>
        <w:jc w:val="left"/>
      </w:pPr>
      <w:r>
        <w:rPr>
          <w:rFonts w:ascii="Calibri" w:hAnsi="Calibri"/>
          <w:b/>
          <w:color w:val="000000"/>
          <w:sz w:val="24"/>
        </w:rPr>
        <w:t>Mission</w:t>
      </w:r>
    </w:p>
    <w:p>
      <w:r>
        <w:rPr>
          <w:rFonts w:ascii="Calibri" w:hAnsi="Calibri"/>
          <w:b w:val="0"/>
          <w:i w:val="0"/>
          <w:sz w:val="22"/>
        </w:rPr>
        <w:t>Provide certified, safe drinking water at genuinely affordable prices while minimizing environmental impact.</w:t>
      </w:r>
    </w:p>
    <w:p>
      <w:pPr>
        <w:jc w:val="left"/>
      </w:pPr>
      <w:r>
        <w:rPr>
          <w:rFonts w:ascii="Calibri" w:hAnsi="Calibri"/>
          <w:b/>
          <w:color w:val="000000"/>
          <w:sz w:val="24"/>
        </w:rPr>
        <w:t>Vision</w:t>
      </w:r>
    </w:p>
    <w:p>
      <w:r>
        <w:rPr>
          <w:rFonts w:ascii="Calibri" w:hAnsi="Calibri"/>
          <w:b w:val="0"/>
          <w:i w:val="0"/>
          <w:sz w:val="22"/>
        </w:rPr>
        <w:t>Become Bangladesh's leading value-driven bottled water brand.</w:t>
      </w:r>
    </w:p>
    <w:p>
      <w:pPr>
        <w:jc w:val="left"/>
      </w:pPr>
      <w:r>
        <w:rPr>
          <w:rFonts w:ascii="Calibri" w:hAnsi="Calibri"/>
          <w:b/>
          <w:color w:val="000000"/>
          <w:sz w:val="24"/>
        </w:rPr>
        <w:t>Core Values</w:t>
      </w:r>
    </w:p>
    <w:p>
      <w:pPr>
        <w:pStyle w:val="ListBullet"/>
        <w:spacing w:after="80"/>
        <w:ind w:left="360"/>
      </w:pPr>
      <w:r>
        <w:t>Purity Assurance: Multi-stage RO/UV filtration</w:t>
      </w:r>
    </w:p>
    <w:p>
      <w:pPr>
        <w:pStyle w:val="ListBullet"/>
        <w:spacing w:after="80"/>
        <w:ind w:left="360"/>
      </w:pPr>
      <w:r>
        <w:t>Affordability: Lean production, solar power, penetration pricing</w:t>
      </w:r>
    </w:p>
    <w:p>
      <w:pPr>
        <w:pStyle w:val="ListBullet"/>
        <w:spacing w:after="80"/>
        <w:ind w:left="360"/>
      </w:pPr>
      <w:r>
        <w:t>Eco-Responsibility: Sustainable packaging and operations</w:t>
      </w:r>
    </w:p>
    <w:p>
      <w:pPr>
        <w:jc w:val="left"/>
      </w:pPr>
      <w:r>
        <w:rPr>
          <w:rFonts w:ascii="Calibri" w:hAnsi="Calibri"/>
          <w:b/>
          <w:color w:val="000000"/>
          <w:sz w:val="24"/>
        </w:rPr>
        <w:t>Unique Value Proposition</w:t>
      </w:r>
    </w:p>
    <w:p>
      <w:pPr>
        <w:pStyle w:val="ListBullet"/>
        <w:spacing w:after="80"/>
        <w:ind w:left="360"/>
      </w:pPr>
      <w:r>
        <w:t>Best Value for Money: 500ml at 14–16 BDT, 20–30% below competitors</w:t>
      </w:r>
    </w:p>
    <w:p>
      <w:pPr>
        <w:pStyle w:val="ListBullet"/>
        <w:spacing w:after="80"/>
        <w:ind w:left="360"/>
      </w:pPr>
      <w:r>
        <w:t>Unbeatable Purity: Certified, transparent testing protocols</w:t>
      </w:r>
    </w:p>
    <w:p>
      <w:pPr>
        <w:pStyle w:val="ListBullet"/>
        <w:spacing w:after="80"/>
        <w:ind w:left="360"/>
      </w:pPr>
      <w:r>
        <w:t>Eco-Friendly Empowerment: Conscious packaging, clear disposal instructions</w:t>
      </w:r>
    </w:p>
    <w:p>
      <w:pPr>
        <w:jc w:val="left"/>
      </w:pPr>
      <w:r>
        <w:rPr>
          <w:rFonts w:ascii="Calibri" w:hAnsi="Calibri"/>
          <w:b/>
          <w:color w:val="000000"/>
          <w:sz w:val="24"/>
        </w:rPr>
        <w:t>Mitigation of Perceived Lower Quality</w:t>
      </w:r>
    </w:p>
    <w:p>
      <w:r>
        <w:rPr>
          <w:rFonts w:ascii="Calibri" w:hAnsi="Calibri"/>
          <w:b w:val="0"/>
          <w:i w:val="0"/>
          <w:sz w:val="22"/>
        </w:rPr>
        <w:t>Budget brands like Fresh suffer quality perception issues. Savior counters this by marketing its multi-stage RO, carbon, and UV sterilization process, highlighting certification and CCPP optimization to prove low price results from operational efficiency, not compromised safety.</w:t>
      </w:r>
    </w:p>
    <w:p>
      <w:pPr>
        <w:jc w:val="left"/>
      </w:pPr>
      <w:r>
        <w:rPr>
          <w:rFonts w:ascii="Calibri" w:hAnsi="Calibri"/>
          <w:b/>
          <w:color w:val="0066CC"/>
          <w:sz w:val="32"/>
        </w:rPr>
        <w:t>6. WHAT WE OFFER</w:t>
      </w:r>
    </w:p>
    <w:p>
      <w:pPr>
        <w:jc w:val="left"/>
      </w:pPr>
      <w:r>
        <w:rPr>
          <w:rFonts w:ascii="Calibri" w:hAnsi="Calibri"/>
          <w:b/>
          <w:color w:val="000000"/>
          <w:sz w:val="24"/>
        </w:rPr>
        <w:t>6.1 Product Line</w:t>
      </w:r>
    </w:p>
    <w:p>
      <w:r>
        <w:rPr>
          <w:rFonts w:ascii="Calibri" w:hAnsi="Calibri"/>
          <w:b/>
          <w:i w:val="0"/>
          <w:sz w:val="22"/>
        </w:rPr>
        <w:t>Phase 1 — Initial Launch: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2E2E"/>
          </w:tcPr>
          <w:p>
            <w:pPr>
              <w:jc w:val="center"/>
            </w:pPr>
            <w:r>
              <w:rPr>
                <w:b/>
                <w:color w:val="FFFFFF"/>
                <w:sz w:val="20"/>
              </w:rPr>
              <w:t>Bottle Size</w:t>
            </w:r>
          </w:p>
        </w:tc>
        <w:tc>
          <w:tcPr>
            <w:tcW w:type="dxa" w:w="1728"/>
            <w:shd w:fill="2E2E2E"/>
          </w:tcPr>
          <w:p>
            <w:pPr>
              <w:jc w:val="center"/>
            </w:pPr>
            <w:r>
              <w:rPr>
                <w:b/>
                <w:color w:val="FFFFFF"/>
                <w:sz w:val="20"/>
              </w:rPr>
              <w:t>Target Market</w:t>
            </w:r>
          </w:p>
        </w:tc>
        <w:tc>
          <w:tcPr>
            <w:tcW w:type="dxa" w:w="1728"/>
            <w:shd w:fill="2E2E2E"/>
          </w:tcPr>
          <w:p>
            <w:pPr>
              <w:jc w:val="center"/>
            </w:pPr>
            <w:r>
              <w:rPr>
                <w:b/>
                <w:color w:val="FFFFFF"/>
                <w:sz w:val="20"/>
              </w:rPr>
              <w:t>Cost (BDT)</w:t>
            </w:r>
          </w:p>
        </w:tc>
        <w:tc>
          <w:tcPr>
            <w:tcW w:type="dxa" w:w="1728"/>
            <w:shd w:fill="2E2E2E"/>
          </w:tcPr>
          <w:p>
            <w:pPr>
              <w:jc w:val="center"/>
            </w:pPr>
            <w:r>
              <w:rPr>
                <w:b/>
                <w:color w:val="FFFFFF"/>
                <w:sz w:val="20"/>
              </w:rPr>
              <w:t>Price (BDT)</w:t>
            </w:r>
          </w:p>
        </w:tc>
        <w:tc>
          <w:tcPr>
            <w:tcW w:type="dxa" w:w="1728"/>
            <w:shd w:fill="2E2E2E"/>
          </w:tcPr>
          <w:p>
            <w:pPr>
              <w:jc w:val="center"/>
            </w:pPr>
            <w:r>
              <w:rPr>
                <w:b/>
                <w:color w:val="FFFFFF"/>
                <w:sz w:val="20"/>
              </w:rPr>
              <w:t>Advantage</w:t>
            </w:r>
          </w:p>
        </w:tc>
      </w:tr>
      <w:tr>
        <w:tc>
          <w:tcPr>
            <w:tcW w:type="dxa" w:w="1728"/>
          </w:tcPr>
          <w:p>
            <w:r>
              <w:t>250 ml</w:t>
            </w:r>
          </w:p>
        </w:tc>
        <w:tc>
          <w:tcPr>
            <w:tcW w:type="dxa" w:w="1728"/>
          </w:tcPr>
          <w:p>
            <w:r>
              <w:t>Students, Street Vendors</w:t>
            </w:r>
          </w:p>
        </w:tc>
        <w:tc>
          <w:tcPr>
            <w:tcW w:type="dxa" w:w="1728"/>
          </w:tcPr>
          <w:p>
            <w:r>
              <w:t>7.00</w:t>
            </w:r>
          </w:p>
        </w:tc>
        <w:tc>
          <w:tcPr>
            <w:tcW w:type="dxa" w:w="1728"/>
          </w:tcPr>
          <w:p>
            <w:r>
              <w:t>8.50</w:t>
            </w:r>
          </w:p>
        </w:tc>
        <w:tc>
          <w:tcPr>
            <w:tcW w:type="dxa" w:w="1728"/>
          </w:tcPr>
          <w:p>
            <w:r>
              <w:t>Immediate Affordability</w:t>
            </w:r>
          </w:p>
        </w:tc>
      </w:tr>
      <w:tr>
        <w:tc>
          <w:tcPr>
            <w:tcW w:type="dxa" w:w="1728"/>
            <w:shd w:fill="F5F5F5"/>
          </w:tcPr>
          <w:p>
            <w:r>
              <w:t>500 ml</w:t>
            </w:r>
          </w:p>
        </w:tc>
        <w:tc>
          <w:tcPr>
            <w:tcW w:type="dxa" w:w="1728"/>
            <w:shd w:fill="F5F5F5"/>
          </w:tcPr>
          <w:p>
            <w:r>
              <w:t>Daily Consumption</w:t>
            </w:r>
          </w:p>
        </w:tc>
        <w:tc>
          <w:tcPr>
            <w:tcW w:type="dxa" w:w="1728"/>
            <w:shd w:fill="F5F5F5"/>
          </w:tcPr>
          <w:p>
            <w:r>
              <w:t>9.80</w:t>
            </w:r>
          </w:p>
        </w:tc>
        <w:tc>
          <w:tcPr>
            <w:tcW w:type="dxa" w:w="1728"/>
            <w:shd w:fill="F5F5F5"/>
          </w:tcPr>
          <w:p>
            <w:r>
              <w:t>14.00</w:t>
            </w:r>
          </w:p>
        </w:tc>
        <w:tc>
          <w:tcPr>
            <w:tcW w:type="dxa" w:w="1728"/>
            <w:shd w:fill="F5F5F5"/>
          </w:tcPr>
          <w:p>
            <w:r>
              <w:t>Core Value Leader</w:t>
            </w:r>
          </w:p>
        </w:tc>
      </w:tr>
      <w:tr>
        <w:tc>
          <w:tcPr>
            <w:tcW w:type="dxa" w:w="1728"/>
          </w:tcPr>
          <w:p>
            <w:r>
              <w:t>1 Liter</w:t>
            </w:r>
          </w:p>
        </w:tc>
        <w:tc>
          <w:tcPr>
            <w:tcW w:type="dxa" w:w="1728"/>
          </w:tcPr>
          <w:p>
            <w:r>
              <w:t>Small Offices</w:t>
            </w:r>
          </w:p>
        </w:tc>
        <w:tc>
          <w:tcPr>
            <w:tcW w:type="dxa" w:w="1728"/>
          </w:tcPr>
          <w:p>
            <w:r>
              <w:t>13.00</w:t>
            </w:r>
          </w:p>
        </w:tc>
        <w:tc>
          <w:tcPr>
            <w:tcW w:type="dxa" w:w="1728"/>
          </w:tcPr>
          <w:p>
            <w:r>
              <w:t>17.00</w:t>
            </w:r>
          </w:p>
        </w:tc>
        <w:tc>
          <w:tcPr>
            <w:tcW w:type="dxa" w:w="1728"/>
          </w:tcPr>
          <w:p>
            <w:r>
              <w:t>High Utility</w:t>
            </w:r>
          </w:p>
        </w:tc>
      </w:tr>
    </w:tbl>
    <w:p>
      <w:r>
        <w:rPr>
          <w:rFonts w:ascii="Calibri" w:hAnsi="Calibri"/>
          <w:b/>
          <w:i w:val="0"/>
          <w:sz w:val="22"/>
        </w:rPr>
        <w:t>Phase 2 — Expansion: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2E2E"/>
          </w:tcPr>
          <w:p>
            <w:pPr>
              <w:jc w:val="center"/>
            </w:pPr>
            <w:r>
              <w:rPr>
                <w:b/>
                <w:color w:val="FFFFFF"/>
                <w:sz w:val="20"/>
              </w:rPr>
              <w:t>Bottle Size</w:t>
            </w:r>
          </w:p>
        </w:tc>
        <w:tc>
          <w:tcPr>
            <w:tcW w:type="dxa" w:w="1728"/>
            <w:shd w:fill="2E2E2E"/>
          </w:tcPr>
          <w:p>
            <w:pPr>
              <w:jc w:val="center"/>
            </w:pPr>
            <w:r>
              <w:rPr>
                <w:b/>
                <w:color w:val="FFFFFF"/>
                <w:sz w:val="20"/>
              </w:rPr>
              <w:t>Target Market</w:t>
            </w:r>
          </w:p>
        </w:tc>
        <w:tc>
          <w:tcPr>
            <w:tcW w:type="dxa" w:w="1728"/>
            <w:shd w:fill="2E2E2E"/>
          </w:tcPr>
          <w:p>
            <w:pPr>
              <w:jc w:val="center"/>
            </w:pPr>
            <w:r>
              <w:rPr>
                <w:b/>
                <w:color w:val="FFFFFF"/>
                <w:sz w:val="20"/>
              </w:rPr>
              <w:t>Cost (BDT)</w:t>
            </w:r>
          </w:p>
        </w:tc>
        <w:tc>
          <w:tcPr>
            <w:tcW w:type="dxa" w:w="1728"/>
            <w:shd w:fill="2E2E2E"/>
          </w:tcPr>
          <w:p>
            <w:pPr>
              <w:jc w:val="center"/>
            </w:pPr>
            <w:r>
              <w:rPr>
                <w:b/>
                <w:color w:val="FFFFFF"/>
                <w:sz w:val="20"/>
              </w:rPr>
              <w:t>Price (BDT)</w:t>
            </w:r>
          </w:p>
        </w:tc>
        <w:tc>
          <w:tcPr>
            <w:tcW w:type="dxa" w:w="1728"/>
            <w:shd w:fill="2E2E2E"/>
          </w:tcPr>
          <w:p>
            <w:pPr>
              <w:jc w:val="center"/>
            </w:pPr>
            <w:r>
              <w:rPr>
                <w:b/>
                <w:color w:val="FFFFFF"/>
                <w:sz w:val="20"/>
              </w:rPr>
              <w:t>Advantage</w:t>
            </w:r>
          </w:p>
        </w:tc>
      </w:tr>
      <w:tr>
        <w:tc>
          <w:tcPr>
            <w:tcW w:type="dxa" w:w="1728"/>
          </w:tcPr>
          <w:p>
            <w:r>
              <w:t>2 Liter</w:t>
            </w:r>
          </w:p>
        </w:tc>
        <w:tc>
          <w:tcPr>
            <w:tcW w:type="dxa" w:w="1728"/>
          </w:tcPr>
          <w:p>
            <w:r>
              <w:t>Households, B2B</w:t>
            </w:r>
          </w:p>
        </w:tc>
        <w:tc>
          <w:tcPr>
            <w:tcW w:type="dxa" w:w="1728"/>
          </w:tcPr>
          <w:p>
            <w:r>
              <w:t>21.00</w:t>
            </w:r>
          </w:p>
        </w:tc>
        <w:tc>
          <w:tcPr>
            <w:tcW w:type="dxa" w:w="1728"/>
          </w:tcPr>
          <w:p>
            <w:r>
              <w:t>26–27</w:t>
            </w:r>
          </w:p>
        </w:tc>
        <w:tc>
          <w:tcPr>
            <w:tcW w:type="dxa" w:w="1728"/>
          </w:tcPr>
          <w:p>
            <w:r>
              <w:t>Bulk Savings</w:t>
            </w:r>
          </w:p>
        </w:tc>
      </w:tr>
      <w:tr>
        <w:tc>
          <w:tcPr>
            <w:tcW w:type="dxa" w:w="1728"/>
            <w:shd w:fill="F5F5F5"/>
          </w:tcPr>
          <w:p>
            <w:r>
              <w:t>5 Liter</w:t>
            </w:r>
          </w:p>
        </w:tc>
        <w:tc>
          <w:tcPr>
            <w:tcW w:type="dxa" w:w="1728"/>
            <w:shd w:fill="F5F5F5"/>
          </w:tcPr>
          <w:p>
            <w:r>
              <w:t>Corporate B2B</w:t>
            </w:r>
          </w:p>
        </w:tc>
        <w:tc>
          <w:tcPr>
            <w:tcW w:type="dxa" w:w="1728"/>
            <w:shd w:fill="F5F5F5"/>
          </w:tcPr>
          <w:p>
            <w:r>
              <w:t>40.00</w:t>
            </w:r>
          </w:p>
        </w:tc>
        <w:tc>
          <w:tcPr>
            <w:tcW w:type="dxa" w:w="1728"/>
            <w:shd w:fill="F5F5F5"/>
          </w:tcPr>
          <w:p>
            <w:r>
              <w:t>55.00</w:t>
            </w:r>
          </w:p>
        </w:tc>
        <w:tc>
          <w:tcPr>
            <w:tcW w:type="dxa" w:w="1728"/>
            <w:shd w:fill="F5F5F5"/>
          </w:tcPr>
          <w:p>
            <w:r>
              <w:t>Maximum Value</w:t>
            </w:r>
          </w:p>
        </w:tc>
      </w:tr>
    </w:tbl>
    <w:p>
      <w:pPr>
        <w:jc w:val="left"/>
      </w:pPr>
      <w:r>
        <w:rPr>
          <w:rFonts w:ascii="Calibri" w:hAnsi="Calibri"/>
          <w:b/>
          <w:color w:val="000000"/>
          <w:sz w:val="24"/>
        </w:rPr>
        <w:t>6.2 Taste and Quality</w:t>
      </w:r>
    </w:p>
    <w:p>
      <w:r>
        <w:rPr>
          <w:rFonts w:ascii="Calibri" w:hAnsi="Calibri"/>
          <w:b w:val="0"/>
          <w:i w:val="0"/>
          <w:sz w:val="22"/>
        </w:rPr>
        <w:t>Multi-stage filtration removes TDS and contaminants. Post-RO re-mineralization introduces essential minerals for palatable, refreshing taste — avoiding the flatness of overly aggressive purification.</w:t>
      </w:r>
    </w:p>
    <w:p>
      <w:pPr>
        <w:jc w:val="left"/>
      </w:pPr>
      <w:r>
        <w:rPr>
          <w:rFonts w:ascii="Calibri" w:hAnsi="Calibri"/>
          <w:b/>
          <w:color w:val="000000"/>
          <w:sz w:val="24"/>
        </w:rPr>
        <w:t>6.3 Purification Technology — Four Stages</w:t>
      </w:r>
    </w:p>
    <w:p>
      <w:pPr>
        <w:pStyle w:val="ListBullet"/>
        <w:spacing w:after="80"/>
        <w:ind w:left="360"/>
      </w:pPr>
      <w:r>
        <w:t>Pre-Treatment: Depth filters remove particles &gt;5 microns, protecting downstream membranes and cutting maintenance costs by 35%.</w:t>
      </w:r>
    </w:p>
    <w:p>
      <w:pPr>
        <w:pStyle w:val="ListBullet"/>
        <w:spacing w:after="80"/>
        <w:ind w:left="360"/>
      </w:pPr>
      <w:r>
        <w:t>Activated Carbon: Eliminates chlorine and organic compounds that ruin taste and damage membranes.</w:t>
      </w:r>
    </w:p>
    <w:p>
      <w:pPr>
        <w:pStyle w:val="ListBullet"/>
        <w:spacing w:after="80"/>
        <w:ind w:left="360"/>
      </w:pPr>
      <w:r>
        <w:t>Reverse Osmosis: High-pressure pumps force water through semi-permeable membranes removing 99% of TDS, arsenic, heavy metals, viruses, and bacteria.</w:t>
      </w:r>
    </w:p>
    <w:p>
      <w:pPr>
        <w:pStyle w:val="ListBullet"/>
        <w:spacing w:after="80"/>
        <w:ind w:left="360"/>
      </w:pPr>
      <w:r>
        <w:t>UV Sterilization: Final kill step achieving 99.99% pathogen removal before bottling.</w:t>
      </w:r>
    </w:p>
    <w:p>
      <w:pPr>
        <w:jc w:val="left"/>
      </w:pPr>
      <w:r>
        <w:rPr>
          <w:rFonts w:ascii="Calibri" w:hAnsi="Calibri"/>
          <w:b/>
          <w:color w:val="000000"/>
          <w:sz w:val="24"/>
        </w:rPr>
        <w:t>6.4 Water Efficiency</w:t>
      </w:r>
    </w:p>
    <w:p>
      <w:r>
        <w:rPr>
          <w:rFonts w:ascii="Calibri" w:hAnsi="Calibri"/>
          <w:b w:val="0"/>
          <w:i w:val="0"/>
          <w:sz w:val="22"/>
        </w:rPr>
        <w:t>Savior targets 75–80% RO recovery using CCPP (Calcium Carbonate Precipitation Potential) analysis to precisely measure scale formation, fine-tuning chemical treatments to protect equipment while maximizing output.</w:t>
      </w:r>
    </w:p>
    <w:p>
      <w:pPr>
        <w:jc w:val="left"/>
      </w:pPr>
      <w:r>
        <w:rPr>
          <w:rFonts w:ascii="Calibri" w:hAnsi="Calibri"/>
          <w:b/>
          <w:color w:val="000000"/>
          <w:sz w:val="24"/>
        </w:rPr>
        <w:t>6.5 Sustainable Packaging</w:t>
      </w:r>
    </w:p>
    <w:p>
      <w:pPr>
        <w:pStyle w:val="ListBullet"/>
        <w:spacing w:after="80"/>
        <w:ind w:left="360"/>
      </w:pPr>
      <w:r>
        <w:t>250ml/500ml: PLA (plant-based, compostable, non-GMO, no petroleum)</w:t>
      </w:r>
    </w:p>
    <w:p>
      <w:pPr>
        <w:pStyle w:val="ListBullet"/>
        <w:spacing w:after="80"/>
        <w:ind w:left="360"/>
      </w:pPr>
      <w:r>
        <w:t>1L/2L/5L: Durable PET/HDPE (100% recyclable, designed for reuse/refill)</w:t>
      </w:r>
    </w:p>
    <w:p>
      <w:r>
        <w:rPr>
          <w:rFonts w:ascii="Calibri" w:hAnsi="Calibri"/>
          <w:b w:val="0"/>
          <w:i w:val="0"/>
          <w:sz w:val="22"/>
        </w:rPr>
        <w:t>Bangladesh lacks industrial composting. Savior shifts emphasis from theoretical 'compostability' to demonstrable 'Durability and Active Reuse.' Packaging features clear multi-lingual instructions and QR codes for reuse, segregation, and a planned buy-back program.</w:t>
      </w:r>
    </w:p>
    <w:p>
      <w:pPr>
        <w:jc w:val="left"/>
      </w:pPr>
      <w:r>
        <w:rPr>
          <w:rFonts w:ascii="Calibri" w:hAnsi="Calibri"/>
          <w:b/>
          <w:color w:val="0066CC"/>
          <w:sz w:val="32"/>
        </w:rPr>
        <w:t>7. TARGET MARKET</w:t>
      </w:r>
    </w:p>
    <w:p>
      <w:pPr>
        <w:jc w:val="left"/>
      </w:pPr>
      <w:r>
        <w:rPr>
          <w:rFonts w:ascii="Calibri" w:hAnsi="Calibri"/>
          <w:b/>
          <w:color w:val="000000"/>
          <w:sz w:val="24"/>
        </w:rPr>
        <w:t>7.1 Primary Segment (B2C)</w:t>
      </w:r>
    </w:p>
    <w:p>
      <w:pPr>
        <w:pStyle w:val="ListBullet"/>
        <w:spacing w:after="80"/>
        <w:ind w:left="360"/>
      </w:pPr>
      <w:r>
        <w:t>Students: Daily affordable access via 250ml at 8.50 BDT</w:t>
      </w:r>
    </w:p>
    <w:p>
      <w:pPr>
        <w:pStyle w:val="ListBullet"/>
        <w:spacing w:after="80"/>
        <w:ind w:left="360"/>
      </w:pPr>
      <w:r>
        <w:t>Workers/Commuters: Core 500ml product at 14 BDT</w:t>
      </w:r>
    </w:p>
    <w:p>
      <w:pPr>
        <w:pStyle w:val="ListBullet"/>
        <w:spacing w:after="80"/>
        <w:ind w:left="360"/>
      </w:pPr>
      <w:r>
        <w:t>Low-to-Lower-Middle-Income Households: Seeking certified quality at better prices</w:t>
      </w:r>
    </w:p>
    <w:p>
      <w:r>
        <w:rPr>
          <w:rFonts w:ascii="Calibri" w:hAnsi="Calibri"/>
          <w:b w:val="0"/>
          <w:i w:val="0"/>
          <w:sz w:val="22"/>
        </w:rPr>
        <w:t>Geographic focus: Dhaka, Narayanganj, Gazipur.</w:t>
      </w:r>
    </w:p>
    <w:p>
      <w:pPr>
        <w:jc w:val="left"/>
      </w:pPr>
      <w:r>
        <w:rPr>
          <w:rFonts w:ascii="Calibri" w:hAnsi="Calibri"/>
          <w:b/>
          <w:color w:val="000000"/>
          <w:sz w:val="24"/>
        </w:rPr>
        <w:t>7.2 Secondary Segment (B2B/Bulk)</w:t>
      </w:r>
    </w:p>
    <w:p>
      <w:pPr>
        <w:pStyle w:val="ListBullet"/>
        <w:spacing w:after="80"/>
        <w:ind w:left="360"/>
      </w:pPr>
      <w:r>
        <w:t>Small offices and universities</w:t>
      </w:r>
    </w:p>
    <w:p>
      <w:pPr>
        <w:pStyle w:val="ListBullet"/>
        <w:spacing w:after="80"/>
        <w:ind w:left="360"/>
      </w:pPr>
      <w:r>
        <w:t>Large urban households</w:t>
      </w:r>
    </w:p>
    <w:p>
      <w:pPr>
        <w:pStyle w:val="ListBullet"/>
        <w:spacing w:after="80"/>
        <w:ind w:left="360"/>
      </w:pPr>
      <w:r>
        <w:t>Addressed by 2L and 5L formats</w:t>
      </w:r>
    </w:p>
    <w:p>
      <w:pPr>
        <w:jc w:val="left"/>
      </w:pPr>
      <w:r>
        <w:rPr>
          <w:rFonts w:ascii="Calibri" w:hAnsi="Calibri"/>
          <w:b/>
          <w:color w:val="000000"/>
          <w:sz w:val="24"/>
        </w:rPr>
        <w:t>7.3 Market Demand</w:t>
      </w:r>
    </w:p>
    <w:p>
      <w:r>
        <w:rPr>
          <w:rFonts w:ascii="Calibri" w:hAnsi="Calibri"/>
          <w:b w:val="0"/>
          <w:i w:val="0"/>
          <w:sz w:val="22"/>
        </w:rPr>
        <w:t>Bangladesh bottled water market projected at US$1.8 billion with 3.14% CAGR (2024–2027). Growth driven by urbanization, rising incomes, and health awareness.</w:t>
      </w:r>
    </w:p>
    <w:p>
      <w:pPr>
        <w:jc w:val="left"/>
      </w:pPr>
      <w:r>
        <w:rPr>
          <w:rFonts w:ascii="Calibri" w:hAnsi="Calibri"/>
          <w:b/>
          <w:color w:val="000000"/>
          <w:sz w:val="24"/>
        </w:rPr>
        <w:t>7.4 Competitor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2E2E"/>
          </w:tcPr>
          <w:p>
            <w:pPr>
              <w:jc w:val="center"/>
            </w:pPr>
            <w:r>
              <w:rPr>
                <w:b/>
                <w:color w:val="FFFFFF"/>
                <w:sz w:val="20"/>
              </w:rPr>
              <w:t>Brand</w:t>
            </w:r>
          </w:p>
        </w:tc>
        <w:tc>
          <w:tcPr>
            <w:tcW w:type="dxa" w:w="1728"/>
            <w:shd w:fill="2E2E2E"/>
          </w:tcPr>
          <w:p>
            <w:pPr>
              <w:jc w:val="center"/>
            </w:pPr>
            <w:r>
              <w:rPr>
                <w:b/>
                <w:color w:val="FFFFFF"/>
                <w:sz w:val="20"/>
              </w:rPr>
              <w:t>Position</w:t>
            </w:r>
          </w:p>
        </w:tc>
        <w:tc>
          <w:tcPr>
            <w:tcW w:type="dxa" w:w="1728"/>
            <w:shd w:fill="2E2E2E"/>
          </w:tcPr>
          <w:p>
            <w:pPr>
              <w:jc w:val="center"/>
            </w:pPr>
            <w:r>
              <w:rPr>
                <w:b/>
                <w:color w:val="FFFFFF"/>
                <w:sz w:val="20"/>
              </w:rPr>
              <w:t>500ml Price (BDT)</w:t>
            </w:r>
          </w:p>
        </w:tc>
        <w:tc>
          <w:tcPr>
            <w:tcW w:type="dxa" w:w="1728"/>
            <w:shd w:fill="2E2E2E"/>
          </w:tcPr>
          <w:p>
            <w:pPr>
              <w:jc w:val="center"/>
            </w:pPr>
            <w:r>
              <w:rPr>
                <w:b/>
                <w:color w:val="FFFFFF"/>
                <w:sz w:val="20"/>
              </w:rPr>
              <w:t>Strength</w:t>
            </w:r>
          </w:p>
        </w:tc>
        <w:tc>
          <w:tcPr>
            <w:tcW w:type="dxa" w:w="1728"/>
            <w:shd w:fill="2E2E2E"/>
          </w:tcPr>
          <w:p>
            <w:pPr>
              <w:jc w:val="center"/>
            </w:pPr>
            <w:r>
              <w:rPr>
                <w:b/>
                <w:color w:val="FFFFFF"/>
                <w:sz w:val="20"/>
              </w:rPr>
              <w:t>Weakness</w:t>
            </w:r>
          </w:p>
        </w:tc>
      </w:tr>
      <w:tr>
        <w:tc>
          <w:tcPr>
            <w:tcW w:type="dxa" w:w="1728"/>
          </w:tcPr>
          <w:p>
            <w:r>
              <w:t>Kinley</w:t>
            </w:r>
          </w:p>
        </w:tc>
        <w:tc>
          <w:tcPr>
            <w:tcW w:type="dxa" w:w="1728"/>
          </w:tcPr>
          <w:p>
            <w:r>
              <w:t>Premium</w:t>
            </w:r>
          </w:p>
        </w:tc>
        <w:tc>
          <w:tcPr>
            <w:tcW w:type="dxa" w:w="1728"/>
          </w:tcPr>
          <w:p>
            <w:r>
              <w:t>20–22</w:t>
            </w:r>
          </w:p>
        </w:tc>
        <w:tc>
          <w:tcPr>
            <w:tcW w:type="dxa" w:w="1728"/>
          </w:tcPr>
          <w:p>
            <w:r>
              <w:t>Strong trust</w:t>
            </w:r>
          </w:p>
        </w:tc>
        <w:tc>
          <w:tcPr>
            <w:tcW w:type="dxa" w:w="1728"/>
          </w:tcPr>
          <w:p>
            <w:r>
              <w:t>High cost barrier</w:t>
            </w:r>
          </w:p>
        </w:tc>
      </w:tr>
      <w:tr>
        <w:tc>
          <w:tcPr>
            <w:tcW w:type="dxa" w:w="1728"/>
            <w:shd w:fill="F5F5F5"/>
          </w:tcPr>
          <w:p>
            <w:r>
              <w:t>Mum</w:t>
            </w:r>
          </w:p>
        </w:tc>
        <w:tc>
          <w:tcPr>
            <w:tcW w:type="dxa" w:w="1728"/>
            <w:shd w:fill="F5F5F5"/>
          </w:tcPr>
          <w:p>
            <w:r>
              <w:t>Mass Market</w:t>
            </w:r>
          </w:p>
        </w:tc>
        <w:tc>
          <w:tcPr>
            <w:tcW w:type="dxa" w:w="1728"/>
            <w:shd w:fill="F5F5F5"/>
          </w:tcPr>
          <w:p>
            <w:r>
              <w:t>18–20</w:t>
            </w:r>
          </w:p>
        </w:tc>
        <w:tc>
          <w:tcPr>
            <w:tcW w:type="dxa" w:w="1728"/>
            <w:shd w:fill="F5F5F5"/>
          </w:tcPr>
          <w:p>
            <w:r>
              <w:t>Wide distribution</w:t>
            </w:r>
          </w:p>
        </w:tc>
        <w:tc>
          <w:tcPr>
            <w:tcW w:type="dxa" w:w="1728"/>
            <w:shd w:fill="F5F5F5"/>
          </w:tcPr>
          <w:p>
            <w:r>
              <w:t>Brand saturation</w:t>
            </w:r>
          </w:p>
        </w:tc>
      </w:tr>
      <w:tr>
        <w:tc>
          <w:tcPr>
            <w:tcW w:type="dxa" w:w="1728"/>
          </w:tcPr>
          <w:p>
            <w:r>
              <w:t>Fresh</w:t>
            </w:r>
          </w:p>
        </w:tc>
        <w:tc>
          <w:tcPr>
            <w:tcW w:type="dxa" w:w="1728"/>
          </w:tcPr>
          <w:p>
            <w:r>
              <w:t>Budget</w:t>
            </w:r>
          </w:p>
        </w:tc>
        <w:tc>
          <w:tcPr>
            <w:tcW w:type="dxa" w:w="1728"/>
          </w:tcPr>
          <w:p>
            <w:r>
              <w:t>15–18</w:t>
            </w:r>
          </w:p>
        </w:tc>
        <w:tc>
          <w:tcPr>
            <w:tcW w:type="dxa" w:w="1728"/>
          </w:tcPr>
          <w:p>
            <w:r>
              <w:t>Low price</w:t>
            </w:r>
          </w:p>
        </w:tc>
        <w:tc>
          <w:tcPr>
            <w:tcW w:type="dxa" w:w="1728"/>
          </w:tcPr>
          <w:p>
            <w:r>
              <w:t>Perceived low quality</w:t>
            </w:r>
          </w:p>
        </w:tc>
      </w:tr>
      <w:tr>
        <w:tc>
          <w:tcPr>
            <w:tcW w:type="dxa" w:w="1728"/>
            <w:shd w:fill="F5F5F5"/>
          </w:tcPr>
          <w:p>
            <w:r>
              <w:t>SAVIOR</w:t>
            </w:r>
          </w:p>
        </w:tc>
        <w:tc>
          <w:tcPr>
            <w:tcW w:type="dxa" w:w="1728"/>
            <w:shd w:fill="F5F5F5"/>
          </w:tcPr>
          <w:p>
            <w:r>
              <w:t>Value Leader</w:t>
            </w:r>
          </w:p>
        </w:tc>
        <w:tc>
          <w:tcPr>
            <w:tcW w:type="dxa" w:w="1728"/>
            <w:shd w:fill="F5F5F5"/>
          </w:tcPr>
          <w:p>
            <w:r>
              <w:t>14–16</w:t>
            </w:r>
          </w:p>
        </w:tc>
        <w:tc>
          <w:tcPr>
            <w:tcW w:type="dxa" w:w="1728"/>
            <w:shd w:fill="F5F5F5"/>
          </w:tcPr>
          <w:p>
            <w:r>
              <w:t>Value + Purity + Eco</w:t>
            </w:r>
          </w:p>
        </w:tc>
        <w:tc>
          <w:tcPr>
            <w:tcW w:type="dxa" w:w="1728"/>
            <w:shd w:fill="F5F5F5"/>
          </w:tcPr>
          <w:p>
            <w:r>
              <w:t>New, needs awareness</w:t>
            </w:r>
          </w:p>
        </w:tc>
      </w:tr>
    </w:tbl>
    <w:p>
      <w:r>
        <w:rPr>
          <w:rFonts w:ascii="Calibri" w:hAnsi="Calibri"/>
          <w:b w:val="0"/>
          <w:i w:val="0"/>
          <w:sz w:val="22"/>
        </w:rPr>
        <w:t>Savior is 20–36% cheaper than Kinley, 11–22% cheaper than Mum. No competitor combines certified purity, affordability, and sustainability.</w:t>
      </w:r>
    </w:p>
    <w:p>
      <w:pPr>
        <w:jc w:val="left"/>
      </w:pPr>
      <w:r>
        <w:rPr>
          <w:rFonts w:ascii="Calibri" w:hAnsi="Calibri"/>
          <w:b/>
          <w:color w:val="0066CC"/>
          <w:sz w:val="32"/>
        </w:rPr>
        <w:t>8. MARKETING MIX (4Ps)</w:t>
      </w:r>
    </w:p>
    <w:p>
      <w:pPr>
        <w:jc w:val="left"/>
      </w:pPr>
      <w:r>
        <w:rPr>
          <w:rFonts w:ascii="Calibri" w:hAnsi="Calibri"/>
          <w:b/>
          <w:color w:val="000000"/>
          <w:sz w:val="24"/>
        </w:rPr>
        <w:t>Product</w:t>
      </w:r>
    </w:p>
    <w:p>
      <w:pPr>
        <w:pStyle w:val="ListBullet"/>
        <w:spacing w:after="80"/>
        <w:ind w:left="360"/>
      </w:pPr>
      <w:r>
        <w:t>Multi-size portfolio (250ml to 5L)</w:t>
      </w:r>
    </w:p>
    <w:p>
      <w:pPr>
        <w:pStyle w:val="ListBullet"/>
        <w:spacing w:after="80"/>
        <w:ind w:left="360"/>
      </w:pPr>
      <w:r>
        <w:t>Certified multi-stage RO/UV purification</w:t>
      </w:r>
    </w:p>
    <w:p>
      <w:pPr>
        <w:pStyle w:val="ListBullet"/>
        <w:spacing w:after="80"/>
        <w:ind w:left="360"/>
      </w:pPr>
      <w:r>
        <w:t>Re-mineralization for superior taste</w:t>
      </w:r>
    </w:p>
    <w:p>
      <w:pPr>
        <w:pStyle w:val="ListBullet"/>
        <w:spacing w:after="80"/>
        <w:ind w:left="360"/>
      </w:pPr>
      <w:r>
        <w:t>Hybrid packaging: PLA (small), PET/HDPE (large)</w:t>
      </w:r>
    </w:p>
    <w:p>
      <w:pPr>
        <w:pStyle w:val="ListBullet"/>
        <w:spacing w:after="80"/>
        <w:ind w:left="360"/>
      </w:pPr>
      <w:r>
        <w:t>Clear disposal instructions and QR codes</w:t>
      </w:r>
    </w:p>
    <w:p>
      <w:pPr>
        <w:jc w:val="left"/>
      </w:pPr>
      <w:r>
        <w:rPr>
          <w:rFonts w:ascii="Calibri" w:hAnsi="Calibri"/>
          <w:b/>
          <w:color w:val="000000"/>
          <w:sz w:val="24"/>
        </w:rPr>
        <w:t>Price</w:t>
      </w:r>
    </w:p>
    <w:p>
      <w:pPr>
        <w:pStyle w:val="ListBullet"/>
        <w:spacing w:after="80"/>
        <w:ind w:left="360"/>
      </w:pPr>
      <w:r>
        <w:t>Penetration pricing: 20–30% below market average</w:t>
      </w:r>
    </w:p>
    <w:p>
      <w:pPr>
        <w:pStyle w:val="ListBullet"/>
        <w:spacing w:after="80"/>
        <w:ind w:left="360"/>
      </w:pPr>
      <w:r>
        <w:t>500ml at 14–16 BDT vs. competitors at 18–22 BDT</w:t>
      </w:r>
    </w:p>
    <w:p>
      <w:pPr>
        <w:pStyle w:val="ListBullet"/>
        <w:spacing w:after="80"/>
        <w:ind w:left="360"/>
      </w:pPr>
      <w:r>
        <w:t>Sustainable through lean production, solar power, 75–80% RO recovery</w:t>
      </w:r>
    </w:p>
    <w:p>
      <w:pPr>
        <w:pStyle w:val="ListBullet"/>
        <w:spacing w:after="80"/>
        <w:ind w:left="360"/>
      </w:pPr>
      <w:r>
        <w:t>Break-even at 14,000 units/month</w:t>
      </w:r>
    </w:p>
    <w:p>
      <w:pPr>
        <w:jc w:val="left"/>
      </w:pPr>
      <w:r>
        <w:rPr>
          <w:rFonts w:ascii="Calibri" w:hAnsi="Calibri"/>
          <w:b/>
          <w:color w:val="000000"/>
          <w:sz w:val="24"/>
        </w:rPr>
        <w:t>Place (Distribution)</w:t>
      </w:r>
    </w:p>
    <w:p>
      <w:pPr>
        <w:pStyle w:val="ListBullet"/>
        <w:spacing w:after="80"/>
        <w:ind w:left="360"/>
      </w:pPr>
      <w:r>
        <w:t>Phase 1: Local shops, tea stalls, university campuses, small offices</w:t>
      </w:r>
    </w:p>
    <w:p>
      <w:pPr>
        <w:pStyle w:val="ListBullet"/>
        <w:spacing w:after="80"/>
        <w:ind w:left="360"/>
      </w:pPr>
      <w:r>
        <w:t>Phase 2: Online ordering and B2B delivery network</w:t>
      </w:r>
    </w:p>
    <w:p>
      <w:pPr>
        <w:pStyle w:val="ListBullet"/>
        <w:spacing w:after="80"/>
        <w:ind w:left="360"/>
      </w:pPr>
      <w:r>
        <w:t>Eco-friendly logistics: Electric vans and bicycles for last-mile delivery</w:t>
      </w:r>
    </w:p>
    <w:p>
      <w:pPr>
        <w:jc w:val="left"/>
      </w:pPr>
      <w:r>
        <w:rPr>
          <w:rFonts w:ascii="Calibri" w:hAnsi="Calibri"/>
          <w:b/>
          <w:color w:val="000000"/>
          <w:sz w:val="24"/>
        </w:rPr>
        <w:t>Promotion</w:t>
      </w:r>
    </w:p>
    <w:p>
      <w:pPr>
        <w:pStyle w:val="ListBullet"/>
        <w:spacing w:after="80"/>
        <w:ind w:left="360"/>
      </w:pPr>
      <w:r>
        <w:t>Slogan: "Save yourself, reimagine yourself"</w:t>
      </w:r>
    </w:p>
    <w:p>
      <w:pPr>
        <w:pStyle w:val="ListBullet"/>
        <w:spacing w:after="80"/>
        <w:ind w:left="360"/>
      </w:pPr>
      <w:r>
        <w:t>Social media: Visual transparency of RO/UV process</w:t>
      </w:r>
    </w:p>
    <w:p>
      <w:pPr>
        <w:pStyle w:val="ListBullet"/>
        <w:spacing w:after="80"/>
        <w:ind w:left="360"/>
      </w:pPr>
      <w:r>
        <w:t>Influencers: Local environmental and public health advocates</w:t>
      </w:r>
    </w:p>
    <w:p>
      <w:pPr>
        <w:pStyle w:val="ListBullet"/>
        <w:spacing w:after="80"/>
        <w:ind w:left="360"/>
      </w:pPr>
      <w:r>
        <w:t>Loyalty programs: Refill discounts and return schemes</w:t>
      </w:r>
    </w:p>
    <w:p>
      <w:pPr>
        <w:pStyle w:val="ListBullet"/>
        <w:spacing w:after="80"/>
        <w:ind w:left="360"/>
      </w:pPr>
      <w:r>
        <w:t>Community: Clean-up drives and water safety campaigns</w:t>
      </w:r>
    </w:p>
    <w:p>
      <w:pPr>
        <w:jc w:val="left"/>
      </w:pPr>
      <w:r>
        <w:rPr>
          <w:rFonts w:ascii="Calibri" w:hAnsi="Calibri"/>
          <w:b/>
          <w:color w:val="0066CC"/>
          <w:sz w:val="32"/>
        </w:rPr>
        <w:t>9. SWOT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2E2E"/>
          </w:tcPr>
          <w:p>
            <w:pPr>
              <w:jc w:val="center"/>
            </w:pPr>
            <w:r>
              <w:rPr>
                <w:b/>
                <w:color w:val="FFFFFF"/>
                <w:sz w:val="20"/>
              </w:rPr>
            </w:r>
          </w:p>
        </w:tc>
        <w:tc>
          <w:tcPr>
            <w:tcW w:type="dxa" w:w="2880"/>
            <w:shd w:fill="2E2E2E"/>
          </w:tcPr>
          <w:p>
            <w:pPr>
              <w:jc w:val="center"/>
            </w:pPr>
            <w:r>
              <w:rPr>
                <w:b/>
                <w:color w:val="FFFFFF"/>
                <w:sz w:val="20"/>
              </w:rPr>
              <w:t>Positive</w:t>
            </w:r>
          </w:p>
        </w:tc>
        <w:tc>
          <w:tcPr>
            <w:tcW w:type="dxa" w:w="2880"/>
            <w:shd w:fill="2E2E2E"/>
          </w:tcPr>
          <w:p>
            <w:pPr>
              <w:jc w:val="center"/>
            </w:pPr>
            <w:r>
              <w:rPr>
                <w:b/>
                <w:color w:val="FFFFFF"/>
                <w:sz w:val="20"/>
              </w:rPr>
              <w:t>Negative</w:t>
            </w:r>
          </w:p>
        </w:tc>
      </w:tr>
      <w:tr>
        <w:tc>
          <w:tcPr>
            <w:tcW w:type="dxa" w:w="2880"/>
            <w:shd w:fill="F9F9F9"/>
          </w:tcPr>
          <w:p>
            <w:pPr>
              <w:jc w:val="left"/>
            </w:pPr>
            <w:r>
              <w:rPr>
                <w:sz w:val="18"/>
              </w:rPr>
              <w:t>Internal</w:t>
            </w:r>
          </w:p>
        </w:tc>
        <w:tc>
          <w:tcPr>
            <w:tcW w:type="dxa" w:w="2880"/>
            <w:shd w:fill="F9F9F9"/>
          </w:tcPr>
          <w:p>
            <w:pPr>
              <w:jc w:val="left"/>
            </w:pPr>
            <w:r>
              <w:rPr>
                <w:sz w:val="18"/>
              </w:rPr>
              <w:t>Strengths</w:t>
              <w:br/>
              <w:t>• Disruptive pricing (14–16 BDT)</w:t>
              <w:br/>
              <w:t>• Multi-stage RO/UV (99% removal)</w:t>
              <w:br/>
              <w:t>• 75–80% RO recovery</w:t>
              <w:br/>
              <w:t>• Solar-assisted production</w:t>
              <w:br/>
              <w:t>• Transparent sourcing</w:t>
              <w:br/>
              <w:t>• Lean distribution</w:t>
            </w:r>
          </w:p>
        </w:tc>
        <w:tc>
          <w:tcPr>
            <w:tcW w:type="dxa" w:w="2880"/>
            <w:shd w:fill="F9F9F9"/>
          </w:tcPr>
          <w:p>
            <w:pPr>
              <w:jc w:val="left"/>
            </w:pPr>
            <w:r>
              <w:rPr>
                <w:sz w:val="18"/>
              </w:rPr>
              <w:t>Weaknesses</w:t>
              <w:br/>
              <w:t>• Low brand awareness</w:t>
              <w:br/>
              <w:t>• Limited starting capital</w:t>
              <w:br/>
              <w:t>• 7,000 unit test capacity</w:t>
              <w:br/>
              <w:t>• Dhaka-only initially</w:t>
              <w:br/>
              <w:t>• Water source dependence</w:t>
            </w:r>
          </w:p>
        </w:tc>
      </w:tr>
      <w:tr>
        <w:tc>
          <w:tcPr>
            <w:tcW w:type="dxa" w:w="2880"/>
            <w:shd w:fill="F9F9F9"/>
          </w:tcPr>
          <w:p>
            <w:pPr>
              <w:jc w:val="left"/>
            </w:pPr>
            <w:r>
              <w:rPr>
                <w:sz w:val="18"/>
              </w:rPr>
              <w:t>External</w:t>
            </w:r>
          </w:p>
        </w:tc>
        <w:tc>
          <w:tcPr>
            <w:tcW w:type="dxa" w:w="2880"/>
            <w:shd w:fill="F9F9F9"/>
          </w:tcPr>
          <w:p>
            <w:pPr>
              <w:jc w:val="left"/>
            </w:pPr>
            <w:r>
              <w:rPr>
                <w:sz w:val="18"/>
              </w:rPr>
              <w:t>Opportunities</w:t>
              <w:br/>
              <w:t>• 15–20% market growth</w:t>
              <w:br/>
              <w:t>• 63% E. coli in Dhaka water</w:t>
              <w:br/>
              <w:t>• Inflation driving value brands</w:t>
              <w:br/>
              <w:t>• 420% markup scandal distrust</w:t>
              <w:br/>
              <w:t>• Circular packaging demand</w:t>
              <w:br/>
              <w:t>• NGO partnerships</w:t>
            </w:r>
          </w:p>
        </w:tc>
        <w:tc>
          <w:tcPr>
            <w:tcW w:type="dxa" w:w="2880"/>
            <w:shd w:fill="F9F9F9"/>
          </w:tcPr>
          <w:p>
            <w:pPr>
              <w:jc w:val="left"/>
            </w:pPr>
            <w:r>
              <w:rPr>
                <w:sz w:val="18"/>
              </w:rPr>
              <w:t>Threats</w:t>
              <w:br/>
              <w:t>• Retaliatory pricing by incumbents</w:t>
              <w:br/>
              <w:t>• 200+ competitors</w:t>
              <w:br/>
              <w:t>• Seasonal groundwater depletion</w:t>
              <w:br/>
              <w:t>• Bioplastic/PET price shocks</w:t>
              <w:br/>
              <w:t>• BDS-1414 regulatory changes</w:t>
              <w:br/>
              <w:t>• Supply chain disruptions</w:t>
            </w:r>
          </w:p>
        </w:tc>
      </w:tr>
    </w:tbl>
    <w:p>
      <w:pPr>
        <w:jc w:val="left"/>
      </w:pPr>
      <w:r>
        <w:rPr>
          <w:rFonts w:ascii="Calibri" w:hAnsi="Calibri"/>
          <w:b/>
          <w:color w:val="0066CC"/>
          <w:sz w:val="32"/>
        </w:rPr>
        <w:t>10. FINANCIAL PLAN</w:t>
      </w:r>
    </w:p>
    <w:p>
      <w:pPr>
        <w:jc w:val="left"/>
      </w:pPr>
      <w:r>
        <w:rPr>
          <w:rFonts w:ascii="Calibri" w:hAnsi="Calibri"/>
          <w:b/>
          <w:color w:val="000000"/>
          <w:sz w:val="24"/>
        </w:rPr>
        <w:t>10.1 Test Phase (7,000 units/month)</w:t>
      </w:r>
    </w:p>
    <w:p>
      <w:r>
        <w:rPr>
          <w:rFonts w:ascii="Calibri" w:hAnsi="Calibri"/>
          <w:b w:val="0"/>
          <w:i w:val="0"/>
          <w:sz w:val="22"/>
        </w:rPr>
        <w:t>Revenue: 88,000 BDT/month</w:t>
      </w:r>
    </w:p>
    <w:p>
      <w:r>
        <w:rPr>
          <w:rFonts w:ascii="Calibri" w:hAnsi="Calibri"/>
          <w:b w:val="0"/>
          <w:i w:val="0"/>
          <w:sz w:val="22"/>
        </w:rPr>
        <w:t>Variable Profit: 18,000 BDT/month</w:t>
      </w:r>
    </w:p>
    <w:p>
      <w:r>
        <w:rPr>
          <w:rFonts w:ascii="Calibri" w:hAnsi="Calibri"/>
          <w:b/>
          <w:i w:val="0"/>
          <w:sz w:val="22"/>
        </w:rPr>
        <w:t>Fixed Costs (28,500 BDT/month):</w:t>
      </w:r>
    </w:p>
    <w:tbl>
      <w:tblPr>
        <w:tblStyle w:val="TableGrid"/>
        <w:tblW w:type="auto" w:w="0"/>
        <w:jc w:val="center"/>
        <w:tblLook w:firstColumn="1" w:firstRow="1" w:lastColumn="0" w:lastRow="0" w:noHBand="0" w:noVBand="1" w:val="04A0"/>
      </w:tblPr>
      <w:tblGrid>
        <w:gridCol w:w="4320"/>
        <w:gridCol w:w="4320"/>
      </w:tblGrid>
      <w:tr>
        <w:tc>
          <w:tcPr>
            <w:tcW w:type="dxa" w:w="4320"/>
            <w:shd w:fill="2E2E2E"/>
          </w:tcPr>
          <w:p>
            <w:pPr>
              <w:jc w:val="center"/>
            </w:pPr>
            <w:r>
              <w:rPr>
                <w:b/>
                <w:color w:val="FFFFFF"/>
                <w:sz w:val="20"/>
              </w:rPr>
              <w:t>Cost Item</w:t>
            </w:r>
          </w:p>
        </w:tc>
        <w:tc>
          <w:tcPr>
            <w:tcW w:type="dxa" w:w="4320"/>
            <w:shd w:fill="2E2E2E"/>
          </w:tcPr>
          <w:p>
            <w:pPr>
              <w:jc w:val="center"/>
            </w:pPr>
            <w:r>
              <w:rPr>
                <w:b/>
                <w:color w:val="FFFFFF"/>
                <w:sz w:val="20"/>
              </w:rPr>
              <w:t>Amount (BDT)</w:t>
            </w:r>
          </w:p>
        </w:tc>
      </w:tr>
      <w:tr>
        <w:tc>
          <w:tcPr>
            <w:tcW w:type="dxa" w:w="4320"/>
          </w:tcPr>
          <w:p>
            <w:r>
              <w:t>Space Rent</w:t>
            </w:r>
          </w:p>
        </w:tc>
        <w:tc>
          <w:tcPr>
            <w:tcW w:type="dxa" w:w="4320"/>
          </w:tcPr>
          <w:p>
            <w:r>
              <w:t>10,000</w:t>
            </w:r>
          </w:p>
        </w:tc>
      </w:tr>
      <w:tr>
        <w:tc>
          <w:tcPr>
            <w:tcW w:type="dxa" w:w="4320"/>
            <w:shd w:fill="F5F5F5"/>
          </w:tcPr>
          <w:p>
            <w:r>
              <w:t>Electricity/Water</w:t>
            </w:r>
          </w:p>
        </w:tc>
        <w:tc>
          <w:tcPr>
            <w:tcW w:type="dxa" w:w="4320"/>
            <w:shd w:fill="F5F5F5"/>
          </w:tcPr>
          <w:p>
            <w:r>
              <w:t>3,500</w:t>
            </w:r>
          </w:p>
        </w:tc>
      </w:tr>
      <w:tr>
        <w:tc>
          <w:tcPr>
            <w:tcW w:type="dxa" w:w="4320"/>
          </w:tcPr>
          <w:p>
            <w:r>
              <w:t>Labor (1 helper)</w:t>
            </w:r>
          </w:p>
        </w:tc>
        <w:tc>
          <w:tcPr>
            <w:tcW w:type="dxa" w:w="4320"/>
          </w:tcPr>
          <w:p>
            <w:r>
              <w:t>8,000</w:t>
            </w:r>
          </w:p>
        </w:tc>
      </w:tr>
      <w:tr>
        <w:tc>
          <w:tcPr>
            <w:tcW w:type="dxa" w:w="4320"/>
            <w:shd w:fill="F5F5F5"/>
          </w:tcPr>
          <w:p>
            <w:r>
              <w:t>Transportation</w:t>
            </w:r>
          </w:p>
        </w:tc>
        <w:tc>
          <w:tcPr>
            <w:tcW w:type="dxa" w:w="4320"/>
            <w:shd w:fill="F5F5F5"/>
          </w:tcPr>
          <w:p>
            <w:r>
              <w:t>5,000</w:t>
            </w:r>
          </w:p>
        </w:tc>
      </w:tr>
      <w:tr>
        <w:tc>
          <w:tcPr>
            <w:tcW w:type="dxa" w:w="4320"/>
          </w:tcPr>
          <w:p>
            <w:r>
              <w:rPr>
                <w:b/>
              </w:rPr>
              <w:t>Total Fixed Costs</w:t>
            </w:r>
          </w:p>
        </w:tc>
        <w:tc>
          <w:tcPr>
            <w:tcW w:type="dxa" w:w="4320"/>
          </w:tcPr>
          <w:p>
            <w:r>
              <w:rPr>
                <w:b/>
              </w:rPr>
              <w:t>28,500</w:t>
            </w:r>
          </w:p>
        </w:tc>
      </w:tr>
    </w:tbl>
    <w:p>
      <w:r>
        <w:rPr>
          <w:rFonts w:ascii="Calibri" w:hAnsi="Calibri"/>
          <w:b/>
          <w:i w:val="0"/>
          <w:sz w:val="22"/>
        </w:rPr>
        <w:t>Net Monthly Profit: 18,000 – 28,500 = -10,500 BDT (Loss)</w:t>
      </w:r>
    </w:p>
    <w:p>
      <w:pPr>
        <w:jc w:val="left"/>
      </w:pPr>
      <w:r>
        <w:rPr>
          <w:rFonts w:ascii="Calibri" w:hAnsi="Calibri"/>
          <w:b/>
          <w:color w:val="000000"/>
          <w:sz w:val="24"/>
        </w:rPr>
        <w:t>10.2 Break-Even and Year 1 Target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2E2E"/>
          </w:tcPr>
          <w:p>
            <w:pPr>
              <w:jc w:val="center"/>
            </w:pPr>
            <w:r>
              <w:rPr>
                <w:b/>
                <w:color w:val="FFFFFF"/>
                <w:sz w:val="20"/>
              </w:rPr>
              <w:t>Metric</w:t>
            </w:r>
          </w:p>
        </w:tc>
        <w:tc>
          <w:tcPr>
            <w:tcW w:type="dxa" w:w="2160"/>
            <w:shd w:fill="2E2E2E"/>
          </w:tcPr>
          <w:p>
            <w:pPr>
              <w:jc w:val="center"/>
            </w:pPr>
            <w:r>
              <w:rPr>
                <w:b/>
                <w:color w:val="FFFFFF"/>
                <w:sz w:val="20"/>
              </w:rPr>
              <w:t>Test Phase (7,000)</w:t>
            </w:r>
          </w:p>
        </w:tc>
        <w:tc>
          <w:tcPr>
            <w:tcW w:type="dxa" w:w="2160"/>
            <w:shd w:fill="2E2E2E"/>
          </w:tcPr>
          <w:p>
            <w:pPr>
              <w:jc w:val="center"/>
            </w:pPr>
            <w:r>
              <w:rPr>
                <w:b/>
                <w:color w:val="FFFFFF"/>
                <w:sz w:val="20"/>
              </w:rPr>
              <w:t>Break-Even (~14,000)</w:t>
            </w:r>
          </w:p>
        </w:tc>
        <w:tc>
          <w:tcPr>
            <w:tcW w:type="dxa" w:w="2160"/>
            <w:shd w:fill="2E2E2E"/>
          </w:tcPr>
          <w:p>
            <w:pPr>
              <w:jc w:val="center"/>
            </w:pPr>
            <w:r>
              <w:rPr>
                <w:b/>
                <w:color w:val="FFFFFF"/>
                <w:sz w:val="20"/>
              </w:rPr>
              <w:t>Year 1 Target (~20,000)</w:t>
            </w:r>
          </w:p>
        </w:tc>
      </w:tr>
      <w:tr>
        <w:tc>
          <w:tcPr>
            <w:tcW w:type="dxa" w:w="2160"/>
          </w:tcPr>
          <w:p>
            <w:r>
              <w:t>Monthly Revenue</w:t>
            </w:r>
          </w:p>
        </w:tc>
        <w:tc>
          <w:tcPr>
            <w:tcW w:type="dxa" w:w="2160"/>
          </w:tcPr>
          <w:p>
            <w:r>
              <w:t>88,000</w:t>
            </w:r>
          </w:p>
        </w:tc>
        <w:tc>
          <w:tcPr>
            <w:tcW w:type="dxa" w:w="2160"/>
          </w:tcPr>
          <w:p>
            <w:r>
              <w:t>~150,000</w:t>
            </w:r>
          </w:p>
        </w:tc>
        <w:tc>
          <w:tcPr>
            <w:tcW w:type="dxa" w:w="2160"/>
          </w:tcPr>
          <w:p>
            <w:r>
              <w:t>~250,000</w:t>
            </w:r>
          </w:p>
        </w:tc>
      </w:tr>
      <w:tr>
        <w:tc>
          <w:tcPr>
            <w:tcW w:type="dxa" w:w="2160"/>
            <w:shd w:fill="F5F5F5"/>
          </w:tcPr>
          <w:p>
            <w:r>
              <w:t>Variable Profit</w:t>
            </w:r>
          </w:p>
        </w:tc>
        <w:tc>
          <w:tcPr>
            <w:tcW w:type="dxa" w:w="2160"/>
            <w:shd w:fill="F5F5F5"/>
          </w:tcPr>
          <w:p>
            <w:r>
              <w:t>18,000</w:t>
            </w:r>
          </w:p>
        </w:tc>
        <w:tc>
          <w:tcPr>
            <w:tcW w:type="dxa" w:w="2160"/>
            <w:shd w:fill="F5F5F5"/>
          </w:tcPr>
          <w:p>
            <w:r>
              <w:t>28,500</w:t>
            </w:r>
          </w:p>
        </w:tc>
        <w:tc>
          <w:tcPr>
            <w:tcW w:type="dxa" w:w="2160"/>
            <w:shd w:fill="F5F5F5"/>
          </w:tcPr>
          <w:p>
            <w:r>
              <w:t>~70,000</w:t>
            </w:r>
          </w:p>
        </w:tc>
      </w:tr>
      <w:tr>
        <w:tc>
          <w:tcPr>
            <w:tcW w:type="dxa" w:w="2160"/>
          </w:tcPr>
          <w:p>
            <w:r>
              <w:t>Fixed Costs</w:t>
            </w:r>
          </w:p>
        </w:tc>
        <w:tc>
          <w:tcPr>
            <w:tcW w:type="dxa" w:w="2160"/>
          </w:tcPr>
          <w:p>
            <w:r>
              <w:t>28,500</w:t>
            </w:r>
          </w:p>
        </w:tc>
        <w:tc>
          <w:tcPr>
            <w:tcW w:type="dxa" w:w="2160"/>
          </w:tcPr>
          <w:p>
            <w:r>
              <w:t>28,500</w:t>
            </w:r>
          </w:p>
        </w:tc>
        <w:tc>
          <w:tcPr>
            <w:tcW w:type="dxa" w:w="2160"/>
          </w:tcPr>
          <w:p>
            <w:r>
              <w:t>~30,000</w:t>
            </w:r>
          </w:p>
        </w:tc>
      </w:tr>
      <w:tr>
        <w:tc>
          <w:tcPr>
            <w:tcW w:type="dxa" w:w="2160"/>
            <w:shd w:fill="F5F5F5"/>
          </w:tcPr>
          <w:p>
            <w:r>
              <w:t>Net Profit</w:t>
            </w:r>
          </w:p>
        </w:tc>
        <w:tc>
          <w:tcPr>
            <w:tcW w:type="dxa" w:w="2160"/>
            <w:shd w:fill="F5F5F5"/>
          </w:tcPr>
          <w:p>
            <w:r>
              <w:t>-10,500</w:t>
            </w:r>
          </w:p>
        </w:tc>
        <w:tc>
          <w:tcPr>
            <w:tcW w:type="dxa" w:w="2160"/>
            <w:shd w:fill="F5F5F5"/>
          </w:tcPr>
          <w:p>
            <w:r>
              <w:t>0</w:t>
            </w:r>
          </w:p>
        </w:tc>
        <w:tc>
          <w:tcPr>
            <w:tcW w:type="dxa" w:w="2160"/>
            <w:shd w:fill="F5F5F5"/>
          </w:tcPr>
          <w:p>
            <w:r>
              <w:t>~40,000</w:t>
            </w:r>
          </w:p>
        </w:tc>
      </w:tr>
    </w:tbl>
    <w:p>
      <w:pPr>
        <w:jc w:val="left"/>
      </w:pPr>
      <w:r>
        <w:rPr>
          <w:rFonts w:ascii="Calibri" w:hAnsi="Calibri"/>
          <w:b/>
          <w:color w:val="000000"/>
          <w:sz w:val="24"/>
        </w:rPr>
        <w:t>10.3 Five-Year Profitability (Phase 2 — Full Product Line)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2E2E"/>
          </w:tcPr>
          <w:p>
            <w:pPr>
              <w:jc w:val="center"/>
            </w:pPr>
            <w:r>
              <w:rPr>
                <w:b/>
                <w:color w:val="FFFFFF"/>
                <w:sz w:val="20"/>
              </w:rPr>
              <w:t>Bottle Size</w:t>
            </w:r>
          </w:p>
        </w:tc>
        <w:tc>
          <w:tcPr>
            <w:tcW w:type="dxa" w:w="1728"/>
            <w:shd w:fill="2E2E2E"/>
          </w:tcPr>
          <w:p>
            <w:pPr>
              <w:jc w:val="center"/>
            </w:pPr>
            <w:r>
              <w:rPr>
                <w:b/>
                <w:color w:val="FFFFFF"/>
                <w:sz w:val="20"/>
              </w:rPr>
              <w:t>Monthly Units</w:t>
            </w:r>
          </w:p>
        </w:tc>
        <w:tc>
          <w:tcPr>
            <w:tcW w:type="dxa" w:w="1728"/>
            <w:shd w:fill="2E2E2E"/>
          </w:tcPr>
          <w:p>
            <w:pPr>
              <w:jc w:val="center"/>
            </w:pPr>
            <w:r>
              <w:rPr>
                <w:b/>
                <w:color w:val="FFFFFF"/>
                <w:sz w:val="20"/>
              </w:rPr>
              <w:t>Profit/Bottle (BDT)</w:t>
            </w:r>
          </w:p>
        </w:tc>
        <w:tc>
          <w:tcPr>
            <w:tcW w:type="dxa" w:w="1728"/>
            <w:shd w:fill="2E2E2E"/>
          </w:tcPr>
          <w:p>
            <w:pPr>
              <w:jc w:val="center"/>
            </w:pPr>
            <w:r>
              <w:rPr>
                <w:b/>
                <w:color w:val="FFFFFF"/>
                <w:sz w:val="20"/>
              </w:rPr>
              <w:t>Monthly Profit (BDT)</w:t>
            </w:r>
          </w:p>
        </w:tc>
        <w:tc>
          <w:tcPr>
            <w:tcW w:type="dxa" w:w="1728"/>
            <w:shd w:fill="2E2E2E"/>
          </w:tcPr>
          <w:p>
            <w:pPr>
              <w:jc w:val="center"/>
            </w:pPr>
            <w:r>
              <w:rPr>
                <w:b/>
                <w:color w:val="FFFFFF"/>
                <w:sz w:val="20"/>
              </w:rPr>
              <w:t>Annual Profit (BDT)</w:t>
            </w:r>
          </w:p>
        </w:tc>
      </w:tr>
      <w:tr>
        <w:tc>
          <w:tcPr>
            <w:tcW w:type="dxa" w:w="1728"/>
          </w:tcPr>
          <w:p>
            <w:r>
              <w:t>250 ml</w:t>
            </w:r>
          </w:p>
        </w:tc>
        <w:tc>
          <w:tcPr>
            <w:tcW w:type="dxa" w:w="1728"/>
          </w:tcPr>
          <w:p>
            <w:r>
              <w:t>10,000</w:t>
            </w:r>
          </w:p>
        </w:tc>
        <w:tc>
          <w:tcPr>
            <w:tcW w:type="dxa" w:w="1728"/>
          </w:tcPr>
          <w:p>
            <w:r>
              <w:t>1.50</w:t>
            </w:r>
          </w:p>
        </w:tc>
        <w:tc>
          <w:tcPr>
            <w:tcW w:type="dxa" w:w="1728"/>
          </w:tcPr>
          <w:p>
            <w:r>
              <w:t>15,000</w:t>
            </w:r>
          </w:p>
        </w:tc>
        <w:tc>
          <w:tcPr>
            <w:tcW w:type="dxa" w:w="1728"/>
          </w:tcPr>
          <w:p>
            <w:r>
              <w:t>180,000</w:t>
            </w:r>
          </w:p>
        </w:tc>
      </w:tr>
      <w:tr>
        <w:tc>
          <w:tcPr>
            <w:tcW w:type="dxa" w:w="1728"/>
            <w:shd w:fill="F5F5F5"/>
          </w:tcPr>
          <w:p>
            <w:r>
              <w:t>500 ml</w:t>
            </w:r>
          </w:p>
        </w:tc>
        <w:tc>
          <w:tcPr>
            <w:tcW w:type="dxa" w:w="1728"/>
            <w:shd w:fill="F5F5F5"/>
          </w:tcPr>
          <w:p>
            <w:r>
              <w:t>10,000</w:t>
            </w:r>
          </w:p>
        </w:tc>
        <w:tc>
          <w:tcPr>
            <w:tcW w:type="dxa" w:w="1728"/>
            <w:shd w:fill="F5F5F5"/>
          </w:tcPr>
          <w:p>
            <w:r>
              <w:t>2.50</w:t>
            </w:r>
          </w:p>
        </w:tc>
        <w:tc>
          <w:tcPr>
            <w:tcW w:type="dxa" w:w="1728"/>
            <w:shd w:fill="F5F5F5"/>
          </w:tcPr>
          <w:p>
            <w:r>
              <w:t>25,000</w:t>
            </w:r>
          </w:p>
        </w:tc>
        <w:tc>
          <w:tcPr>
            <w:tcW w:type="dxa" w:w="1728"/>
            <w:shd w:fill="F5F5F5"/>
          </w:tcPr>
          <w:p>
            <w:r>
              <w:t>300,000</w:t>
            </w:r>
          </w:p>
        </w:tc>
      </w:tr>
      <w:tr>
        <w:tc>
          <w:tcPr>
            <w:tcW w:type="dxa" w:w="1728"/>
          </w:tcPr>
          <w:p>
            <w:r>
              <w:t>1 L</w:t>
            </w:r>
          </w:p>
        </w:tc>
        <w:tc>
          <w:tcPr>
            <w:tcW w:type="dxa" w:w="1728"/>
          </w:tcPr>
          <w:p>
            <w:r>
              <w:t>10,000</w:t>
            </w:r>
          </w:p>
        </w:tc>
        <w:tc>
          <w:tcPr>
            <w:tcW w:type="dxa" w:w="1728"/>
          </w:tcPr>
          <w:p>
            <w:r>
              <w:t>3.00</w:t>
            </w:r>
          </w:p>
        </w:tc>
        <w:tc>
          <w:tcPr>
            <w:tcW w:type="dxa" w:w="1728"/>
          </w:tcPr>
          <w:p>
            <w:r>
              <w:t>30,000</w:t>
            </w:r>
          </w:p>
        </w:tc>
        <w:tc>
          <w:tcPr>
            <w:tcW w:type="dxa" w:w="1728"/>
          </w:tcPr>
          <w:p>
            <w:r>
              <w:t>360,000</w:t>
            </w:r>
          </w:p>
        </w:tc>
      </w:tr>
      <w:tr>
        <w:tc>
          <w:tcPr>
            <w:tcW w:type="dxa" w:w="1728"/>
            <w:shd w:fill="F5F5F5"/>
          </w:tcPr>
          <w:p>
            <w:r>
              <w:t>2 L</w:t>
            </w:r>
          </w:p>
        </w:tc>
        <w:tc>
          <w:tcPr>
            <w:tcW w:type="dxa" w:w="1728"/>
            <w:shd w:fill="F5F5F5"/>
          </w:tcPr>
          <w:p>
            <w:r>
              <w:t>10,000</w:t>
            </w:r>
          </w:p>
        </w:tc>
        <w:tc>
          <w:tcPr>
            <w:tcW w:type="dxa" w:w="1728"/>
            <w:shd w:fill="F5F5F5"/>
          </w:tcPr>
          <w:p>
            <w:r>
              <w:t>5.00</w:t>
            </w:r>
          </w:p>
        </w:tc>
        <w:tc>
          <w:tcPr>
            <w:tcW w:type="dxa" w:w="1728"/>
            <w:shd w:fill="F5F5F5"/>
          </w:tcPr>
          <w:p>
            <w:r>
              <w:t>50,000</w:t>
            </w:r>
          </w:p>
        </w:tc>
        <w:tc>
          <w:tcPr>
            <w:tcW w:type="dxa" w:w="1728"/>
            <w:shd w:fill="F5F5F5"/>
          </w:tcPr>
          <w:p>
            <w:r>
              <w:t>600,000</w:t>
            </w:r>
          </w:p>
        </w:tc>
      </w:tr>
      <w:tr>
        <w:tc>
          <w:tcPr>
            <w:tcW w:type="dxa" w:w="1728"/>
          </w:tcPr>
          <w:p>
            <w:r>
              <w:t>5 L</w:t>
            </w:r>
          </w:p>
        </w:tc>
        <w:tc>
          <w:tcPr>
            <w:tcW w:type="dxa" w:w="1728"/>
          </w:tcPr>
          <w:p>
            <w:r>
              <w:t>10,000</w:t>
            </w:r>
          </w:p>
        </w:tc>
        <w:tc>
          <w:tcPr>
            <w:tcW w:type="dxa" w:w="1728"/>
          </w:tcPr>
          <w:p>
            <w:r>
              <w:t>10.00</w:t>
            </w:r>
          </w:p>
        </w:tc>
        <w:tc>
          <w:tcPr>
            <w:tcW w:type="dxa" w:w="1728"/>
          </w:tcPr>
          <w:p>
            <w:r>
              <w:t>100,000</w:t>
            </w:r>
          </w:p>
        </w:tc>
        <w:tc>
          <w:tcPr>
            <w:tcW w:type="dxa" w:w="1728"/>
          </w:tcPr>
          <w:p>
            <w:r>
              <w:t>1,200,000</w:t>
            </w:r>
          </w:p>
        </w:tc>
      </w:tr>
      <w:tr>
        <w:tc>
          <w:tcPr>
            <w:tcW w:type="dxa" w:w="1728"/>
            <w:shd w:fill="F5F5F5"/>
          </w:tcPr>
          <w:p>
            <w:r>
              <w:rPr>
                <w:b/>
              </w:rPr>
              <w:t>Total</w:t>
            </w:r>
          </w:p>
        </w:tc>
        <w:tc>
          <w:tcPr>
            <w:tcW w:type="dxa" w:w="1728"/>
            <w:shd w:fill="F5F5F5"/>
          </w:tcPr>
          <w:p>
            <w:r>
              <w:rPr>
                <w:b/>
              </w:rPr>
              <w:t>50,000</w:t>
            </w:r>
          </w:p>
        </w:tc>
        <w:tc>
          <w:tcPr>
            <w:tcW w:type="dxa" w:w="1728"/>
            <w:shd w:fill="F5F5F5"/>
          </w:tcPr>
          <w:p>
            <w:r>
              <w:rPr>
                <w:b/>
              </w:rPr>
              <w:t>—</w:t>
            </w:r>
          </w:p>
        </w:tc>
        <w:tc>
          <w:tcPr>
            <w:tcW w:type="dxa" w:w="1728"/>
            <w:shd w:fill="F5F5F5"/>
          </w:tcPr>
          <w:p>
            <w:r>
              <w:rPr>
                <w:b/>
              </w:rPr>
              <w:t>220,000</w:t>
            </w:r>
          </w:p>
        </w:tc>
        <w:tc>
          <w:tcPr>
            <w:tcW w:type="dxa" w:w="1728"/>
            <w:shd w:fill="F5F5F5"/>
          </w:tcPr>
          <w:p>
            <w:r>
              <w:rPr>
                <w:b/>
              </w:rPr>
              <w:t>2,640,000</w:t>
            </w:r>
          </w:p>
        </w:tc>
      </w:tr>
    </w:tbl>
    <w:p>
      <w:pPr>
        <w:jc w:val="left"/>
      </w:pPr>
      <w:r>
        <w:rPr>
          <w:rFonts w:ascii="Calibri" w:hAnsi="Calibri"/>
          <w:b/>
          <w:color w:val="000000"/>
          <w:sz w:val="24"/>
        </w:rPr>
        <w:t>10.4 Viability</w:t>
      </w:r>
    </w:p>
    <w:p>
      <w:r>
        <w:rPr>
          <w:rFonts w:ascii="Calibri" w:hAnsi="Calibri"/>
          <w:b w:val="0"/>
          <w:i w:val="0"/>
          <w:sz w:val="22"/>
        </w:rPr>
        <w:t>Aggressive pricing is sustainable through three operational pillars:</w:t>
      </w:r>
    </w:p>
    <w:p>
      <w:pPr>
        <w:pStyle w:val="ListBullet"/>
        <w:spacing w:after="80"/>
        <w:ind w:left="360"/>
      </w:pPr>
      <w:r>
        <w:t>High volume reducing fixed cost per unit</w:t>
      </w:r>
    </w:p>
    <w:p>
      <w:pPr>
        <w:pStyle w:val="ListBullet"/>
        <w:spacing w:after="80"/>
        <w:ind w:left="360"/>
      </w:pPr>
      <w:r>
        <w:t>Solar power stabilizing utility costs</w:t>
      </w:r>
    </w:p>
    <w:p>
      <w:pPr>
        <w:pStyle w:val="ListBullet"/>
        <w:spacing w:after="80"/>
        <w:ind w:left="360"/>
      </w:pPr>
      <w:r>
        <w:t>CCPP-optimized RO recovery saving raw materials</w:t>
      </w:r>
    </w:p>
    <w:p>
      <w:pPr>
        <w:jc w:val="left"/>
      </w:pPr>
      <w:r>
        <w:rPr>
          <w:rFonts w:ascii="Calibri" w:hAnsi="Calibri"/>
          <w:b/>
          <w:color w:val="0066CC"/>
          <w:sz w:val="32"/>
        </w:rPr>
        <w:t>11. FUTURE IMPROVEMENTS</w:t>
      </w:r>
    </w:p>
    <w:p>
      <w:pPr>
        <w:jc w:val="left"/>
      </w:pPr>
      <w:r>
        <w:rPr>
          <w:rFonts w:ascii="Calibri" w:hAnsi="Calibri"/>
          <w:b/>
          <w:color w:val="000000"/>
          <w:sz w:val="24"/>
        </w:rPr>
        <w:t>Product Expansion</w:t>
      </w:r>
    </w:p>
    <w:p>
      <w:pPr>
        <w:pStyle w:val="ListBullet"/>
        <w:spacing w:after="80"/>
        <w:ind w:left="360"/>
      </w:pPr>
      <w:r>
        <w:t>Year 2: Launch 2L and 5L formats</w:t>
      </w:r>
    </w:p>
    <w:p>
      <w:pPr>
        <w:pStyle w:val="ListBullet"/>
        <w:spacing w:after="80"/>
        <w:ind w:left="360"/>
      </w:pPr>
      <w:r>
        <w:t>Year 4–5: Flavored water, mineral-enhanced, sparkling options</w:t>
      </w:r>
    </w:p>
    <w:p>
      <w:pPr>
        <w:pStyle w:val="ListBullet"/>
        <w:spacing w:after="80"/>
        <w:ind w:left="360"/>
      </w:pPr>
      <w:r>
        <w:t>Smart packaging with QR traceability</w:t>
      </w:r>
    </w:p>
    <w:p>
      <w:pPr>
        <w:jc w:val="left"/>
      </w:pPr>
      <w:r>
        <w:rPr>
          <w:rFonts w:ascii="Calibri" w:hAnsi="Calibri"/>
          <w:b/>
          <w:color w:val="000000"/>
          <w:sz w:val="24"/>
        </w:rPr>
        <w:t>Technology</w:t>
      </w:r>
    </w:p>
    <w:p>
      <w:pPr>
        <w:pStyle w:val="ListBullet"/>
        <w:spacing w:after="80"/>
        <w:ind w:left="360"/>
      </w:pPr>
      <w:r>
        <w:t>AI-driven quality control with predictive maintenance</w:t>
      </w:r>
    </w:p>
    <w:p>
      <w:pPr>
        <w:pStyle w:val="ListBullet"/>
        <w:spacing w:after="80"/>
        <w:ind w:left="360"/>
      </w:pPr>
      <w:r>
        <w:t>IoT-integrated smart bottles</w:t>
      </w:r>
    </w:p>
    <w:p>
      <w:pPr>
        <w:pStyle w:val="ListBullet"/>
        <w:spacing w:after="80"/>
        <w:ind w:left="360"/>
      </w:pPr>
      <w:r>
        <w:t>Next-gen membranes pushing RO recovery beyond 80%</w:t>
      </w:r>
    </w:p>
    <w:p>
      <w:pPr>
        <w:jc w:val="left"/>
      </w:pPr>
      <w:r>
        <w:rPr>
          <w:rFonts w:ascii="Calibri" w:hAnsi="Calibri"/>
          <w:b/>
          <w:color w:val="000000"/>
          <w:sz w:val="24"/>
        </w:rPr>
        <w:t>Sustainability</w:t>
      </w:r>
    </w:p>
    <w:p>
      <w:pPr>
        <w:pStyle w:val="ListBullet"/>
        <w:spacing w:after="80"/>
        <w:ind w:left="360"/>
      </w:pPr>
      <w:r>
        <w:t>Brand-specific bottle buy-back program</w:t>
      </w:r>
    </w:p>
    <w:p>
      <w:pPr>
        <w:pStyle w:val="ListBullet"/>
        <w:spacing w:after="80"/>
        <w:ind w:left="360"/>
      </w:pPr>
      <w:r>
        <w:t>90%+ water recovery and 100% renewable energy by Year 5</w:t>
      </w:r>
    </w:p>
    <w:p>
      <w:pPr>
        <w:pStyle w:val="ListBullet"/>
        <w:spacing w:after="80"/>
        <w:ind w:left="360"/>
      </w:pPr>
      <w:r>
        <w:t>Community water kiosks in underserved areas</w:t>
      </w:r>
    </w:p>
    <w:p>
      <w:pPr>
        <w:jc w:val="left"/>
      </w:pPr>
      <w:r>
        <w:rPr>
          <w:rFonts w:ascii="Calibri" w:hAnsi="Calibri"/>
          <w:b/>
          <w:color w:val="000000"/>
          <w:sz w:val="24"/>
        </w:rPr>
        <w:t>Market Expansion</w:t>
      </w:r>
    </w:p>
    <w:p>
      <w:pPr>
        <w:pStyle w:val="ListBullet"/>
        <w:spacing w:after="80"/>
        <w:ind w:left="360"/>
      </w:pPr>
      <w:r>
        <w:t>Geographic: Dhaka to Chittagong, Sylhet, Khulna</w:t>
      </w:r>
    </w:p>
    <w:p>
      <w:pPr>
        <w:pStyle w:val="ListBullet"/>
        <w:spacing w:after="80"/>
        <w:ind w:left="360"/>
      </w:pPr>
      <w:r>
        <w:t>Digital: Proprietary delivery app with subscriptions</w:t>
      </w:r>
    </w:p>
    <w:p>
      <w:pPr>
        <w:pStyle w:val="ListBullet"/>
        <w:spacing w:after="80"/>
        <w:ind w:left="360"/>
      </w:pPr>
      <w:r>
        <w:t>B2B: Corporate contracts with schools, hospitals, government</w:t>
      </w:r>
    </w:p>
    <w:p>
      <w:pPr>
        <w:jc w:val="left"/>
      </w:pPr>
      <w:r>
        <w:rPr>
          <w:rFonts w:ascii="Calibri" w:hAnsi="Calibri"/>
          <w:b/>
          <w:color w:val="000000"/>
          <w:sz w:val="24"/>
        </w:rPr>
        <w:t>Social Impact</w:t>
      </w:r>
    </w:p>
    <w:p>
      <w:pPr>
        <w:pStyle w:val="ListBullet"/>
        <w:spacing w:after="80"/>
        <w:ind w:left="360"/>
      </w:pPr>
      <w:r>
        <w:t>50+ local jobs by Year 3</w:t>
      </w:r>
    </w:p>
    <w:p>
      <w:pPr>
        <w:pStyle w:val="ListBullet"/>
        <w:spacing w:after="80"/>
        <w:ind w:left="360"/>
      </w:pPr>
      <w:r>
        <w:t>NGO partnerships for nationwide water safety education</w:t>
      </w:r>
    </w:p>
    <w:p>
      <w:pPr>
        <w:pStyle w:val="ListBullet"/>
        <w:spacing w:after="80"/>
        <w:ind w:left="360"/>
      </w:pPr>
      <w:r>
        <w:t>Carbon neutrality through reforestation offsets</w:t>
      </w:r>
    </w:p>
    <w:p>
      <w:pPr>
        <w:jc w:val="left"/>
      </w:pPr>
      <w:r>
        <w:rPr>
          <w:rFonts w:ascii="Calibri" w:hAnsi="Calibri"/>
          <w:b/>
          <w:color w:val="0066CC"/>
          <w:sz w:val="32"/>
        </w:rPr>
        <w:t>12. CONCLUSION</w:t>
      </w:r>
    </w:p>
    <w:p>
      <w:r>
        <w:rPr>
          <w:rFonts w:ascii="Calibri" w:hAnsi="Calibri"/>
          <w:b w:val="0"/>
          <w:i w:val="0"/>
          <w:sz w:val="22"/>
        </w:rPr>
        <w:t>Savior Bottled Water capitalizes on severe market failures in public health and environmental stewardship. The brand bridges premium quality and mass-market affordability through multi-stage RO/UV purification, CCPP-optimized recovery, and lean solar-powered operations.</w:t>
      </w:r>
    </w:p>
    <w:p>
      <w:r>
        <w:rPr>
          <w:rFonts w:ascii="Calibri" w:hAnsi="Calibri"/>
          <w:b w:val="0"/>
          <w:i w:val="0"/>
          <w:sz w:val="22"/>
        </w:rPr>
        <w:t>Penetration pricing is viable contingent on doubling initial capacity in Year 1 to absorb 28,500 BDT monthly fixed costs. The phased roadmap introducing high-margin 2L and 5L formats projects annual profits exceeding 2.6 million BDT at full scale.</w:t>
      </w:r>
    </w:p>
    <w:p>
      <w:r>
        <w:rPr>
          <w:rFonts w:ascii="Calibri" w:hAnsi="Calibri"/>
          <w:b w:val="0"/>
          <w:i w:val="0"/>
          <w:sz w:val="22"/>
        </w:rPr>
        <w:t>Savior offers investors dual returns: robust financial growth in a rapidly expanding market, plus measurable social and environmental impact aligned with global ESG frameworks.</w:t>
      </w:r>
    </w:p>
    <w:p>
      <w:r>
        <w:rPr>
          <w:rFonts w:ascii="Calibri" w:hAnsi="Calibri"/>
          <w:b w:val="0"/>
          <w:i w:val="0"/>
          <w:sz w:val="22"/>
        </w:rPr>
        <w:t>Investment capital is earmarked for high-efficiency production technology, solar power infrastructure, and foundational distribution network development. Join us to establish Savior as Bangladesh's market leader in affordable, safe, and sustainable bottled water — delivering Pure Water, Pure Value, and a Pure Choice.</w:t>
      </w:r>
    </w:p>
    <w:p>
      <w:pPr>
        <w:jc w:val="left"/>
      </w:pPr>
      <w:r>
        <w:rPr>
          <w:rFonts w:ascii="Calibri" w:hAnsi="Calibri"/>
          <w:b/>
          <w:color w:val="0066CC"/>
          <w:sz w:val="32"/>
        </w:rPr>
        <w:t>13. REFERENCES</w:t>
      </w:r>
    </w:p>
    <w:p>
      <w:r>
        <w:rPr>
          <w:rFonts w:ascii="Calibri" w:hAnsi="Calibri"/>
          <w:sz w:val="18"/>
        </w:rPr>
        <w:t>1. How to Maximize the Recovery Rate of Your RO System? — Rotek. https://www.rotekwatershop.com/post/howtomaximizerosystemrecoveryrate</w:t>
      </w:r>
    </w:p>
    <w:p>
      <w:r>
        <w:rPr>
          <w:rFonts w:ascii="Calibri" w:hAnsi="Calibri"/>
          <w:sz w:val="18"/>
        </w:rPr>
        <w:t>2. Water Supply and Sanitation in Bangladesh — Wikipedia. https://en.wikipedia.org/wiki/Water_supply_and_sanitation_in_Bangladesh</w:t>
      </w:r>
    </w:p>
    <w:p>
      <w:r>
        <w:rPr>
          <w:rFonts w:ascii="Calibri" w:hAnsi="Calibri"/>
          <w:sz w:val="18"/>
        </w:rPr>
        <w:t>3. Surface and Ground Water Quality Report 2023 — Department of Environment, Bangladesh.</w:t>
      </w:r>
    </w:p>
    <w:p>
      <w:r>
        <w:rPr>
          <w:rFonts w:ascii="Calibri" w:hAnsi="Calibri"/>
          <w:sz w:val="18"/>
        </w:rPr>
        <w:t>4. Arsenic Contamination in Groundwater in Bangladesh — PubMed Central. https://pmc.ncbi.nlm.nih.gov/articles/PMC6281155/</w:t>
      </w:r>
    </w:p>
    <w:p>
      <w:r>
        <w:rPr>
          <w:rFonts w:ascii="Calibri" w:hAnsi="Calibri"/>
          <w:sz w:val="18"/>
        </w:rPr>
        <w:t>5. Is the Groundwater of Dhaka City Contaminated? — Frontiers. https://www.frontiersin.org/journals/environmental-science/articles/10.3389/fenvs.2024.1514154/full</w:t>
      </w:r>
    </w:p>
    <w:p>
      <w:r>
        <w:rPr>
          <w:rFonts w:ascii="Calibri" w:hAnsi="Calibri"/>
          <w:sz w:val="18"/>
        </w:rPr>
        <w:t>6. Bangladesh Disposes 3.5B Single-Use Plastic Bottles Annually — TBS News. https://www.tbsnews.net/bangladesh/environment/bangladesh-disposes-around-35b-single-use-plastic-bottles-annually-study</w:t>
      </w:r>
    </w:p>
    <w:p>
      <w:r>
        <w:rPr>
          <w:rFonts w:ascii="Calibri" w:hAnsi="Calibri"/>
          <w:sz w:val="18"/>
        </w:rPr>
        <w:t>7. BD Uses 3.84B Plastic Bottles a Year — The Financial Express. https://thefinancialexpress.com.bd/economy/bd-uses-384b-plastic-bottles-a-yr-study</w:t>
      </w:r>
    </w:p>
    <w:p>
      <w:r>
        <w:rPr>
          <w:rFonts w:ascii="Calibri" w:hAnsi="Calibri"/>
          <w:sz w:val="18"/>
        </w:rPr>
        <w:t>8. Meeting Bangladesh's Plastic Challenge — World Bank. https://www.worldbank.org/en/news/feature/2021/12/23/meeting-bangladesh-s-plastic-challenge-through-a-multisectoral-approach</w:t>
      </w:r>
    </w:p>
    <w:p>
      <w:r>
        <w:rPr>
          <w:rFonts w:ascii="Calibri" w:hAnsi="Calibri"/>
          <w:sz w:val="18"/>
        </w:rPr>
        <w:t>9. Microplastics Pollution in Bangladesh — Oxford Academic. https://academic.oup.com/ieam/advance-article/doi/10.1093/inteam/vjaf108/8231076</w:t>
      </w:r>
    </w:p>
    <w:p>
      <w:r>
        <w:rPr>
          <w:rFonts w:ascii="Calibri" w:hAnsi="Calibri"/>
          <w:sz w:val="18"/>
        </w:rPr>
        <w:t>10. Bangladesh's Plastic Tide — ISHR. https://ishr.org/bangladeshs-plastic-tide-a-nation-grappling-with-a-mounting-crisis/</w:t>
      </w:r>
    </w:p>
    <w:p>
      <w:r>
        <w:rPr>
          <w:rFonts w:ascii="Calibri" w:hAnsi="Calibri"/>
          <w:sz w:val="18"/>
        </w:rPr>
        <w:t>11. Dhaka Sitting on a Plastic Bomb — MDPI. https://www.mdpi.com/2673-4834/3/1/2</w:t>
      </w:r>
    </w:p>
    <w:p>
      <w:r>
        <w:rPr>
          <w:rFonts w:ascii="Calibri" w:hAnsi="Calibri"/>
          <w:sz w:val="18"/>
        </w:rPr>
        <w:t>12. PET Recycling in Bangladesh — IEOM Society. https://ieomsociety.org/proceedings/bangladesh2024/148.pdf</w:t>
      </w:r>
    </w:p>
    <w:p>
      <w:r>
        <w:rPr>
          <w:rFonts w:ascii="Calibri" w:hAnsi="Calibri"/>
          <w:sz w:val="18"/>
        </w:rPr>
        <w:t>13. RO Water Treatment Plant — Romegamart. https://romegamart.com/blog-details/ro-water-treatment-plant-the-ultimate-purification-solution/</w:t>
      </w:r>
    </w:p>
    <w:p>
      <w:r>
        <w:rPr>
          <w:rFonts w:ascii="Calibri" w:hAnsi="Calibri"/>
          <w:sz w:val="18"/>
        </w:rPr>
        <w:t>14. PLA Bottles — https://plabottles.eu/</w:t>
      </w:r>
    </w:p>
    <w:p>
      <w:r>
        <w:rPr>
          <w:rFonts w:ascii="Calibri" w:hAnsi="Calibri"/>
          <w:sz w:val="18"/>
        </w:rPr>
        <w:t>15. HDPE vs PET Bottles — PT Bioplast Unggul. https://bioplast.co.id/en/news/differences-between-hdpe-and-pet-bottles/</w:t>
      </w:r>
    </w:p>
    <w:p>
      <w:r>
        <w:rPr>
          <w:rFonts w:ascii="Calibri" w:hAnsi="Calibri"/>
          <w:sz w:val="18"/>
        </w:rPr>
        <w:t>16. Performance Metrics for Optimizing RO Systems — AXEON Water. https://www.axeonwater.com/blog/key-membrane-performance-metrics-for-optimizing-reverse-osmosis-systems/</w:t>
      </w:r>
    </w:p>
    <w:p>
      <w:r>
        <w:rPr>
          <w:rFonts w:ascii="Calibri" w:hAnsi="Calibri"/>
          <w:sz w:val="18"/>
        </w:rPr>
        <w:t>17. The Bottled Water Industry in Bangladesh — Emerging Credit Rating Ltd. https://emergingrating.com/monthly-magazine-april-2024-5-3-2/</w:t>
      </w:r>
    </w:p>
    <w:p>
      <w:r>
        <w:rPr>
          <w:rFonts w:ascii="Calibri" w:hAnsi="Calibri"/>
          <w:sz w:val="18"/>
        </w:rPr>
        <w:t>18. Bangladesh: Prices of Essential Commodities — World Bank. https://openknowledge.worldbank.org/</w:t>
      </w:r>
    </w:p>
    <w:p>
      <w:r>
        <w:rPr>
          <w:rFonts w:ascii="Calibri" w:hAnsi="Calibri"/>
          <w:sz w:val="18"/>
        </w:rPr>
        <w:t>19. Consumers Struggle with Soaring Commodity Prices — Dhaka Tribune. https://www.dhakatribune.com/bangladesh/374250/</w:t>
      </w:r>
    </w:p>
    <w:p>
      <w:r>
        <w:rPr>
          <w:rFonts w:ascii="Calibri" w:hAnsi="Calibri"/>
          <w:sz w:val="18"/>
        </w:rPr>
        <w:t>20. Pure Drinking Water Industry in Bangladesh — PRITI Research and Consultancy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