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28AD" w:rsidRPr="00D728AD" w:rsidRDefault="00D728AD" w:rsidP="00D728AD">
      <w:pPr>
        <w:jc w:val="both"/>
        <w:rPr>
          <w:b/>
          <w:sz w:val="28"/>
        </w:rPr>
      </w:pPr>
      <w:r>
        <w:rPr>
          <w:b/>
          <w:sz w:val="28"/>
        </w:rPr>
        <w:t>1.</w:t>
      </w:r>
      <w:r w:rsidRPr="00D728AD">
        <w:rPr>
          <w:rFonts w:ascii="Times New Roman" w:eastAsia="Times New Roman" w:hAnsi="Times New Roman" w:cs="Times New Roman"/>
          <w:sz w:val="24"/>
          <w:szCs w:val="24"/>
        </w:rPr>
        <w:t xml:space="preserve"> </w:t>
      </w:r>
      <w:r w:rsidRPr="00D728AD">
        <w:rPr>
          <w:b/>
          <w:sz w:val="28"/>
        </w:rPr>
        <w:t>What is capital Budgeting?</w:t>
      </w:r>
    </w:p>
    <w:p w:rsidR="00D728AD" w:rsidRPr="00D728AD" w:rsidRDefault="00D728AD" w:rsidP="00D728AD">
      <w:pPr>
        <w:jc w:val="both"/>
        <w:rPr>
          <w:sz w:val="28"/>
        </w:rPr>
      </w:pPr>
      <w:r w:rsidRPr="00D728AD">
        <w:rPr>
          <w:bCs/>
          <w:sz w:val="28"/>
        </w:rPr>
        <w:t>Capital Budgeting</w:t>
      </w:r>
      <w:r w:rsidRPr="00D728AD">
        <w:rPr>
          <w:sz w:val="28"/>
        </w:rPr>
        <w:t xml:space="preserve"> is the process </w:t>
      </w:r>
      <w:r w:rsidRPr="00D728AD">
        <w:rPr>
          <w:b/>
          <w:sz w:val="28"/>
        </w:rPr>
        <w:t xml:space="preserve">of </w:t>
      </w:r>
      <w:r w:rsidRPr="00D728AD">
        <w:rPr>
          <w:b/>
          <w:color w:val="FF0000"/>
          <w:sz w:val="28"/>
        </w:rPr>
        <w:t xml:space="preserve">planning and evaluating </w:t>
      </w:r>
      <w:r w:rsidRPr="00D728AD">
        <w:rPr>
          <w:color w:val="FF0000"/>
          <w:sz w:val="28"/>
        </w:rPr>
        <w:t xml:space="preserve">long-term investment decisions </w:t>
      </w:r>
      <w:r w:rsidRPr="00D728AD">
        <w:rPr>
          <w:sz w:val="28"/>
        </w:rPr>
        <w:t>that involve significant financial outlays. It helps organizations decide whether to undertake projects such as purchasing new machinery, launching a new product line, or expanding into new markets.</w:t>
      </w:r>
    </w:p>
    <w:p w:rsidR="00D728AD" w:rsidRPr="00D728AD" w:rsidRDefault="00D728AD" w:rsidP="00D728AD">
      <w:pPr>
        <w:jc w:val="both"/>
        <w:rPr>
          <w:sz w:val="28"/>
        </w:rPr>
      </w:pPr>
      <w:r w:rsidRPr="00D728AD">
        <w:rPr>
          <w:sz w:val="28"/>
        </w:rPr>
        <w:t xml:space="preserve">The main goal of capital budgeting is to determine whether a project will generate returns greater than its cost and contribute to increasing the value of the firm. Techniques commonly used include </w:t>
      </w:r>
      <w:r w:rsidRPr="00D728AD">
        <w:rPr>
          <w:bCs/>
          <w:sz w:val="28"/>
        </w:rPr>
        <w:t>Net Present Value (NPV)</w:t>
      </w:r>
      <w:r w:rsidRPr="00D728AD">
        <w:rPr>
          <w:sz w:val="28"/>
        </w:rPr>
        <w:t xml:space="preserve">, </w:t>
      </w:r>
      <w:r w:rsidRPr="00D728AD">
        <w:rPr>
          <w:bCs/>
          <w:sz w:val="28"/>
        </w:rPr>
        <w:t>Internal Rate of Return (IRR)</w:t>
      </w:r>
      <w:r w:rsidRPr="00D728AD">
        <w:rPr>
          <w:sz w:val="28"/>
        </w:rPr>
        <w:t xml:space="preserve">, </w:t>
      </w:r>
      <w:r w:rsidRPr="00D728AD">
        <w:rPr>
          <w:bCs/>
          <w:sz w:val="28"/>
        </w:rPr>
        <w:t>Payback Period</w:t>
      </w:r>
      <w:r w:rsidRPr="00D728AD">
        <w:rPr>
          <w:sz w:val="28"/>
        </w:rPr>
        <w:t xml:space="preserve">, and </w:t>
      </w:r>
      <w:r w:rsidRPr="00D728AD">
        <w:rPr>
          <w:bCs/>
          <w:sz w:val="28"/>
        </w:rPr>
        <w:t>Profitability Index (PI)</w:t>
      </w:r>
      <w:r w:rsidRPr="00D728AD">
        <w:rPr>
          <w:sz w:val="28"/>
        </w:rPr>
        <w:t>.</w:t>
      </w:r>
    </w:p>
    <w:p w:rsidR="00D728AD" w:rsidRPr="00D728AD" w:rsidRDefault="00D728AD" w:rsidP="00D728AD">
      <w:pPr>
        <w:jc w:val="both"/>
        <w:rPr>
          <w:sz w:val="28"/>
        </w:rPr>
      </w:pPr>
      <w:r w:rsidRPr="00D728AD">
        <w:rPr>
          <w:sz w:val="28"/>
        </w:rPr>
        <w:t>Capital budgeting is essential because it:</w:t>
      </w:r>
    </w:p>
    <w:p w:rsidR="00D728AD" w:rsidRPr="00D728AD" w:rsidRDefault="00D728AD" w:rsidP="00D728AD">
      <w:pPr>
        <w:numPr>
          <w:ilvl w:val="0"/>
          <w:numId w:val="7"/>
        </w:numPr>
        <w:jc w:val="both"/>
        <w:rPr>
          <w:sz w:val="28"/>
        </w:rPr>
      </w:pPr>
      <w:r w:rsidRPr="00D728AD">
        <w:rPr>
          <w:sz w:val="28"/>
        </w:rPr>
        <w:t>Aligns investments with strategic goals,</w:t>
      </w:r>
    </w:p>
    <w:p w:rsidR="00D728AD" w:rsidRPr="00D728AD" w:rsidRDefault="00D728AD" w:rsidP="00D728AD">
      <w:pPr>
        <w:numPr>
          <w:ilvl w:val="0"/>
          <w:numId w:val="7"/>
        </w:numPr>
        <w:jc w:val="both"/>
        <w:rPr>
          <w:sz w:val="28"/>
        </w:rPr>
      </w:pPr>
      <w:r w:rsidRPr="00D728AD">
        <w:rPr>
          <w:sz w:val="28"/>
        </w:rPr>
        <w:t>Ensures efficient use of capital,</w:t>
      </w:r>
    </w:p>
    <w:p w:rsidR="00D728AD" w:rsidRPr="00D728AD" w:rsidRDefault="00D728AD" w:rsidP="00D728AD">
      <w:pPr>
        <w:numPr>
          <w:ilvl w:val="0"/>
          <w:numId w:val="7"/>
        </w:numPr>
        <w:jc w:val="both"/>
        <w:rPr>
          <w:sz w:val="28"/>
        </w:rPr>
      </w:pPr>
      <w:r w:rsidRPr="00D728AD">
        <w:rPr>
          <w:sz w:val="28"/>
        </w:rPr>
        <w:t>Assesses project risk and return,</w:t>
      </w:r>
    </w:p>
    <w:p w:rsidR="00D728AD" w:rsidRPr="00D728AD" w:rsidRDefault="00D728AD" w:rsidP="00D728AD">
      <w:pPr>
        <w:numPr>
          <w:ilvl w:val="0"/>
          <w:numId w:val="7"/>
        </w:numPr>
        <w:jc w:val="both"/>
        <w:rPr>
          <w:sz w:val="28"/>
        </w:rPr>
      </w:pPr>
      <w:r w:rsidRPr="00D728AD">
        <w:rPr>
          <w:sz w:val="28"/>
        </w:rPr>
        <w:t>Supports long-term financial planning.</w:t>
      </w:r>
    </w:p>
    <w:p w:rsidR="00D728AD" w:rsidRPr="00D728AD" w:rsidRDefault="00D728AD" w:rsidP="004F7EE0">
      <w:pPr>
        <w:jc w:val="both"/>
        <w:rPr>
          <w:sz w:val="28"/>
        </w:rPr>
      </w:pPr>
    </w:p>
    <w:p w:rsidR="004F7EE0" w:rsidRPr="004F7EE0" w:rsidRDefault="00D728AD" w:rsidP="004F7EE0">
      <w:pPr>
        <w:jc w:val="both"/>
        <w:rPr>
          <w:b/>
          <w:sz w:val="28"/>
        </w:rPr>
      </w:pPr>
      <w:r>
        <w:rPr>
          <w:b/>
          <w:sz w:val="28"/>
        </w:rPr>
        <w:t>2</w:t>
      </w:r>
      <w:r w:rsidR="004F7EE0" w:rsidRPr="004F7EE0">
        <w:rPr>
          <w:b/>
          <w:sz w:val="28"/>
        </w:rPr>
        <w:t>.Discuss the importance of capital budgeting in the financial management of an organization. explain elaborately</w:t>
      </w:r>
    </w:p>
    <w:p w:rsidR="004F7EE0" w:rsidRPr="004F7EE0" w:rsidRDefault="004F7EE0" w:rsidP="004F7EE0">
      <w:pPr>
        <w:jc w:val="both"/>
      </w:pPr>
      <w:r w:rsidRPr="004F7EE0">
        <w:rPr>
          <w:b/>
          <w:bCs/>
        </w:rPr>
        <w:t>Importance of Capital Budgeting in the Financial Management of an Organization – An Elaborate Explanation</w:t>
      </w:r>
    </w:p>
    <w:p w:rsidR="004F7EE0" w:rsidRPr="004F7EE0" w:rsidRDefault="004F7EE0" w:rsidP="004F7EE0">
      <w:pPr>
        <w:jc w:val="both"/>
      </w:pPr>
      <w:r w:rsidRPr="004F7EE0">
        <w:t>Capital budgeting is one of the most critical aspects of financial management in any organization. It refers to the process of planning, evaluating, and selecting long-term investment projects that involve significant capital expenditures. These projects may include purchasing new machinery, launching new products, expanding operations, or investing in new technologies. The decisions made through capital budgeting have long-term implications and directly influence the financial health, profitability, and strategic direction of an organization.</w:t>
      </w:r>
    </w:p>
    <w:p w:rsidR="004F7EE0" w:rsidRPr="004F7EE0" w:rsidRDefault="004F7EE0" w:rsidP="004F7EE0">
      <w:pPr>
        <w:jc w:val="both"/>
        <w:rPr>
          <w:b/>
          <w:bCs/>
        </w:rPr>
      </w:pPr>
      <w:r w:rsidRPr="004F7EE0">
        <w:rPr>
          <w:b/>
          <w:bCs/>
        </w:rPr>
        <w:t>1. Supports Strategic Planning and Long-Term Goals</w:t>
      </w:r>
    </w:p>
    <w:p w:rsidR="004F7EE0" w:rsidRPr="004F7EE0" w:rsidRDefault="004F7EE0" w:rsidP="004F7EE0">
      <w:pPr>
        <w:jc w:val="both"/>
      </w:pPr>
      <w:r w:rsidRPr="004F7EE0">
        <w:t>Capital budgeting aligns investment decisions with the organization’s strategic objectives. It ensures that resources are committed only to projects that are consistent with the company’s long-term vision. For example, a company focused on digital transformation will prioritize investments in technology and innovation. By carefully selecting projects that support future growth, capital budgeting helps the organization remain competitive and relevant in a dynamic business environment.</w:t>
      </w:r>
    </w:p>
    <w:p w:rsidR="004F7EE0" w:rsidRPr="004F7EE0" w:rsidRDefault="004F7EE0" w:rsidP="004F7EE0">
      <w:pPr>
        <w:jc w:val="both"/>
        <w:rPr>
          <w:b/>
          <w:bCs/>
        </w:rPr>
      </w:pPr>
      <w:r w:rsidRPr="004F7EE0">
        <w:rPr>
          <w:b/>
          <w:bCs/>
        </w:rPr>
        <w:t>2. Maximizes Shareholder Wealth</w:t>
      </w:r>
    </w:p>
    <w:p w:rsidR="004F7EE0" w:rsidRPr="004F7EE0" w:rsidRDefault="004F7EE0" w:rsidP="004F7EE0">
      <w:pPr>
        <w:jc w:val="both"/>
      </w:pPr>
      <w:r w:rsidRPr="004F7EE0">
        <w:t>The primary goal of financial management is to maximize shareholder wealth. Capital budgeting contributes to this by ensuring that funds are invested in projects that offer returns greater than the cost of capital. Techniques such as Net Present Value (NPV), Internal Rate of Return (IRR), and Profitability Index (PI) help identify projects that will generate positive value for the firm. Effective capital budgeting decisions thus enhance the company’s market value and contribute to higher shareholder returns.</w:t>
      </w:r>
    </w:p>
    <w:p w:rsidR="004F7EE0" w:rsidRPr="004F7EE0" w:rsidRDefault="004F7EE0" w:rsidP="004F7EE0">
      <w:pPr>
        <w:jc w:val="both"/>
        <w:rPr>
          <w:b/>
          <w:bCs/>
        </w:rPr>
      </w:pPr>
      <w:r w:rsidRPr="004F7EE0">
        <w:rPr>
          <w:b/>
          <w:bCs/>
        </w:rPr>
        <w:t>3. Efficient Allocation of Resources</w:t>
      </w:r>
    </w:p>
    <w:p w:rsidR="004F7EE0" w:rsidRPr="004F7EE0" w:rsidRDefault="004F7EE0" w:rsidP="004F7EE0">
      <w:pPr>
        <w:jc w:val="both"/>
      </w:pPr>
      <w:r w:rsidRPr="004F7EE0">
        <w:t>Organizations often operate with limited financial resources. Capital budgeting facilitates the optimal allocation of these scarce resources to the most profitable projects. It enables management to compare different investment alternatives based on their expected returns and risks. This ensures that the organization does not commit capital to unproductive or low-return projects, thereby improving capital efficiency.</w:t>
      </w:r>
    </w:p>
    <w:p w:rsidR="004F7EE0" w:rsidRPr="004F7EE0" w:rsidRDefault="004F7EE0" w:rsidP="004F7EE0">
      <w:pPr>
        <w:jc w:val="both"/>
        <w:rPr>
          <w:b/>
          <w:bCs/>
        </w:rPr>
      </w:pPr>
      <w:r w:rsidRPr="004F7EE0">
        <w:rPr>
          <w:b/>
          <w:bCs/>
        </w:rPr>
        <w:t>4. Risk Assessment and Management</w:t>
      </w:r>
    </w:p>
    <w:p w:rsidR="004F7EE0" w:rsidRPr="004F7EE0" w:rsidRDefault="004F7EE0" w:rsidP="004F7EE0">
      <w:pPr>
        <w:jc w:val="both"/>
      </w:pPr>
      <w:r w:rsidRPr="004F7EE0">
        <w:t>Investment decisions are inherently risky due to uncertainty in future cash flows, changing market conditions, inflation, and other external factors. Capital budgeting incorporates risk analysis through methods such as sensitivity analysis, scenario analysis, and the use of risk-adjusted discount rates. By identifying and quantifying potential risks, the process helps management make more informed decisions and implement strategies to mitigate those risks.</w:t>
      </w:r>
    </w:p>
    <w:p w:rsidR="004F7EE0" w:rsidRPr="004F7EE0" w:rsidRDefault="004F7EE0" w:rsidP="004F7EE0">
      <w:pPr>
        <w:jc w:val="both"/>
        <w:rPr>
          <w:b/>
          <w:bCs/>
        </w:rPr>
      </w:pPr>
      <w:r w:rsidRPr="004F7EE0">
        <w:rPr>
          <w:b/>
          <w:bCs/>
        </w:rPr>
        <w:t>5. Facilitates Performance Measurement</w:t>
      </w:r>
    </w:p>
    <w:p w:rsidR="004F7EE0" w:rsidRPr="004F7EE0" w:rsidRDefault="004F7EE0" w:rsidP="004F7EE0">
      <w:pPr>
        <w:jc w:val="both"/>
      </w:pPr>
      <w:r w:rsidRPr="004F7EE0">
        <w:t xml:space="preserve">Once a project is implemented, capital budgeting provides a framework for evaluating its performance over time. Managers can compare actual cash flows against projected figures to assess the project’s </w:t>
      </w:r>
      <w:r w:rsidRPr="004F7EE0">
        <w:lastRenderedPageBreak/>
        <w:t>success and identify areas for improvement. This feedback loop enhances accountability and promotes continuous improvement in investment decision-making.</w:t>
      </w:r>
    </w:p>
    <w:p w:rsidR="004F7EE0" w:rsidRPr="004F7EE0" w:rsidRDefault="004F7EE0" w:rsidP="004F7EE0">
      <w:pPr>
        <w:jc w:val="both"/>
        <w:rPr>
          <w:b/>
          <w:bCs/>
        </w:rPr>
      </w:pPr>
      <w:r w:rsidRPr="004F7EE0">
        <w:rPr>
          <w:b/>
          <w:bCs/>
        </w:rPr>
        <w:t>6. Influences Other Financial Decisions</w:t>
      </w:r>
    </w:p>
    <w:p w:rsidR="004F7EE0" w:rsidRPr="004F7EE0" w:rsidRDefault="004F7EE0" w:rsidP="004F7EE0">
      <w:pPr>
        <w:jc w:val="both"/>
      </w:pPr>
      <w:r w:rsidRPr="004F7EE0">
        <w:t>Capital budgeting decisions have a cascading effect on other areas of financial management, such as financing decisions, working capital management, and dividend policy. For instance, the choice of funding a capital project through debt or equity affects the firm’s capital structure. Hence, capital budgeting is interconnected with the broader financial planning process.</w:t>
      </w:r>
    </w:p>
    <w:p w:rsidR="004F7EE0" w:rsidRPr="004F7EE0" w:rsidRDefault="004F7EE0" w:rsidP="004F7EE0">
      <w:pPr>
        <w:jc w:val="both"/>
      </w:pPr>
      <w:r w:rsidRPr="004F7EE0">
        <w:pict>
          <v:rect id="_x0000_i1025" style="width:0;height:1.5pt" o:hralign="center" o:hrstd="t" o:hr="t" fillcolor="#a0a0a0" stroked="f"/>
        </w:pict>
      </w:r>
    </w:p>
    <w:p w:rsidR="004F7EE0" w:rsidRPr="004F7EE0" w:rsidRDefault="004F7EE0" w:rsidP="004F7EE0">
      <w:pPr>
        <w:jc w:val="both"/>
        <w:rPr>
          <w:b/>
          <w:bCs/>
        </w:rPr>
      </w:pPr>
      <w:r w:rsidRPr="004F7EE0">
        <w:rPr>
          <w:b/>
          <w:bCs/>
        </w:rPr>
        <w:t>Conclusion</w:t>
      </w:r>
    </w:p>
    <w:p w:rsidR="004F7EE0" w:rsidRPr="004F7EE0" w:rsidRDefault="004F7EE0" w:rsidP="004F7EE0">
      <w:pPr>
        <w:jc w:val="both"/>
      </w:pPr>
      <w:r w:rsidRPr="004F7EE0">
        <w:t>In conclusion, capital budgeting is a fundamental tool in financial management that drives long-term success and sustainability. It enables organizations to make sound investment decisions, manage financial risks, allocate resources efficiently, and create value for shareholders. Without a robust capital budgeting process, companies risk making poor investment choices that can lead to financial instability and missed growth opportunities. Therefore, it is essential for organizations to treat capital budgeting as a strategic priority.</w:t>
      </w:r>
    </w:p>
    <w:p w:rsidR="004F7EE0" w:rsidRPr="004F7EE0" w:rsidRDefault="00D728AD" w:rsidP="004F7EE0">
      <w:pPr>
        <w:jc w:val="both"/>
        <w:rPr>
          <w:b/>
          <w:sz w:val="28"/>
        </w:rPr>
      </w:pPr>
      <w:r>
        <w:rPr>
          <w:b/>
          <w:sz w:val="28"/>
        </w:rPr>
        <w:t>3</w:t>
      </w:r>
      <w:bookmarkStart w:id="0" w:name="_GoBack"/>
      <w:bookmarkEnd w:id="0"/>
      <w:r w:rsidR="004F7EE0" w:rsidRPr="004F7EE0">
        <w:rPr>
          <w:b/>
          <w:sz w:val="28"/>
        </w:rPr>
        <w:t>.Which technique, NPV or IRR, provides a more reliable basis for investment decisions? Discuss the advantages, limitations, and appropriate contexts for using each method.</w:t>
      </w:r>
    </w:p>
    <w:p w:rsidR="004F7EE0" w:rsidRPr="004F7EE0" w:rsidRDefault="004F7EE0" w:rsidP="004F7EE0">
      <w:pPr>
        <w:jc w:val="both"/>
      </w:pPr>
      <w:r w:rsidRPr="004F7EE0">
        <w:rPr>
          <w:b/>
          <w:bCs/>
        </w:rPr>
        <w:t>Which Technique, NPV or IRR, Provides a More Reliable Basis for Investment Decisions?</w:t>
      </w:r>
    </w:p>
    <w:p w:rsidR="004F7EE0" w:rsidRPr="004F7EE0" w:rsidRDefault="004F7EE0" w:rsidP="004F7EE0">
      <w:pPr>
        <w:jc w:val="both"/>
      </w:pPr>
      <w:r w:rsidRPr="004F7EE0">
        <w:t xml:space="preserve">When evaluating investment projects, both </w:t>
      </w:r>
      <w:r w:rsidRPr="004F7EE0">
        <w:rPr>
          <w:b/>
          <w:bCs/>
        </w:rPr>
        <w:t>Net Present Value (NPV)</w:t>
      </w:r>
      <w:r w:rsidRPr="004F7EE0">
        <w:t xml:space="preserve"> and </w:t>
      </w:r>
      <w:r w:rsidRPr="004F7EE0">
        <w:rPr>
          <w:b/>
          <w:bCs/>
        </w:rPr>
        <w:t>Internal Rate of Return (IRR)</w:t>
      </w:r>
      <w:r w:rsidRPr="004F7EE0">
        <w:t xml:space="preserve"> are widely used techniques in capital budgeting. Each has its own strengths and weaknesses, but financial experts generally consider </w:t>
      </w:r>
      <w:r w:rsidRPr="004F7EE0">
        <w:rPr>
          <w:b/>
          <w:bCs/>
        </w:rPr>
        <w:t>NPV to be the more reliable</w:t>
      </w:r>
      <w:r w:rsidRPr="004F7EE0">
        <w:t xml:space="preserve"> and theoretically sound method. This is because NPV directly measures the increase in shareholder wealth from a project, while IRR can sometimes give misleading results.</w:t>
      </w:r>
    </w:p>
    <w:p w:rsidR="004F7EE0" w:rsidRPr="004F7EE0" w:rsidRDefault="004F7EE0" w:rsidP="004F7EE0">
      <w:pPr>
        <w:jc w:val="both"/>
      </w:pPr>
      <w:r w:rsidRPr="004F7EE0">
        <w:pict>
          <v:rect id="_x0000_i1036" style="width:0;height:1.5pt" o:hralign="center" o:hrstd="t" o:hr="t" fillcolor="#a0a0a0" stroked="f"/>
        </w:pict>
      </w:r>
    </w:p>
    <w:p w:rsidR="004F7EE0" w:rsidRPr="004F7EE0" w:rsidRDefault="004F7EE0" w:rsidP="004F7EE0">
      <w:pPr>
        <w:jc w:val="both"/>
        <w:rPr>
          <w:b/>
          <w:bCs/>
        </w:rPr>
      </w:pPr>
      <w:r w:rsidRPr="004F7EE0">
        <w:rPr>
          <w:b/>
          <w:bCs/>
        </w:rPr>
        <w:t>Net Present Value (NPV)</w:t>
      </w:r>
    </w:p>
    <w:p w:rsidR="004F7EE0" w:rsidRPr="004F7EE0" w:rsidRDefault="004F7EE0" w:rsidP="004F7EE0">
      <w:pPr>
        <w:jc w:val="both"/>
      </w:pPr>
      <w:r w:rsidRPr="004F7EE0">
        <w:rPr>
          <w:b/>
          <w:bCs/>
        </w:rPr>
        <w:t>Definition:</w:t>
      </w:r>
      <w:r w:rsidRPr="004F7EE0">
        <w:br/>
        <w:t>NPV is the difference between the present value of cash inflows and the present value of cash outflows, discounted at the firm’s cost of capital.</w:t>
      </w:r>
    </w:p>
    <w:p w:rsidR="004F7EE0" w:rsidRPr="004F7EE0" w:rsidRDefault="004F7EE0" w:rsidP="004F7EE0">
      <w:pPr>
        <w:jc w:val="both"/>
        <w:rPr>
          <w:b/>
          <w:bCs/>
        </w:rPr>
      </w:pPr>
      <w:r w:rsidRPr="004F7EE0">
        <w:rPr>
          <w:b/>
          <w:bCs/>
        </w:rPr>
        <w:t>Advantages of NPV:</w:t>
      </w:r>
    </w:p>
    <w:p w:rsidR="004F7EE0" w:rsidRPr="004F7EE0" w:rsidRDefault="004F7EE0" w:rsidP="004F7EE0">
      <w:pPr>
        <w:numPr>
          <w:ilvl w:val="0"/>
          <w:numId w:val="1"/>
        </w:numPr>
        <w:jc w:val="both"/>
      </w:pPr>
      <w:r w:rsidRPr="004F7EE0">
        <w:rPr>
          <w:b/>
          <w:bCs/>
        </w:rPr>
        <w:t>Direct measure of value addition</w:t>
      </w:r>
      <w:r w:rsidRPr="004F7EE0">
        <w:t>: NPV shows the actual dollar value a project adds to the firm.</w:t>
      </w:r>
    </w:p>
    <w:p w:rsidR="004F7EE0" w:rsidRPr="004F7EE0" w:rsidRDefault="004F7EE0" w:rsidP="004F7EE0">
      <w:pPr>
        <w:numPr>
          <w:ilvl w:val="0"/>
          <w:numId w:val="1"/>
        </w:numPr>
        <w:jc w:val="both"/>
      </w:pPr>
      <w:r w:rsidRPr="004F7EE0">
        <w:rPr>
          <w:b/>
          <w:bCs/>
        </w:rPr>
        <w:t>Considers time value of money</w:t>
      </w:r>
      <w:r w:rsidRPr="004F7EE0">
        <w:t>: All future cash flows are discounted appropriately.</w:t>
      </w:r>
    </w:p>
    <w:p w:rsidR="004F7EE0" w:rsidRPr="004F7EE0" w:rsidRDefault="004F7EE0" w:rsidP="004F7EE0">
      <w:pPr>
        <w:numPr>
          <w:ilvl w:val="0"/>
          <w:numId w:val="1"/>
        </w:numPr>
        <w:jc w:val="both"/>
      </w:pPr>
      <w:r w:rsidRPr="004F7EE0">
        <w:rPr>
          <w:b/>
          <w:bCs/>
        </w:rPr>
        <w:t>Uses cost of capital as discount rate</w:t>
      </w:r>
      <w:r w:rsidRPr="004F7EE0">
        <w:t>: Aligns with the firm's required rate of return.</w:t>
      </w:r>
    </w:p>
    <w:p w:rsidR="004F7EE0" w:rsidRPr="004F7EE0" w:rsidRDefault="004F7EE0" w:rsidP="004F7EE0">
      <w:pPr>
        <w:numPr>
          <w:ilvl w:val="0"/>
          <w:numId w:val="1"/>
        </w:numPr>
        <w:jc w:val="both"/>
      </w:pPr>
      <w:r w:rsidRPr="004F7EE0">
        <w:rPr>
          <w:b/>
          <w:bCs/>
        </w:rPr>
        <w:t>Works for independent and mutually exclusive projects</w:t>
      </w:r>
      <w:r w:rsidRPr="004F7EE0">
        <w:t>: Always leads to correct decision.</w:t>
      </w:r>
    </w:p>
    <w:p w:rsidR="004F7EE0" w:rsidRPr="004F7EE0" w:rsidRDefault="004F7EE0" w:rsidP="004F7EE0">
      <w:pPr>
        <w:jc w:val="both"/>
        <w:rPr>
          <w:b/>
          <w:bCs/>
        </w:rPr>
      </w:pPr>
      <w:r w:rsidRPr="004F7EE0">
        <w:rPr>
          <w:b/>
          <w:bCs/>
        </w:rPr>
        <w:t>Limitations of NPV:</w:t>
      </w:r>
    </w:p>
    <w:p w:rsidR="004F7EE0" w:rsidRPr="004F7EE0" w:rsidRDefault="004F7EE0" w:rsidP="004F7EE0">
      <w:pPr>
        <w:numPr>
          <w:ilvl w:val="0"/>
          <w:numId w:val="2"/>
        </w:numPr>
        <w:jc w:val="both"/>
      </w:pPr>
      <w:r w:rsidRPr="004F7EE0">
        <w:rPr>
          <w:b/>
          <w:bCs/>
        </w:rPr>
        <w:t>Difficult to estimate accurate discount rate</w:t>
      </w:r>
      <w:r w:rsidRPr="004F7EE0">
        <w:t>: The results are highly sensitive to the discount rate used.</w:t>
      </w:r>
    </w:p>
    <w:p w:rsidR="004F7EE0" w:rsidRPr="004F7EE0" w:rsidRDefault="004F7EE0" w:rsidP="004F7EE0">
      <w:pPr>
        <w:numPr>
          <w:ilvl w:val="0"/>
          <w:numId w:val="2"/>
        </w:numPr>
        <w:jc w:val="both"/>
      </w:pPr>
      <w:r w:rsidRPr="004F7EE0">
        <w:rPr>
          <w:b/>
          <w:bCs/>
        </w:rPr>
        <w:t>Less intuitive</w:t>
      </w:r>
      <w:r w:rsidRPr="004F7EE0">
        <w:t xml:space="preserve"> for non-finance stakeholders compared to percentage returns like IRR.</w:t>
      </w:r>
    </w:p>
    <w:p w:rsidR="004F7EE0" w:rsidRPr="004F7EE0" w:rsidRDefault="004F7EE0" w:rsidP="004F7EE0">
      <w:pPr>
        <w:jc w:val="both"/>
      </w:pPr>
      <w:r w:rsidRPr="004F7EE0">
        <w:pict>
          <v:rect id="_x0000_i1037" style="width:0;height:1.5pt" o:hralign="center" o:hrstd="t" o:hr="t" fillcolor="#a0a0a0" stroked="f"/>
        </w:pict>
      </w:r>
    </w:p>
    <w:p w:rsidR="004F7EE0" w:rsidRPr="004F7EE0" w:rsidRDefault="004F7EE0" w:rsidP="004F7EE0">
      <w:pPr>
        <w:jc w:val="both"/>
        <w:rPr>
          <w:b/>
          <w:bCs/>
        </w:rPr>
      </w:pPr>
      <w:r w:rsidRPr="004F7EE0">
        <w:rPr>
          <w:b/>
          <w:bCs/>
        </w:rPr>
        <w:t>Internal Rate of Return (IRR)</w:t>
      </w:r>
    </w:p>
    <w:p w:rsidR="004F7EE0" w:rsidRPr="004F7EE0" w:rsidRDefault="004F7EE0" w:rsidP="004F7EE0">
      <w:pPr>
        <w:jc w:val="both"/>
      </w:pPr>
      <w:r w:rsidRPr="004F7EE0">
        <w:rPr>
          <w:b/>
          <w:bCs/>
        </w:rPr>
        <w:t>Definition:</w:t>
      </w:r>
      <w:r w:rsidRPr="004F7EE0">
        <w:br/>
        <w:t>IRR is the discount rate at which the NPV of an investment becomes zero. In other words, it's the rate of return at which the project breaks even.</w:t>
      </w:r>
    </w:p>
    <w:p w:rsidR="004F7EE0" w:rsidRPr="004F7EE0" w:rsidRDefault="004F7EE0" w:rsidP="004F7EE0">
      <w:pPr>
        <w:jc w:val="both"/>
        <w:rPr>
          <w:b/>
          <w:bCs/>
        </w:rPr>
      </w:pPr>
      <w:r w:rsidRPr="004F7EE0">
        <w:rPr>
          <w:b/>
          <w:bCs/>
        </w:rPr>
        <w:t>Advantages of IRR:</w:t>
      </w:r>
    </w:p>
    <w:p w:rsidR="004F7EE0" w:rsidRPr="004F7EE0" w:rsidRDefault="004F7EE0" w:rsidP="004F7EE0">
      <w:pPr>
        <w:numPr>
          <w:ilvl w:val="0"/>
          <w:numId w:val="3"/>
        </w:numPr>
        <w:jc w:val="both"/>
      </w:pPr>
      <w:r w:rsidRPr="004F7EE0">
        <w:rPr>
          <w:b/>
          <w:bCs/>
        </w:rPr>
        <w:t>Easy to understand and communicate</w:t>
      </w:r>
      <w:r w:rsidRPr="004F7EE0">
        <w:t>: Expressed as a percentage, making it more intuitive.</w:t>
      </w:r>
    </w:p>
    <w:p w:rsidR="004F7EE0" w:rsidRPr="004F7EE0" w:rsidRDefault="004F7EE0" w:rsidP="004F7EE0">
      <w:pPr>
        <w:numPr>
          <w:ilvl w:val="0"/>
          <w:numId w:val="3"/>
        </w:numPr>
        <w:jc w:val="both"/>
      </w:pPr>
      <w:r w:rsidRPr="004F7EE0">
        <w:rPr>
          <w:b/>
          <w:bCs/>
        </w:rPr>
        <w:t>Considers time value of money</w:t>
      </w:r>
      <w:r w:rsidRPr="004F7EE0">
        <w:t>: Like NPV, IRR takes the timing of cash flows into account.</w:t>
      </w:r>
    </w:p>
    <w:p w:rsidR="004F7EE0" w:rsidRPr="004F7EE0" w:rsidRDefault="004F7EE0" w:rsidP="004F7EE0">
      <w:pPr>
        <w:jc w:val="both"/>
        <w:rPr>
          <w:b/>
          <w:bCs/>
        </w:rPr>
      </w:pPr>
      <w:r w:rsidRPr="004F7EE0">
        <w:rPr>
          <w:b/>
          <w:bCs/>
        </w:rPr>
        <w:t>Limitations of IRR:</w:t>
      </w:r>
    </w:p>
    <w:p w:rsidR="004F7EE0" w:rsidRPr="004F7EE0" w:rsidRDefault="004F7EE0" w:rsidP="004F7EE0">
      <w:pPr>
        <w:numPr>
          <w:ilvl w:val="0"/>
          <w:numId w:val="4"/>
        </w:numPr>
        <w:jc w:val="both"/>
      </w:pPr>
      <w:r w:rsidRPr="004F7EE0">
        <w:rPr>
          <w:b/>
          <w:bCs/>
        </w:rPr>
        <w:t>Multiple IRRs</w:t>
      </w:r>
      <w:r w:rsidRPr="004F7EE0">
        <w:t>: Projects with unconventional cash flows (e.g., alternating signs) may produce multiple IRRs, causing confusion.</w:t>
      </w:r>
    </w:p>
    <w:p w:rsidR="004F7EE0" w:rsidRPr="004F7EE0" w:rsidRDefault="004F7EE0" w:rsidP="004F7EE0">
      <w:pPr>
        <w:numPr>
          <w:ilvl w:val="0"/>
          <w:numId w:val="4"/>
        </w:numPr>
        <w:jc w:val="both"/>
      </w:pPr>
      <w:r w:rsidRPr="004F7EE0">
        <w:rPr>
          <w:b/>
          <w:bCs/>
        </w:rPr>
        <w:t>Assumes reinvestment at IRR</w:t>
      </w:r>
      <w:r w:rsidRPr="004F7EE0">
        <w:t>: This is unrealistic, especially if IRR is very high.</w:t>
      </w:r>
    </w:p>
    <w:p w:rsidR="004F7EE0" w:rsidRPr="004F7EE0" w:rsidRDefault="004F7EE0" w:rsidP="004F7EE0">
      <w:pPr>
        <w:numPr>
          <w:ilvl w:val="0"/>
          <w:numId w:val="4"/>
        </w:numPr>
        <w:jc w:val="both"/>
      </w:pPr>
      <w:r w:rsidRPr="004F7EE0">
        <w:rPr>
          <w:b/>
          <w:bCs/>
        </w:rPr>
        <w:t>Not suitable for mutually exclusive projects</w:t>
      </w:r>
      <w:r w:rsidRPr="004F7EE0">
        <w:t>: May give conflicting results with NPV.</w:t>
      </w:r>
    </w:p>
    <w:p w:rsidR="004F7EE0" w:rsidRPr="004F7EE0" w:rsidRDefault="004F7EE0" w:rsidP="004F7EE0">
      <w:pPr>
        <w:jc w:val="both"/>
      </w:pPr>
      <w:r w:rsidRPr="004F7EE0">
        <w:pict>
          <v:rect id="_x0000_i1038" style="width:0;height:1.5pt" o:hralign="center" o:hrstd="t" o:hr="t" fillcolor="#a0a0a0" stroked="f"/>
        </w:pict>
      </w:r>
    </w:p>
    <w:p w:rsidR="004F7EE0" w:rsidRPr="004F7EE0" w:rsidRDefault="004F7EE0" w:rsidP="004F7EE0">
      <w:pPr>
        <w:jc w:val="both"/>
        <w:rPr>
          <w:b/>
          <w:bCs/>
        </w:rPr>
      </w:pPr>
      <w:r w:rsidRPr="004F7EE0">
        <w:rPr>
          <w:b/>
          <w:bCs/>
        </w:rPr>
        <w:t>Which Is More Reliable?</w:t>
      </w:r>
    </w:p>
    <w:p w:rsidR="004F7EE0" w:rsidRPr="004F7EE0" w:rsidRDefault="004F7EE0" w:rsidP="004F7EE0">
      <w:pPr>
        <w:jc w:val="both"/>
      </w:pPr>
      <w:r w:rsidRPr="004F7EE0">
        <w:rPr>
          <w:b/>
          <w:bCs/>
        </w:rPr>
        <w:t>NPV is generally more reliable</w:t>
      </w:r>
      <w:r w:rsidRPr="004F7EE0">
        <w:t>, especially for:</w:t>
      </w:r>
    </w:p>
    <w:p w:rsidR="004F7EE0" w:rsidRPr="004F7EE0" w:rsidRDefault="004F7EE0" w:rsidP="004F7EE0">
      <w:pPr>
        <w:numPr>
          <w:ilvl w:val="0"/>
          <w:numId w:val="5"/>
        </w:numPr>
        <w:jc w:val="both"/>
      </w:pPr>
      <w:r w:rsidRPr="004F7EE0">
        <w:t>Projects with non-standard cash flows.</w:t>
      </w:r>
    </w:p>
    <w:p w:rsidR="004F7EE0" w:rsidRPr="004F7EE0" w:rsidRDefault="004F7EE0" w:rsidP="004F7EE0">
      <w:pPr>
        <w:numPr>
          <w:ilvl w:val="0"/>
          <w:numId w:val="5"/>
        </w:numPr>
        <w:jc w:val="both"/>
      </w:pPr>
      <w:r w:rsidRPr="004F7EE0">
        <w:t>Mutually exclusive investments.</w:t>
      </w:r>
    </w:p>
    <w:p w:rsidR="004F7EE0" w:rsidRPr="004F7EE0" w:rsidRDefault="004F7EE0" w:rsidP="004F7EE0">
      <w:pPr>
        <w:numPr>
          <w:ilvl w:val="0"/>
          <w:numId w:val="5"/>
        </w:numPr>
        <w:jc w:val="both"/>
      </w:pPr>
      <w:r w:rsidRPr="004F7EE0">
        <w:t>Situations where a precise measure of value addition is needed.</w:t>
      </w:r>
    </w:p>
    <w:p w:rsidR="004F7EE0" w:rsidRPr="004F7EE0" w:rsidRDefault="004F7EE0" w:rsidP="004F7EE0">
      <w:pPr>
        <w:jc w:val="both"/>
      </w:pPr>
      <w:r w:rsidRPr="004F7EE0">
        <w:rPr>
          <w:b/>
          <w:bCs/>
        </w:rPr>
        <w:t>IRR is useful</w:t>
      </w:r>
      <w:r w:rsidRPr="004F7EE0">
        <w:t xml:space="preserve"> for:</w:t>
      </w:r>
    </w:p>
    <w:p w:rsidR="004F7EE0" w:rsidRPr="004F7EE0" w:rsidRDefault="004F7EE0" w:rsidP="004F7EE0">
      <w:pPr>
        <w:numPr>
          <w:ilvl w:val="0"/>
          <w:numId w:val="6"/>
        </w:numPr>
        <w:jc w:val="both"/>
      </w:pPr>
      <w:r w:rsidRPr="004F7EE0">
        <w:t>Simpler projects with conventional cash flows.</w:t>
      </w:r>
    </w:p>
    <w:p w:rsidR="004F7EE0" w:rsidRPr="004F7EE0" w:rsidRDefault="004F7EE0" w:rsidP="004F7EE0">
      <w:pPr>
        <w:numPr>
          <w:ilvl w:val="0"/>
          <w:numId w:val="6"/>
        </w:numPr>
        <w:jc w:val="both"/>
      </w:pPr>
      <w:r w:rsidRPr="004F7EE0">
        <w:t>When communicating with non-financial managers who prefer percentage-based metrics.</w:t>
      </w:r>
    </w:p>
    <w:p w:rsidR="004F7EE0" w:rsidRPr="004F7EE0" w:rsidRDefault="004F7EE0" w:rsidP="004F7EE0">
      <w:pPr>
        <w:jc w:val="both"/>
      </w:pPr>
      <w:r w:rsidRPr="004F7EE0">
        <w:pict>
          <v:rect id="_x0000_i1039" style="width:0;height:1.5pt" o:hralign="center" o:hrstd="t" o:hr="t" fillcolor="#a0a0a0" stroked="f"/>
        </w:pict>
      </w:r>
    </w:p>
    <w:p w:rsidR="004F7EE0" w:rsidRPr="004F7EE0" w:rsidRDefault="004F7EE0" w:rsidP="004F7EE0">
      <w:pPr>
        <w:jc w:val="both"/>
        <w:rPr>
          <w:b/>
          <w:bCs/>
        </w:rPr>
      </w:pPr>
      <w:r w:rsidRPr="004F7EE0">
        <w:rPr>
          <w:b/>
          <w:bCs/>
        </w:rPr>
        <w:t>Conclusion</w:t>
      </w:r>
    </w:p>
    <w:p w:rsidR="004F7EE0" w:rsidRPr="004F7EE0" w:rsidRDefault="004F7EE0" w:rsidP="004F7EE0">
      <w:pPr>
        <w:jc w:val="both"/>
      </w:pPr>
      <w:r w:rsidRPr="004F7EE0">
        <w:t xml:space="preserve">While both NPV and IRR are important tools in investment appraisal, </w:t>
      </w:r>
      <w:r w:rsidRPr="004F7EE0">
        <w:rPr>
          <w:b/>
          <w:bCs/>
        </w:rPr>
        <w:t>NPV is preferred</w:t>
      </w:r>
      <w:r w:rsidRPr="004F7EE0">
        <w:t xml:space="preserve"> for making sound financial decisions as it provides a clearer picture of the actual value a project brings to the firm. However, IRR can still be useful in conjunction with NPV, particularly for assessing investment attractiveness in percentage terms. A combined use of both methods often leads to better-informed decisions.</w:t>
      </w:r>
    </w:p>
    <w:p w:rsidR="004F7EE0" w:rsidRPr="004F7EE0" w:rsidRDefault="004F7EE0" w:rsidP="004F7EE0">
      <w:pPr>
        <w:jc w:val="both"/>
        <w:rPr>
          <w:vanish/>
        </w:rPr>
      </w:pPr>
      <w:r>
        <w:rPr>
          <w:vanish/>
        </w:rPr>
        <w:t>2</w:t>
      </w:r>
      <w:r w:rsidRPr="004F7EE0">
        <w:rPr>
          <w:vanish/>
        </w:rPr>
        <w:t>Top of Form</w:t>
      </w:r>
    </w:p>
    <w:p w:rsidR="004F7EE0" w:rsidRPr="004F7EE0" w:rsidRDefault="004F7EE0" w:rsidP="004F7EE0">
      <w:pPr>
        <w:jc w:val="both"/>
      </w:pPr>
    </w:p>
    <w:p w:rsidR="004F7EE0" w:rsidRPr="004F7EE0" w:rsidRDefault="004F7EE0" w:rsidP="004F7EE0">
      <w:pPr>
        <w:jc w:val="both"/>
      </w:pPr>
    </w:p>
    <w:p w:rsidR="004F7EE0" w:rsidRPr="004F7EE0" w:rsidRDefault="004F7EE0" w:rsidP="004F7EE0">
      <w:pPr>
        <w:jc w:val="both"/>
        <w:rPr>
          <w:vanish/>
        </w:rPr>
      </w:pPr>
      <w:r w:rsidRPr="004F7EE0">
        <w:rPr>
          <w:vanish/>
        </w:rPr>
        <w:t>Bottom of Form</w:t>
      </w:r>
    </w:p>
    <w:p w:rsidR="00102E8D" w:rsidRDefault="00102E8D" w:rsidP="004F7EE0">
      <w:pPr>
        <w:jc w:val="both"/>
      </w:pPr>
    </w:p>
    <w:sectPr w:rsidR="00102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5507E"/>
    <w:multiLevelType w:val="multilevel"/>
    <w:tmpl w:val="8E6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A0208"/>
    <w:multiLevelType w:val="multilevel"/>
    <w:tmpl w:val="45C4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55EB5"/>
    <w:multiLevelType w:val="multilevel"/>
    <w:tmpl w:val="0874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8636A"/>
    <w:multiLevelType w:val="multilevel"/>
    <w:tmpl w:val="489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406C8"/>
    <w:multiLevelType w:val="multilevel"/>
    <w:tmpl w:val="A44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86DAC"/>
    <w:multiLevelType w:val="multilevel"/>
    <w:tmpl w:val="5B9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A3307"/>
    <w:multiLevelType w:val="multilevel"/>
    <w:tmpl w:val="8C9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389"/>
    <w:rsid w:val="00102E8D"/>
    <w:rsid w:val="004F7EE0"/>
    <w:rsid w:val="00510389"/>
    <w:rsid w:val="00D7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A179"/>
  <w15:chartTrackingRefBased/>
  <w15:docId w15:val="{620D07C4-C1A9-43D3-B81D-1A1AE5790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793304">
      <w:bodyDiv w:val="1"/>
      <w:marLeft w:val="0"/>
      <w:marRight w:val="0"/>
      <w:marTop w:val="0"/>
      <w:marBottom w:val="0"/>
      <w:divBdr>
        <w:top w:val="none" w:sz="0" w:space="0" w:color="auto"/>
        <w:left w:val="none" w:sz="0" w:space="0" w:color="auto"/>
        <w:bottom w:val="none" w:sz="0" w:space="0" w:color="auto"/>
        <w:right w:val="none" w:sz="0" w:space="0" w:color="auto"/>
      </w:divBdr>
      <w:divsChild>
        <w:div w:id="1103914948">
          <w:marLeft w:val="0"/>
          <w:marRight w:val="0"/>
          <w:marTop w:val="0"/>
          <w:marBottom w:val="0"/>
          <w:divBdr>
            <w:top w:val="none" w:sz="0" w:space="0" w:color="auto"/>
            <w:left w:val="none" w:sz="0" w:space="0" w:color="auto"/>
            <w:bottom w:val="none" w:sz="0" w:space="0" w:color="auto"/>
            <w:right w:val="none" w:sz="0" w:space="0" w:color="auto"/>
          </w:divBdr>
          <w:divsChild>
            <w:div w:id="1816873857">
              <w:marLeft w:val="0"/>
              <w:marRight w:val="0"/>
              <w:marTop w:val="0"/>
              <w:marBottom w:val="0"/>
              <w:divBdr>
                <w:top w:val="none" w:sz="0" w:space="0" w:color="auto"/>
                <w:left w:val="none" w:sz="0" w:space="0" w:color="auto"/>
                <w:bottom w:val="none" w:sz="0" w:space="0" w:color="auto"/>
                <w:right w:val="none" w:sz="0" w:space="0" w:color="auto"/>
              </w:divBdr>
              <w:divsChild>
                <w:div w:id="1182665361">
                  <w:marLeft w:val="0"/>
                  <w:marRight w:val="0"/>
                  <w:marTop w:val="0"/>
                  <w:marBottom w:val="0"/>
                  <w:divBdr>
                    <w:top w:val="none" w:sz="0" w:space="0" w:color="auto"/>
                    <w:left w:val="none" w:sz="0" w:space="0" w:color="auto"/>
                    <w:bottom w:val="none" w:sz="0" w:space="0" w:color="auto"/>
                    <w:right w:val="none" w:sz="0" w:space="0" w:color="auto"/>
                  </w:divBdr>
                  <w:divsChild>
                    <w:div w:id="413357731">
                      <w:marLeft w:val="0"/>
                      <w:marRight w:val="0"/>
                      <w:marTop w:val="0"/>
                      <w:marBottom w:val="0"/>
                      <w:divBdr>
                        <w:top w:val="none" w:sz="0" w:space="0" w:color="auto"/>
                        <w:left w:val="none" w:sz="0" w:space="0" w:color="auto"/>
                        <w:bottom w:val="none" w:sz="0" w:space="0" w:color="auto"/>
                        <w:right w:val="none" w:sz="0" w:space="0" w:color="auto"/>
                      </w:divBdr>
                      <w:divsChild>
                        <w:div w:id="1553344415">
                          <w:marLeft w:val="0"/>
                          <w:marRight w:val="0"/>
                          <w:marTop w:val="0"/>
                          <w:marBottom w:val="0"/>
                          <w:divBdr>
                            <w:top w:val="none" w:sz="0" w:space="0" w:color="auto"/>
                            <w:left w:val="none" w:sz="0" w:space="0" w:color="auto"/>
                            <w:bottom w:val="none" w:sz="0" w:space="0" w:color="auto"/>
                            <w:right w:val="none" w:sz="0" w:space="0" w:color="auto"/>
                          </w:divBdr>
                          <w:divsChild>
                            <w:div w:id="2101019030">
                              <w:marLeft w:val="0"/>
                              <w:marRight w:val="0"/>
                              <w:marTop w:val="0"/>
                              <w:marBottom w:val="0"/>
                              <w:divBdr>
                                <w:top w:val="none" w:sz="0" w:space="0" w:color="auto"/>
                                <w:left w:val="none" w:sz="0" w:space="0" w:color="auto"/>
                                <w:bottom w:val="none" w:sz="0" w:space="0" w:color="auto"/>
                                <w:right w:val="none" w:sz="0" w:space="0" w:color="auto"/>
                              </w:divBdr>
                              <w:divsChild>
                                <w:div w:id="14521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565499">
          <w:marLeft w:val="0"/>
          <w:marRight w:val="0"/>
          <w:marTop w:val="0"/>
          <w:marBottom w:val="0"/>
          <w:divBdr>
            <w:top w:val="none" w:sz="0" w:space="0" w:color="auto"/>
            <w:left w:val="none" w:sz="0" w:space="0" w:color="auto"/>
            <w:bottom w:val="none" w:sz="0" w:space="0" w:color="auto"/>
            <w:right w:val="none" w:sz="0" w:space="0" w:color="auto"/>
          </w:divBdr>
          <w:divsChild>
            <w:div w:id="2094816718">
              <w:marLeft w:val="0"/>
              <w:marRight w:val="0"/>
              <w:marTop w:val="0"/>
              <w:marBottom w:val="0"/>
              <w:divBdr>
                <w:top w:val="none" w:sz="0" w:space="0" w:color="auto"/>
                <w:left w:val="none" w:sz="0" w:space="0" w:color="auto"/>
                <w:bottom w:val="none" w:sz="0" w:space="0" w:color="auto"/>
                <w:right w:val="none" w:sz="0" w:space="0" w:color="auto"/>
              </w:divBdr>
              <w:divsChild>
                <w:div w:id="1721396318">
                  <w:marLeft w:val="0"/>
                  <w:marRight w:val="0"/>
                  <w:marTop w:val="0"/>
                  <w:marBottom w:val="0"/>
                  <w:divBdr>
                    <w:top w:val="none" w:sz="0" w:space="0" w:color="auto"/>
                    <w:left w:val="none" w:sz="0" w:space="0" w:color="auto"/>
                    <w:bottom w:val="none" w:sz="0" w:space="0" w:color="auto"/>
                    <w:right w:val="none" w:sz="0" w:space="0" w:color="auto"/>
                  </w:divBdr>
                  <w:divsChild>
                    <w:div w:id="301426594">
                      <w:marLeft w:val="0"/>
                      <w:marRight w:val="0"/>
                      <w:marTop w:val="0"/>
                      <w:marBottom w:val="0"/>
                      <w:divBdr>
                        <w:top w:val="none" w:sz="0" w:space="0" w:color="auto"/>
                        <w:left w:val="none" w:sz="0" w:space="0" w:color="auto"/>
                        <w:bottom w:val="none" w:sz="0" w:space="0" w:color="auto"/>
                        <w:right w:val="none" w:sz="0" w:space="0" w:color="auto"/>
                      </w:divBdr>
                      <w:divsChild>
                        <w:div w:id="1878006706">
                          <w:marLeft w:val="0"/>
                          <w:marRight w:val="0"/>
                          <w:marTop w:val="0"/>
                          <w:marBottom w:val="0"/>
                          <w:divBdr>
                            <w:top w:val="none" w:sz="0" w:space="0" w:color="auto"/>
                            <w:left w:val="none" w:sz="0" w:space="0" w:color="auto"/>
                            <w:bottom w:val="none" w:sz="0" w:space="0" w:color="auto"/>
                            <w:right w:val="none" w:sz="0" w:space="0" w:color="auto"/>
                          </w:divBdr>
                          <w:divsChild>
                            <w:div w:id="13161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528840">
      <w:bodyDiv w:val="1"/>
      <w:marLeft w:val="0"/>
      <w:marRight w:val="0"/>
      <w:marTop w:val="0"/>
      <w:marBottom w:val="0"/>
      <w:divBdr>
        <w:top w:val="none" w:sz="0" w:space="0" w:color="auto"/>
        <w:left w:val="none" w:sz="0" w:space="0" w:color="auto"/>
        <w:bottom w:val="none" w:sz="0" w:space="0" w:color="auto"/>
        <w:right w:val="none" w:sz="0" w:space="0" w:color="auto"/>
      </w:divBdr>
      <w:divsChild>
        <w:div w:id="610599460">
          <w:marLeft w:val="0"/>
          <w:marRight w:val="0"/>
          <w:marTop w:val="0"/>
          <w:marBottom w:val="0"/>
          <w:divBdr>
            <w:top w:val="none" w:sz="0" w:space="0" w:color="auto"/>
            <w:left w:val="none" w:sz="0" w:space="0" w:color="auto"/>
            <w:bottom w:val="none" w:sz="0" w:space="0" w:color="auto"/>
            <w:right w:val="none" w:sz="0" w:space="0" w:color="auto"/>
          </w:divBdr>
          <w:divsChild>
            <w:div w:id="1127360976">
              <w:marLeft w:val="0"/>
              <w:marRight w:val="0"/>
              <w:marTop w:val="0"/>
              <w:marBottom w:val="0"/>
              <w:divBdr>
                <w:top w:val="none" w:sz="0" w:space="0" w:color="auto"/>
                <w:left w:val="none" w:sz="0" w:space="0" w:color="auto"/>
                <w:bottom w:val="none" w:sz="0" w:space="0" w:color="auto"/>
                <w:right w:val="none" w:sz="0" w:space="0" w:color="auto"/>
              </w:divBdr>
              <w:divsChild>
                <w:div w:id="1763138598">
                  <w:marLeft w:val="0"/>
                  <w:marRight w:val="0"/>
                  <w:marTop w:val="0"/>
                  <w:marBottom w:val="0"/>
                  <w:divBdr>
                    <w:top w:val="none" w:sz="0" w:space="0" w:color="auto"/>
                    <w:left w:val="none" w:sz="0" w:space="0" w:color="auto"/>
                    <w:bottom w:val="none" w:sz="0" w:space="0" w:color="auto"/>
                    <w:right w:val="none" w:sz="0" w:space="0" w:color="auto"/>
                  </w:divBdr>
                  <w:divsChild>
                    <w:div w:id="855769885">
                      <w:marLeft w:val="0"/>
                      <w:marRight w:val="0"/>
                      <w:marTop w:val="0"/>
                      <w:marBottom w:val="0"/>
                      <w:divBdr>
                        <w:top w:val="none" w:sz="0" w:space="0" w:color="auto"/>
                        <w:left w:val="none" w:sz="0" w:space="0" w:color="auto"/>
                        <w:bottom w:val="none" w:sz="0" w:space="0" w:color="auto"/>
                        <w:right w:val="none" w:sz="0" w:space="0" w:color="auto"/>
                      </w:divBdr>
                      <w:divsChild>
                        <w:div w:id="1059203453">
                          <w:marLeft w:val="0"/>
                          <w:marRight w:val="0"/>
                          <w:marTop w:val="0"/>
                          <w:marBottom w:val="0"/>
                          <w:divBdr>
                            <w:top w:val="none" w:sz="0" w:space="0" w:color="auto"/>
                            <w:left w:val="none" w:sz="0" w:space="0" w:color="auto"/>
                            <w:bottom w:val="none" w:sz="0" w:space="0" w:color="auto"/>
                            <w:right w:val="none" w:sz="0" w:space="0" w:color="auto"/>
                          </w:divBdr>
                          <w:divsChild>
                            <w:div w:id="557859663">
                              <w:marLeft w:val="0"/>
                              <w:marRight w:val="0"/>
                              <w:marTop w:val="0"/>
                              <w:marBottom w:val="0"/>
                              <w:divBdr>
                                <w:top w:val="none" w:sz="0" w:space="0" w:color="auto"/>
                                <w:left w:val="none" w:sz="0" w:space="0" w:color="auto"/>
                                <w:bottom w:val="none" w:sz="0" w:space="0" w:color="auto"/>
                                <w:right w:val="none" w:sz="0" w:space="0" w:color="auto"/>
                              </w:divBdr>
                              <w:divsChild>
                                <w:div w:id="13313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88959">
          <w:marLeft w:val="0"/>
          <w:marRight w:val="0"/>
          <w:marTop w:val="0"/>
          <w:marBottom w:val="0"/>
          <w:divBdr>
            <w:top w:val="none" w:sz="0" w:space="0" w:color="auto"/>
            <w:left w:val="none" w:sz="0" w:space="0" w:color="auto"/>
            <w:bottom w:val="none" w:sz="0" w:space="0" w:color="auto"/>
            <w:right w:val="none" w:sz="0" w:space="0" w:color="auto"/>
          </w:divBdr>
          <w:divsChild>
            <w:div w:id="1689133709">
              <w:marLeft w:val="0"/>
              <w:marRight w:val="0"/>
              <w:marTop w:val="0"/>
              <w:marBottom w:val="0"/>
              <w:divBdr>
                <w:top w:val="none" w:sz="0" w:space="0" w:color="auto"/>
                <w:left w:val="none" w:sz="0" w:space="0" w:color="auto"/>
                <w:bottom w:val="none" w:sz="0" w:space="0" w:color="auto"/>
                <w:right w:val="none" w:sz="0" w:space="0" w:color="auto"/>
              </w:divBdr>
              <w:divsChild>
                <w:div w:id="1712144321">
                  <w:marLeft w:val="0"/>
                  <w:marRight w:val="0"/>
                  <w:marTop w:val="0"/>
                  <w:marBottom w:val="0"/>
                  <w:divBdr>
                    <w:top w:val="none" w:sz="0" w:space="0" w:color="auto"/>
                    <w:left w:val="none" w:sz="0" w:space="0" w:color="auto"/>
                    <w:bottom w:val="none" w:sz="0" w:space="0" w:color="auto"/>
                    <w:right w:val="none" w:sz="0" w:space="0" w:color="auto"/>
                  </w:divBdr>
                  <w:divsChild>
                    <w:div w:id="39020874">
                      <w:marLeft w:val="0"/>
                      <w:marRight w:val="0"/>
                      <w:marTop w:val="0"/>
                      <w:marBottom w:val="0"/>
                      <w:divBdr>
                        <w:top w:val="none" w:sz="0" w:space="0" w:color="auto"/>
                        <w:left w:val="none" w:sz="0" w:space="0" w:color="auto"/>
                        <w:bottom w:val="none" w:sz="0" w:space="0" w:color="auto"/>
                        <w:right w:val="none" w:sz="0" w:space="0" w:color="auto"/>
                      </w:divBdr>
                      <w:divsChild>
                        <w:div w:id="1502163057">
                          <w:marLeft w:val="0"/>
                          <w:marRight w:val="0"/>
                          <w:marTop w:val="0"/>
                          <w:marBottom w:val="0"/>
                          <w:divBdr>
                            <w:top w:val="none" w:sz="0" w:space="0" w:color="auto"/>
                            <w:left w:val="none" w:sz="0" w:space="0" w:color="auto"/>
                            <w:bottom w:val="none" w:sz="0" w:space="0" w:color="auto"/>
                            <w:right w:val="none" w:sz="0" w:space="0" w:color="auto"/>
                          </w:divBdr>
                          <w:divsChild>
                            <w:div w:id="11858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447953">
      <w:bodyDiv w:val="1"/>
      <w:marLeft w:val="0"/>
      <w:marRight w:val="0"/>
      <w:marTop w:val="0"/>
      <w:marBottom w:val="0"/>
      <w:divBdr>
        <w:top w:val="none" w:sz="0" w:space="0" w:color="auto"/>
        <w:left w:val="none" w:sz="0" w:space="0" w:color="auto"/>
        <w:bottom w:val="none" w:sz="0" w:space="0" w:color="auto"/>
        <w:right w:val="none" w:sz="0" w:space="0" w:color="auto"/>
      </w:divBdr>
      <w:divsChild>
        <w:div w:id="260532841">
          <w:marLeft w:val="0"/>
          <w:marRight w:val="0"/>
          <w:marTop w:val="0"/>
          <w:marBottom w:val="0"/>
          <w:divBdr>
            <w:top w:val="none" w:sz="0" w:space="0" w:color="auto"/>
            <w:left w:val="none" w:sz="0" w:space="0" w:color="auto"/>
            <w:bottom w:val="none" w:sz="0" w:space="0" w:color="auto"/>
            <w:right w:val="none" w:sz="0" w:space="0" w:color="auto"/>
          </w:divBdr>
          <w:divsChild>
            <w:div w:id="334962100">
              <w:marLeft w:val="0"/>
              <w:marRight w:val="0"/>
              <w:marTop w:val="0"/>
              <w:marBottom w:val="0"/>
              <w:divBdr>
                <w:top w:val="none" w:sz="0" w:space="0" w:color="auto"/>
                <w:left w:val="none" w:sz="0" w:space="0" w:color="auto"/>
                <w:bottom w:val="none" w:sz="0" w:space="0" w:color="auto"/>
                <w:right w:val="none" w:sz="0" w:space="0" w:color="auto"/>
              </w:divBdr>
              <w:divsChild>
                <w:div w:id="654721703">
                  <w:marLeft w:val="0"/>
                  <w:marRight w:val="0"/>
                  <w:marTop w:val="0"/>
                  <w:marBottom w:val="0"/>
                  <w:divBdr>
                    <w:top w:val="none" w:sz="0" w:space="0" w:color="auto"/>
                    <w:left w:val="none" w:sz="0" w:space="0" w:color="auto"/>
                    <w:bottom w:val="none" w:sz="0" w:space="0" w:color="auto"/>
                    <w:right w:val="none" w:sz="0" w:space="0" w:color="auto"/>
                  </w:divBdr>
                  <w:divsChild>
                    <w:div w:id="760489644">
                      <w:marLeft w:val="0"/>
                      <w:marRight w:val="0"/>
                      <w:marTop w:val="0"/>
                      <w:marBottom w:val="0"/>
                      <w:divBdr>
                        <w:top w:val="none" w:sz="0" w:space="0" w:color="auto"/>
                        <w:left w:val="none" w:sz="0" w:space="0" w:color="auto"/>
                        <w:bottom w:val="none" w:sz="0" w:space="0" w:color="auto"/>
                        <w:right w:val="none" w:sz="0" w:space="0" w:color="auto"/>
                      </w:divBdr>
                      <w:divsChild>
                        <w:div w:id="1832526949">
                          <w:marLeft w:val="0"/>
                          <w:marRight w:val="0"/>
                          <w:marTop w:val="0"/>
                          <w:marBottom w:val="0"/>
                          <w:divBdr>
                            <w:top w:val="none" w:sz="0" w:space="0" w:color="auto"/>
                            <w:left w:val="none" w:sz="0" w:space="0" w:color="auto"/>
                            <w:bottom w:val="none" w:sz="0" w:space="0" w:color="auto"/>
                            <w:right w:val="none" w:sz="0" w:space="0" w:color="auto"/>
                          </w:divBdr>
                          <w:divsChild>
                            <w:div w:id="1041637131">
                              <w:marLeft w:val="0"/>
                              <w:marRight w:val="0"/>
                              <w:marTop w:val="0"/>
                              <w:marBottom w:val="0"/>
                              <w:divBdr>
                                <w:top w:val="none" w:sz="0" w:space="0" w:color="auto"/>
                                <w:left w:val="none" w:sz="0" w:space="0" w:color="auto"/>
                                <w:bottom w:val="none" w:sz="0" w:space="0" w:color="auto"/>
                                <w:right w:val="none" w:sz="0" w:space="0" w:color="auto"/>
                              </w:divBdr>
                              <w:divsChild>
                                <w:div w:id="1013923572">
                                  <w:marLeft w:val="0"/>
                                  <w:marRight w:val="0"/>
                                  <w:marTop w:val="0"/>
                                  <w:marBottom w:val="0"/>
                                  <w:divBdr>
                                    <w:top w:val="none" w:sz="0" w:space="0" w:color="auto"/>
                                    <w:left w:val="none" w:sz="0" w:space="0" w:color="auto"/>
                                    <w:bottom w:val="none" w:sz="0" w:space="0" w:color="auto"/>
                                    <w:right w:val="none" w:sz="0" w:space="0" w:color="auto"/>
                                  </w:divBdr>
                                  <w:divsChild>
                                    <w:div w:id="1555459688">
                                      <w:marLeft w:val="0"/>
                                      <w:marRight w:val="0"/>
                                      <w:marTop w:val="0"/>
                                      <w:marBottom w:val="0"/>
                                      <w:divBdr>
                                        <w:top w:val="none" w:sz="0" w:space="0" w:color="auto"/>
                                        <w:left w:val="none" w:sz="0" w:space="0" w:color="auto"/>
                                        <w:bottom w:val="none" w:sz="0" w:space="0" w:color="auto"/>
                                        <w:right w:val="none" w:sz="0" w:space="0" w:color="auto"/>
                                      </w:divBdr>
                                      <w:divsChild>
                                        <w:div w:id="363554992">
                                          <w:marLeft w:val="0"/>
                                          <w:marRight w:val="0"/>
                                          <w:marTop w:val="0"/>
                                          <w:marBottom w:val="0"/>
                                          <w:divBdr>
                                            <w:top w:val="none" w:sz="0" w:space="0" w:color="auto"/>
                                            <w:left w:val="none" w:sz="0" w:space="0" w:color="auto"/>
                                            <w:bottom w:val="none" w:sz="0" w:space="0" w:color="auto"/>
                                            <w:right w:val="none" w:sz="0" w:space="0" w:color="auto"/>
                                          </w:divBdr>
                                          <w:divsChild>
                                            <w:div w:id="303437236">
                                              <w:marLeft w:val="0"/>
                                              <w:marRight w:val="0"/>
                                              <w:marTop w:val="0"/>
                                              <w:marBottom w:val="0"/>
                                              <w:divBdr>
                                                <w:top w:val="none" w:sz="0" w:space="0" w:color="auto"/>
                                                <w:left w:val="none" w:sz="0" w:space="0" w:color="auto"/>
                                                <w:bottom w:val="none" w:sz="0" w:space="0" w:color="auto"/>
                                                <w:right w:val="none" w:sz="0" w:space="0" w:color="auto"/>
                                              </w:divBdr>
                                              <w:divsChild>
                                                <w:div w:id="64566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523337">
                          <w:marLeft w:val="0"/>
                          <w:marRight w:val="0"/>
                          <w:marTop w:val="0"/>
                          <w:marBottom w:val="0"/>
                          <w:divBdr>
                            <w:top w:val="none" w:sz="0" w:space="0" w:color="auto"/>
                            <w:left w:val="none" w:sz="0" w:space="0" w:color="auto"/>
                            <w:bottom w:val="none" w:sz="0" w:space="0" w:color="auto"/>
                            <w:right w:val="none" w:sz="0" w:space="0" w:color="auto"/>
                          </w:divBdr>
                          <w:divsChild>
                            <w:div w:id="327489185">
                              <w:marLeft w:val="0"/>
                              <w:marRight w:val="0"/>
                              <w:marTop w:val="0"/>
                              <w:marBottom w:val="0"/>
                              <w:divBdr>
                                <w:top w:val="none" w:sz="0" w:space="0" w:color="auto"/>
                                <w:left w:val="none" w:sz="0" w:space="0" w:color="auto"/>
                                <w:bottom w:val="none" w:sz="0" w:space="0" w:color="auto"/>
                                <w:right w:val="none" w:sz="0" w:space="0" w:color="auto"/>
                              </w:divBdr>
                              <w:divsChild>
                                <w:div w:id="224612435">
                                  <w:marLeft w:val="0"/>
                                  <w:marRight w:val="0"/>
                                  <w:marTop w:val="0"/>
                                  <w:marBottom w:val="0"/>
                                  <w:divBdr>
                                    <w:top w:val="none" w:sz="0" w:space="0" w:color="auto"/>
                                    <w:left w:val="none" w:sz="0" w:space="0" w:color="auto"/>
                                    <w:bottom w:val="none" w:sz="0" w:space="0" w:color="auto"/>
                                    <w:right w:val="none" w:sz="0" w:space="0" w:color="auto"/>
                                  </w:divBdr>
                                  <w:divsChild>
                                    <w:div w:id="1101023521">
                                      <w:marLeft w:val="0"/>
                                      <w:marRight w:val="0"/>
                                      <w:marTop w:val="0"/>
                                      <w:marBottom w:val="0"/>
                                      <w:divBdr>
                                        <w:top w:val="none" w:sz="0" w:space="0" w:color="auto"/>
                                        <w:left w:val="none" w:sz="0" w:space="0" w:color="auto"/>
                                        <w:bottom w:val="none" w:sz="0" w:space="0" w:color="auto"/>
                                        <w:right w:val="none" w:sz="0" w:space="0" w:color="auto"/>
                                      </w:divBdr>
                                      <w:divsChild>
                                        <w:div w:id="174345063">
                                          <w:marLeft w:val="0"/>
                                          <w:marRight w:val="0"/>
                                          <w:marTop w:val="0"/>
                                          <w:marBottom w:val="0"/>
                                          <w:divBdr>
                                            <w:top w:val="none" w:sz="0" w:space="0" w:color="auto"/>
                                            <w:left w:val="none" w:sz="0" w:space="0" w:color="auto"/>
                                            <w:bottom w:val="none" w:sz="0" w:space="0" w:color="auto"/>
                                            <w:right w:val="none" w:sz="0" w:space="0" w:color="auto"/>
                                          </w:divBdr>
                                          <w:divsChild>
                                            <w:div w:id="9890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621283">
          <w:marLeft w:val="0"/>
          <w:marRight w:val="0"/>
          <w:marTop w:val="0"/>
          <w:marBottom w:val="0"/>
          <w:divBdr>
            <w:top w:val="none" w:sz="0" w:space="0" w:color="auto"/>
            <w:left w:val="none" w:sz="0" w:space="0" w:color="auto"/>
            <w:bottom w:val="none" w:sz="0" w:space="0" w:color="auto"/>
            <w:right w:val="none" w:sz="0" w:space="0" w:color="auto"/>
          </w:divBdr>
          <w:divsChild>
            <w:div w:id="1122650420">
              <w:marLeft w:val="0"/>
              <w:marRight w:val="0"/>
              <w:marTop w:val="0"/>
              <w:marBottom w:val="0"/>
              <w:divBdr>
                <w:top w:val="none" w:sz="0" w:space="0" w:color="auto"/>
                <w:left w:val="none" w:sz="0" w:space="0" w:color="auto"/>
                <w:bottom w:val="none" w:sz="0" w:space="0" w:color="auto"/>
                <w:right w:val="none" w:sz="0" w:space="0" w:color="auto"/>
              </w:divBdr>
              <w:divsChild>
                <w:div w:id="775365079">
                  <w:marLeft w:val="0"/>
                  <w:marRight w:val="0"/>
                  <w:marTop w:val="0"/>
                  <w:marBottom w:val="0"/>
                  <w:divBdr>
                    <w:top w:val="none" w:sz="0" w:space="0" w:color="auto"/>
                    <w:left w:val="none" w:sz="0" w:space="0" w:color="auto"/>
                    <w:bottom w:val="none" w:sz="0" w:space="0" w:color="auto"/>
                    <w:right w:val="none" w:sz="0" w:space="0" w:color="auto"/>
                  </w:divBdr>
                  <w:divsChild>
                    <w:div w:id="2145540163">
                      <w:marLeft w:val="0"/>
                      <w:marRight w:val="0"/>
                      <w:marTop w:val="0"/>
                      <w:marBottom w:val="0"/>
                      <w:divBdr>
                        <w:top w:val="none" w:sz="0" w:space="0" w:color="auto"/>
                        <w:left w:val="none" w:sz="0" w:space="0" w:color="auto"/>
                        <w:bottom w:val="none" w:sz="0" w:space="0" w:color="auto"/>
                        <w:right w:val="none" w:sz="0" w:space="0" w:color="auto"/>
                      </w:divBdr>
                      <w:divsChild>
                        <w:div w:id="378553329">
                          <w:marLeft w:val="0"/>
                          <w:marRight w:val="0"/>
                          <w:marTop w:val="0"/>
                          <w:marBottom w:val="0"/>
                          <w:divBdr>
                            <w:top w:val="none" w:sz="0" w:space="0" w:color="auto"/>
                            <w:left w:val="none" w:sz="0" w:space="0" w:color="auto"/>
                            <w:bottom w:val="none" w:sz="0" w:space="0" w:color="auto"/>
                            <w:right w:val="none" w:sz="0" w:space="0" w:color="auto"/>
                          </w:divBdr>
                          <w:divsChild>
                            <w:div w:id="1392148336">
                              <w:marLeft w:val="0"/>
                              <w:marRight w:val="0"/>
                              <w:marTop w:val="0"/>
                              <w:marBottom w:val="0"/>
                              <w:divBdr>
                                <w:top w:val="none" w:sz="0" w:space="0" w:color="auto"/>
                                <w:left w:val="none" w:sz="0" w:space="0" w:color="auto"/>
                                <w:bottom w:val="none" w:sz="0" w:space="0" w:color="auto"/>
                                <w:right w:val="none" w:sz="0" w:space="0" w:color="auto"/>
                              </w:divBdr>
                              <w:divsChild>
                                <w:div w:id="1745177534">
                                  <w:marLeft w:val="0"/>
                                  <w:marRight w:val="0"/>
                                  <w:marTop w:val="0"/>
                                  <w:marBottom w:val="0"/>
                                  <w:divBdr>
                                    <w:top w:val="none" w:sz="0" w:space="0" w:color="auto"/>
                                    <w:left w:val="none" w:sz="0" w:space="0" w:color="auto"/>
                                    <w:bottom w:val="none" w:sz="0" w:space="0" w:color="auto"/>
                                    <w:right w:val="none" w:sz="0" w:space="0" w:color="auto"/>
                                  </w:divBdr>
                                  <w:divsChild>
                                    <w:div w:id="1514220786">
                                      <w:marLeft w:val="0"/>
                                      <w:marRight w:val="0"/>
                                      <w:marTop w:val="0"/>
                                      <w:marBottom w:val="0"/>
                                      <w:divBdr>
                                        <w:top w:val="none" w:sz="0" w:space="0" w:color="auto"/>
                                        <w:left w:val="none" w:sz="0" w:space="0" w:color="auto"/>
                                        <w:bottom w:val="none" w:sz="0" w:space="0" w:color="auto"/>
                                        <w:right w:val="none" w:sz="0" w:space="0" w:color="auto"/>
                                      </w:divBdr>
                                      <w:divsChild>
                                        <w:div w:id="180095843">
                                          <w:marLeft w:val="0"/>
                                          <w:marRight w:val="0"/>
                                          <w:marTop w:val="0"/>
                                          <w:marBottom w:val="0"/>
                                          <w:divBdr>
                                            <w:top w:val="none" w:sz="0" w:space="0" w:color="auto"/>
                                            <w:left w:val="none" w:sz="0" w:space="0" w:color="auto"/>
                                            <w:bottom w:val="none" w:sz="0" w:space="0" w:color="auto"/>
                                            <w:right w:val="none" w:sz="0" w:space="0" w:color="auto"/>
                                          </w:divBdr>
                                          <w:divsChild>
                                            <w:div w:id="729423247">
                                              <w:marLeft w:val="0"/>
                                              <w:marRight w:val="0"/>
                                              <w:marTop w:val="0"/>
                                              <w:marBottom w:val="0"/>
                                              <w:divBdr>
                                                <w:top w:val="none" w:sz="0" w:space="0" w:color="auto"/>
                                                <w:left w:val="none" w:sz="0" w:space="0" w:color="auto"/>
                                                <w:bottom w:val="none" w:sz="0" w:space="0" w:color="auto"/>
                                                <w:right w:val="none" w:sz="0" w:space="0" w:color="auto"/>
                                              </w:divBdr>
                                              <w:divsChild>
                                                <w:div w:id="14058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FERDUSI</dc:creator>
  <cp:keywords/>
  <dc:description/>
  <cp:lastModifiedBy>ASMA FERDUSI</cp:lastModifiedBy>
  <cp:revision>3</cp:revision>
  <dcterms:created xsi:type="dcterms:W3CDTF">2025-07-22T17:13:00Z</dcterms:created>
  <dcterms:modified xsi:type="dcterms:W3CDTF">2025-07-22T17:22:00Z</dcterms:modified>
</cp:coreProperties>
</file>