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7C1" w:rsidRDefault="001607C1" w:rsidP="001607C1">
      <w:pPr>
        <w:spacing w:after="100" w:afterAutospacing="1" w:line="240" w:lineRule="auto"/>
        <w:outlineLvl w:val="0"/>
        <w:rPr>
          <w:rFonts w:ascii="Segoe UI" w:eastAsia="Times New Roman" w:hAnsi="Segoe UI" w:cs="Segoe UI"/>
          <w:color w:val="000000"/>
          <w:kern w:val="36"/>
          <w:sz w:val="66"/>
          <w:szCs w:val="66"/>
        </w:rPr>
      </w:pPr>
      <w:r w:rsidRPr="001607C1">
        <w:rPr>
          <w:rFonts w:ascii="Segoe UI" w:eastAsia="Times New Roman" w:hAnsi="Segoe UI" w:cs="Segoe UI"/>
          <w:color w:val="000000"/>
          <w:kern w:val="36"/>
          <w:sz w:val="66"/>
          <w:szCs w:val="66"/>
        </w:rPr>
        <w:t>Locking Hints</w:t>
      </w:r>
    </w:p>
    <w:p w:rsidR="001607C1" w:rsidRPr="001607C1" w:rsidRDefault="001607C1" w:rsidP="001607C1">
      <w:pPr>
        <w:spacing w:after="100" w:afterAutospacing="1" w:line="240" w:lineRule="auto"/>
        <w:outlineLvl w:val="0"/>
        <w:rPr>
          <w:rFonts w:ascii="Segoe UI" w:eastAsia="Times New Roman" w:hAnsi="Segoe UI" w:cs="Segoe UI"/>
          <w:color w:val="000000"/>
          <w:kern w:val="36"/>
          <w:sz w:val="66"/>
          <w:szCs w:val="66"/>
        </w:rPr>
      </w:pPr>
      <w:hyperlink r:id="rId4" w:history="1">
        <w:r>
          <w:rPr>
            <w:rStyle w:val="Hyperlink"/>
          </w:rPr>
          <w:t>http://msdn.microsoft.com/en-us/library/aa213026(v=sql.80).aspx</w:t>
        </w:r>
      </w:hyperlink>
    </w:p>
    <w:p w:rsidR="001607C1" w:rsidRPr="001607C1" w:rsidRDefault="001607C1" w:rsidP="001607C1">
      <w:pPr>
        <w:spacing w:after="0" w:line="365" w:lineRule="atLeast"/>
        <w:rPr>
          <w:rFonts w:ascii="Segoe UI" w:eastAsia="Times New Roman" w:hAnsi="Segoe UI" w:cs="Segoe UI"/>
          <w:color w:val="5D5D5D"/>
          <w:sz w:val="28"/>
          <w:szCs w:val="28"/>
        </w:rPr>
      </w:pPr>
      <w:r w:rsidRPr="001607C1">
        <w:rPr>
          <w:rFonts w:ascii="Segoe UI" w:eastAsia="Times New Roman" w:hAnsi="Segoe UI" w:cs="Segoe UI"/>
          <w:b/>
          <w:bCs/>
          <w:color w:val="5D5D5D"/>
          <w:sz w:val="28"/>
        </w:rPr>
        <w:t>SQL Server 2000</w:t>
      </w:r>
    </w:p>
    <w:p w:rsidR="001607C1" w:rsidRPr="001607C1" w:rsidRDefault="001607C1" w:rsidP="001607C1">
      <w:pPr>
        <w:spacing w:line="365" w:lineRule="atLeast"/>
        <w:rPr>
          <w:rFonts w:ascii="Segoe UI" w:eastAsia="Times New Roman" w:hAnsi="Segoe UI" w:cs="Segoe UI"/>
          <w:color w:val="000000"/>
          <w:sz w:val="28"/>
          <w:szCs w:val="28"/>
        </w:rPr>
      </w:pPr>
      <w:r w:rsidRPr="001607C1">
        <w:rPr>
          <w:rFonts w:ascii="Segoe UI" w:eastAsia="Times New Roman" w:hAnsi="Segoe UI" w:cs="Segoe UI"/>
          <w:color w:val="5D5D5D"/>
          <w:sz w:val="28"/>
        </w:rPr>
        <w:t>12 out of 20 rated this helpful - </w:t>
      </w:r>
      <w:hyperlink r:id="rId5" w:anchor="feedback" w:tooltip="Rate this topic" w:history="1">
        <w:r w:rsidRPr="001607C1">
          <w:rPr>
            <w:rFonts w:ascii="Segoe UI" w:eastAsia="Times New Roman" w:hAnsi="Segoe UI" w:cs="Segoe UI"/>
            <w:color w:val="03697A"/>
            <w:sz w:val="28"/>
            <w:u w:val="single"/>
          </w:rPr>
          <w:t>Rate this topic</w:t>
        </w:r>
      </w:hyperlink>
    </w:p>
    <w:p w:rsidR="001607C1" w:rsidRPr="001607C1" w:rsidRDefault="001607C1" w:rsidP="001607C1">
      <w:pPr>
        <w:spacing w:after="0" w:line="387" w:lineRule="atLeast"/>
        <w:rPr>
          <w:rFonts w:ascii="Segoe UI" w:eastAsia="Times New Roman" w:hAnsi="Segoe UI" w:cs="Segoe UI"/>
          <w:color w:val="2A2A2A"/>
          <w:sz w:val="28"/>
          <w:szCs w:val="28"/>
        </w:rPr>
      </w:pPr>
      <w:bookmarkStart w:id="0" w:name="_locking_hints"/>
      <w:bookmarkEnd w:id="0"/>
      <w:r w:rsidRPr="001607C1">
        <w:rPr>
          <w:rFonts w:ascii="Segoe UI" w:eastAsia="Times New Roman" w:hAnsi="Segoe UI" w:cs="Segoe UI"/>
          <w:color w:val="2A2A2A"/>
          <w:sz w:val="28"/>
          <w:szCs w:val="28"/>
        </w:rPr>
        <w:t>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1607C1" w:rsidRPr="001607C1" w:rsidRDefault="001607C1" w:rsidP="001607C1">
      <w:pPr>
        <w:spacing w:after="0" w:line="387" w:lineRule="atLeast"/>
        <w:rPr>
          <w:rFonts w:ascii="Segoe UI" w:eastAsia="Times New Roman" w:hAnsi="Segoe UI" w:cs="Segoe UI"/>
          <w:color w:val="2A2A2A"/>
          <w:sz w:val="28"/>
          <w:szCs w:val="28"/>
        </w:rPr>
      </w:pPr>
      <w:r w:rsidRPr="001607C1">
        <w:rPr>
          <w:rFonts w:ascii="Segoe UI" w:eastAsia="Times New Roman" w:hAnsi="Segoe UI" w:cs="Segoe UI"/>
          <w:b/>
          <w:bCs/>
          <w:color w:val="2A2A2A"/>
          <w:sz w:val="28"/>
          <w:szCs w:val="28"/>
        </w:rPr>
        <w:t>Note</w:t>
      </w:r>
      <w:proofErr w:type="gramStart"/>
      <w:r w:rsidRPr="001607C1">
        <w:rPr>
          <w:rFonts w:ascii="Segoe UI" w:eastAsia="Times New Roman" w:hAnsi="Segoe UI" w:cs="Segoe UI"/>
          <w:color w:val="2A2A2A"/>
          <w:sz w:val="28"/>
          <w:szCs w:val="28"/>
        </w:rPr>
        <w:t>  The</w:t>
      </w:r>
      <w:proofErr w:type="gramEnd"/>
      <w:r w:rsidRPr="001607C1">
        <w:rPr>
          <w:rFonts w:ascii="Segoe UI" w:eastAsia="Times New Roman" w:hAnsi="Segoe UI" w:cs="Segoe UI"/>
          <w:color w:val="2A2A2A"/>
          <w:sz w:val="28"/>
          <w:szCs w:val="28"/>
        </w:rPr>
        <w:t xml:space="preserve"> SQL Server query optimizer automatically makes the correct determination. It is recommended that table-level locking hints be used to change the default locking behavior only when necessary. Disallowing a locking level can affect concurrency adversely.</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5783"/>
        <w:gridCol w:w="14871"/>
      </w:tblGrid>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b/>
                <w:bCs/>
                <w:color w:val="707070"/>
                <w:sz w:val="24"/>
                <w:szCs w:val="24"/>
              </w:rPr>
            </w:pPr>
            <w:r w:rsidRPr="001607C1">
              <w:rPr>
                <w:rFonts w:ascii="Times New Roman" w:eastAsia="Times New Roman" w:hAnsi="Times New Roman" w:cs="Times New Roman"/>
                <w:b/>
                <w:bCs/>
                <w:color w:val="707070"/>
                <w:sz w:val="24"/>
                <w:szCs w:val="24"/>
              </w:rPr>
              <w:t>Locking hint</w:t>
            </w:r>
          </w:p>
        </w:tc>
        <w:tc>
          <w:tcPr>
            <w:tcW w:w="360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b/>
                <w:bCs/>
                <w:color w:val="707070"/>
                <w:sz w:val="24"/>
                <w:szCs w:val="24"/>
              </w:rPr>
            </w:pPr>
            <w:r w:rsidRPr="001607C1">
              <w:rPr>
                <w:rFonts w:ascii="Times New Roman" w:eastAsia="Times New Roman" w:hAnsi="Times New Roman" w:cs="Times New Roman"/>
                <w:b/>
                <w:bCs/>
                <w:color w:val="707070"/>
                <w:sz w:val="24"/>
                <w:szCs w:val="24"/>
              </w:rPr>
              <w:t>Description</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HOLDLOCK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Hold a shared lock until completion of the transaction instead of releasing the lock as soon as the required table, row, or data page is no longer required. HOLDLOCK is equivalent to SERIALIZABLE.</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NOLOCK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PAGLOCK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page locks where a single table lock would usually be taken.</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READCOMMITTED</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 xml:space="preserve">Perform a scan with the same locking semantics as a transaction running at the READ COMMITTED isolation level. By default, SQL Server </w:t>
            </w:r>
            <w:r w:rsidRPr="001607C1">
              <w:rPr>
                <w:rFonts w:ascii="Times New Roman" w:eastAsia="Times New Roman" w:hAnsi="Times New Roman" w:cs="Times New Roman"/>
                <w:color w:val="2A2A2A"/>
                <w:sz w:val="24"/>
                <w:szCs w:val="24"/>
              </w:rPr>
              <w:lastRenderedPageBreak/>
              <w:t>2000 operates at this isolation level.</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lastRenderedPageBreak/>
              <w:t>READPAST</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READUNCOMMITTED</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Equivalent to NOLOCK.</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REPEATABLEREAD</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Perform a scan with the same locking semantics as a transaction running at the REPEATABLE READ isolation level.</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ROWLOCK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row-level locks instead of the coarser-grained page- and table-level locks.</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SERIALIZABLE</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Perform a scan with the same locking semantics as a transaction running at the SERIALIZABLE isolation level. Equivalent to HOLDLOCK.</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TABLOCK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a table lock instead of the finer-grained row- or page-level locks. SQL Server holds this lock until the end of the statement. However, if you also specify HOLDLOCK, the lock is held until the end of the transaction.</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TABLOCKX</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an exclusive lock on a table. This lock prevents others from reading or updating the table and is held until the end of the statement or transaction.</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UPDLOCK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rsidR="001607C1" w:rsidRPr="001607C1" w:rsidTr="001607C1">
        <w:tc>
          <w:tcPr>
            <w:tcW w:w="1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lastRenderedPageBreak/>
              <w:t>XLOCK</w:t>
            </w:r>
          </w:p>
        </w:tc>
        <w:tc>
          <w:tcPr>
            <w:tcW w:w="3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Times New Roman" w:eastAsia="Times New Roman" w:hAnsi="Times New Roman" w:cs="Times New Roman"/>
                <w:color w:val="2A2A2A"/>
                <w:sz w:val="24"/>
                <w:szCs w:val="24"/>
              </w:rPr>
              <w:t>Use an exclusive lock that will be held until the end of the transaction on all data processed by the statement. This lock can be specified with either PAGLOCK or TABLOCK, in which case the exclusive lock applies to the appropriate level of granularity.</w:t>
            </w:r>
          </w:p>
        </w:tc>
      </w:tr>
    </w:tbl>
    <w:p w:rsidR="001607C1" w:rsidRPr="001607C1" w:rsidRDefault="001607C1" w:rsidP="001607C1">
      <w:pPr>
        <w:spacing w:after="0" w:line="365" w:lineRule="atLeast"/>
        <w:rPr>
          <w:rFonts w:ascii="Segoe UI" w:eastAsia="Times New Roman" w:hAnsi="Segoe UI" w:cs="Segoe UI"/>
          <w:color w:val="000000"/>
          <w:sz w:val="28"/>
          <w:szCs w:val="28"/>
        </w:rPr>
      </w:pPr>
    </w:p>
    <w:p w:rsidR="001607C1" w:rsidRPr="001607C1" w:rsidRDefault="001607C1" w:rsidP="001607C1">
      <w:pPr>
        <w:spacing w:after="0" w:line="387" w:lineRule="atLeast"/>
        <w:rPr>
          <w:rFonts w:ascii="Segoe UI" w:eastAsia="Times New Roman" w:hAnsi="Segoe UI" w:cs="Segoe UI"/>
          <w:color w:val="2A2A2A"/>
          <w:sz w:val="28"/>
          <w:szCs w:val="28"/>
        </w:rPr>
      </w:pPr>
      <w:r w:rsidRPr="001607C1">
        <w:rPr>
          <w:rFonts w:ascii="Segoe UI" w:eastAsia="Times New Roman" w:hAnsi="Segoe UI" w:cs="Segoe UI"/>
          <w:color w:val="2A2A2A"/>
          <w:sz w:val="28"/>
          <w:szCs w:val="28"/>
        </w:rPr>
        <w:t xml:space="preserve">For example, if the transaction isolation level is set to SERIALIZABLE, and the table-level locking hint NOLOCK is used with the SELECT statement, key-range locks typically used to maintain </w:t>
      </w:r>
      <w:proofErr w:type="spellStart"/>
      <w:r w:rsidRPr="001607C1">
        <w:rPr>
          <w:rFonts w:ascii="Segoe UI" w:eastAsia="Times New Roman" w:hAnsi="Segoe UI" w:cs="Segoe UI"/>
          <w:color w:val="2A2A2A"/>
          <w:sz w:val="28"/>
          <w:szCs w:val="28"/>
        </w:rPr>
        <w:t>serializable</w:t>
      </w:r>
      <w:proofErr w:type="spellEnd"/>
      <w:r w:rsidRPr="001607C1">
        <w:rPr>
          <w:rFonts w:ascii="Segoe UI" w:eastAsia="Times New Roman" w:hAnsi="Segoe UI" w:cs="Segoe UI"/>
          <w:color w:val="2A2A2A"/>
          <w:sz w:val="28"/>
          <w:szCs w:val="28"/>
        </w:rPr>
        <w:t xml:space="preserve"> transactions are not taken.</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USE pubs</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GO</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SET TRANSACTION ISOLATION LEVEL SERIALIZABLE</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GO</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BEGIN TRANSACTION</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 xml:space="preserve">SELECT </w:t>
      </w:r>
      <w:proofErr w:type="spellStart"/>
      <w:r w:rsidRPr="001607C1">
        <w:rPr>
          <w:rFonts w:ascii="Courier New" w:eastAsia="Times New Roman" w:hAnsi="Courier New" w:cs="Courier New"/>
          <w:color w:val="000000"/>
          <w:sz w:val="20"/>
        </w:rPr>
        <w:t>au_lname</w:t>
      </w:r>
      <w:proofErr w:type="spellEnd"/>
      <w:r w:rsidRPr="001607C1">
        <w:rPr>
          <w:rFonts w:ascii="Courier New" w:eastAsia="Times New Roman" w:hAnsi="Courier New" w:cs="Courier New"/>
          <w:color w:val="000000"/>
          <w:sz w:val="20"/>
        </w:rPr>
        <w:t xml:space="preserve"> FROM authors WITH (NOLOCK)</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GO</w:t>
      </w:r>
    </w:p>
    <w:p w:rsidR="001607C1" w:rsidRPr="001607C1" w:rsidRDefault="001607C1" w:rsidP="001607C1">
      <w:pPr>
        <w:spacing w:after="0" w:line="387" w:lineRule="atLeast"/>
        <w:rPr>
          <w:rFonts w:ascii="Segoe UI" w:eastAsia="Times New Roman" w:hAnsi="Segoe UI" w:cs="Segoe UI"/>
          <w:color w:val="2A2A2A"/>
          <w:sz w:val="28"/>
          <w:szCs w:val="28"/>
        </w:rPr>
      </w:pPr>
      <w:r w:rsidRPr="001607C1">
        <w:rPr>
          <w:rFonts w:ascii="Segoe UI" w:eastAsia="Times New Roman" w:hAnsi="Segoe UI" w:cs="Segoe UI"/>
          <w:color w:val="2A2A2A"/>
          <w:sz w:val="28"/>
          <w:szCs w:val="28"/>
        </w:rPr>
        <w:t>The locks generated are:</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 xml:space="preserve">EXEC </w:t>
      </w:r>
      <w:proofErr w:type="spellStart"/>
      <w:r w:rsidRPr="001607C1">
        <w:rPr>
          <w:rFonts w:ascii="Courier New" w:eastAsia="Times New Roman" w:hAnsi="Courier New" w:cs="Courier New"/>
          <w:color w:val="000000"/>
          <w:sz w:val="20"/>
        </w:rPr>
        <w:t>sp_lock</w:t>
      </w:r>
      <w:proofErr w:type="spellEnd"/>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GO</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1652"/>
        <w:gridCol w:w="1859"/>
        <w:gridCol w:w="3511"/>
        <w:gridCol w:w="2478"/>
        <w:gridCol w:w="2272"/>
        <w:gridCol w:w="3305"/>
        <w:gridCol w:w="2272"/>
        <w:gridCol w:w="3305"/>
      </w:tblGrid>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roofErr w:type="spellStart"/>
            <w:r w:rsidRPr="001607C1">
              <w:rPr>
                <w:rFonts w:ascii="Courier New" w:eastAsia="Times New Roman" w:hAnsi="Courier New" w:cs="Courier New"/>
                <w:color w:val="2A2A2A"/>
                <w:sz w:val="20"/>
              </w:rPr>
              <w:t>spid</w:t>
            </w:r>
            <w:proofErr w:type="spellEnd"/>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roofErr w:type="spellStart"/>
            <w:r w:rsidRPr="001607C1">
              <w:rPr>
                <w:rFonts w:ascii="Courier New" w:eastAsia="Times New Roman" w:hAnsi="Courier New" w:cs="Courier New"/>
                <w:color w:val="2A2A2A"/>
                <w:sz w:val="20"/>
              </w:rPr>
              <w:t>dbid</w:t>
            </w:r>
            <w:proofErr w:type="spellEnd"/>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roofErr w:type="spellStart"/>
            <w:r w:rsidRPr="001607C1">
              <w:rPr>
                <w:rFonts w:ascii="Courier New" w:eastAsia="Times New Roman" w:hAnsi="Courier New" w:cs="Courier New"/>
                <w:color w:val="2A2A2A"/>
                <w:sz w:val="20"/>
              </w:rPr>
              <w:t>ObjId</w:t>
            </w:r>
            <w:proofErr w:type="spellEnd"/>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roofErr w:type="spellStart"/>
            <w:r w:rsidRPr="001607C1">
              <w:rPr>
                <w:rFonts w:ascii="Courier New" w:eastAsia="Times New Roman" w:hAnsi="Courier New" w:cs="Courier New"/>
                <w:color w:val="2A2A2A"/>
                <w:sz w:val="20"/>
              </w:rPr>
              <w:t>IndId</w:t>
            </w:r>
            <w:proofErr w:type="spellEnd"/>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Type</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Resource</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Mode</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Status</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6</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7</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8</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4</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lastRenderedPageBreak/>
              <w:t>8</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4</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8</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4</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117575457</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TAB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roofErr w:type="spellStart"/>
            <w:r w:rsidRPr="001607C1">
              <w:rPr>
                <w:rFonts w:ascii="Courier New" w:eastAsia="Times New Roman" w:hAnsi="Courier New" w:cs="Courier New"/>
                <w:color w:val="2A2A2A"/>
                <w:sz w:val="20"/>
              </w:rPr>
              <w:t>Sch</w:t>
            </w:r>
            <w:proofErr w:type="spellEnd"/>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9</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4</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DB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r w:rsidR="001607C1" w:rsidRPr="001607C1" w:rsidTr="001607C1">
        <w:tc>
          <w:tcPr>
            <w:tcW w:w="4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9</w:t>
            </w:r>
          </w:p>
        </w:tc>
        <w:tc>
          <w:tcPr>
            <w:tcW w:w="4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1</w:t>
            </w:r>
          </w:p>
        </w:tc>
        <w:tc>
          <w:tcPr>
            <w:tcW w:w="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21575115</w:t>
            </w:r>
          </w:p>
        </w:tc>
        <w:tc>
          <w:tcPr>
            <w:tcW w:w="6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0</w:t>
            </w: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TAB</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p>
        </w:tc>
        <w:tc>
          <w:tcPr>
            <w:tcW w:w="5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IS</w:t>
            </w:r>
          </w:p>
        </w:tc>
        <w:tc>
          <w:tcPr>
            <w:tcW w:w="8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1607C1" w:rsidRPr="001607C1" w:rsidRDefault="001607C1" w:rsidP="001607C1">
            <w:pPr>
              <w:spacing w:before="215" w:after="215" w:line="240" w:lineRule="auto"/>
              <w:ind w:left="215" w:right="215"/>
              <w:rPr>
                <w:rFonts w:ascii="Times New Roman" w:eastAsia="Times New Roman" w:hAnsi="Times New Roman" w:cs="Times New Roman"/>
                <w:color w:val="2A2A2A"/>
                <w:sz w:val="24"/>
                <w:szCs w:val="24"/>
              </w:rPr>
            </w:pPr>
            <w:r w:rsidRPr="001607C1">
              <w:rPr>
                <w:rFonts w:ascii="Courier New" w:eastAsia="Times New Roman" w:hAnsi="Courier New" w:cs="Courier New"/>
                <w:color w:val="2A2A2A"/>
                <w:sz w:val="20"/>
              </w:rPr>
              <w:t>GRANT</w:t>
            </w:r>
          </w:p>
        </w:tc>
      </w:tr>
    </w:tbl>
    <w:p w:rsidR="001607C1" w:rsidRPr="001607C1" w:rsidRDefault="001607C1" w:rsidP="001607C1">
      <w:pPr>
        <w:spacing w:after="0" w:line="365" w:lineRule="atLeast"/>
        <w:rPr>
          <w:rFonts w:ascii="Segoe UI" w:eastAsia="Times New Roman" w:hAnsi="Segoe UI" w:cs="Segoe UI"/>
          <w:color w:val="000000"/>
          <w:sz w:val="28"/>
          <w:szCs w:val="28"/>
        </w:rPr>
      </w:pP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 xml:space="preserve">SELECT </w:t>
      </w:r>
      <w:proofErr w:type="spellStart"/>
      <w:r w:rsidRPr="001607C1">
        <w:rPr>
          <w:rFonts w:ascii="Courier New" w:eastAsia="Times New Roman" w:hAnsi="Courier New" w:cs="Courier New"/>
          <w:color w:val="000000"/>
          <w:sz w:val="20"/>
        </w:rPr>
        <w:t>object_</w:t>
      </w:r>
      <w:proofErr w:type="gramStart"/>
      <w:r w:rsidRPr="001607C1">
        <w:rPr>
          <w:rFonts w:ascii="Courier New" w:eastAsia="Times New Roman" w:hAnsi="Courier New" w:cs="Courier New"/>
          <w:color w:val="000000"/>
          <w:sz w:val="20"/>
        </w:rPr>
        <w:t>name</w:t>
      </w:r>
      <w:proofErr w:type="spellEnd"/>
      <w:r w:rsidRPr="001607C1">
        <w:rPr>
          <w:rFonts w:ascii="Courier New" w:eastAsia="Times New Roman" w:hAnsi="Courier New" w:cs="Courier New"/>
          <w:color w:val="000000"/>
          <w:sz w:val="20"/>
        </w:rPr>
        <w:t>(</w:t>
      </w:r>
      <w:proofErr w:type="gramEnd"/>
      <w:r w:rsidRPr="001607C1">
        <w:rPr>
          <w:rFonts w:ascii="Courier New" w:eastAsia="Times New Roman" w:hAnsi="Courier New" w:cs="Courier New"/>
          <w:color w:val="000000"/>
          <w:sz w:val="20"/>
        </w:rPr>
        <w:t>117575457)</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GO</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r w:rsidRPr="001607C1">
        <w:rPr>
          <w:rFonts w:ascii="Courier New" w:eastAsia="Times New Roman" w:hAnsi="Courier New" w:cs="Courier New"/>
          <w:color w:val="000000"/>
          <w:sz w:val="20"/>
        </w:rPr>
        <w:t>-----------------------------</w:t>
      </w:r>
    </w:p>
    <w:p w:rsidR="001607C1" w:rsidRPr="001607C1" w:rsidRDefault="001607C1" w:rsidP="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urier New" w:eastAsia="Times New Roman" w:hAnsi="Courier New" w:cs="Courier New"/>
          <w:color w:val="000000"/>
          <w:sz w:val="20"/>
        </w:rPr>
      </w:pPr>
      <w:proofErr w:type="gramStart"/>
      <w:r w:rsidRPr="001607C1">
        <w:rPr>
          <w:rFonts w:ascii="Courier New" w:eastAsia="Times New Roman" w:hAnsi="Courier New" w:cs="Courier New"/>
          <w:color w:val="000000"/>
          <w:sz w:val="20"/>
        </w:rPr>
        <w:t>authors</w:t>
      </w:r>
      <w:proofErr w:type="gramEnd"/>
    </w:p>
    <w:p w:rsidR="001607C1" w:rsidRPr="001607C1" w:rsidRDefault="001607C1" w:rsidP="001607C1">
      <w:pPr>
        <w:spacing w:after="0" w:line="387" w:lineRule="atLeast"/>
        <w:rPr>
          <w:rFonts w:ascii="Segoe UI" w:eastAsia="Times New Roman" w:hAnsi="Segoe UI" w:cs="Segoe UI"/>
          <w:color w:val="2A2A2A"/>
          <w:sz w:val="28"/>
          <w:szCs w:val="28"/>
        </w:rPr>
      </w:pPr>
      <w:r w:rsidRPr="001607C1">
        <w:rPr>
          <w:rFonts w:ascii="Segoe UI" w:eastAsia="Times New Roman" w:hAnsi="Segoe UI" w:cs="Segoe UI"/>
          <w:color w:val="2A2A2A"/>
          <w:sz w:val="28"/>
          <w:szCs w:val="28"/>
        </w:rPr>
        <w:t>The only lock taken that references</w:t>
      </w:r>
      <w:r w:rsidRPr="001607C1">
        <w:rPr>
          <w:rFonts w:ascii="Segoe UI" w:eastAsia="Times New Roman" w:hAnsi="Segoe UI" w:cs="Segoe UI"/>
          <w:color w:val="2A2A2A"/>
          <w:sz w:val="28"/>
        </w:rPr>
        <w:t> </w:t>
      </w:r>
      <w:r w:rsidRPr="001607C1">
        <w:rPr>
          <w:rFonts w:ascii="Segoe UI" w:eastAsia="Times New Roman" w:hAnsi="Segoe UI" w:cs="Segoe UI"/>
          <w:b/>
          <w:bCs/>
          <w:color w:val="2A2A2A"/>
          <w:sz w:val="28"/>
          <w:szCs w:val="28"/>
        </w:rPr>
        <w:t>authors</w:t>
      </w:r>
      <w:r w:rsidRPr="001607C1">
        <w:rPr>
          <w:rFonts w:ascii="Segoe UI" w:eastAsia="Times New Roman" w:hAnsi="Segoe UI" w:cs="Segoe UI"/>
          <w:color w:val="2A2A2A"/>
          <w:sz w:val="28"/>
        </w:rPr>
        <w:t> </w:t>
      </w:r>
      <w:r w:rsidRPr="001607C1">
        <w:rPr>
          <w:rFonts w:ascii="Segoe UI" w:eastAsia="Times New Roman" w:hAnsi="Segoe UI" w:cs="Segoe UI"/>
          <w:color w:val="2A2A2A"/>
          <w:sz w:val="28"/>
          <w:szCs w:val="28"/>
        </w:rPr>
        <w:t>is a schema stability (</w:t>
      </w:r>
      <w:proofErr w:type="spellStart"/>
      <w:r w:rsidRPr="001607C1">
        <w:rPr>
          <w:rFonts w:ascii="Segoe UI" w:eastAsia="Times New Roman" w:hAnsi="Segoe UI" w:cs="Segoe UI"/>
          <w:color w:val="2A2A2A"/>
          <w:sz w:val="28"/>
          <w:szCs w:val="28"/>
        </w:rPr>
        <w:t>Sch</w:t>
      </w:r>
      <w:proofErr w:type="spellEnd"/>
      <w:r w:rsidRPr="001607C1">
        <w:rPr>
          <w:rFonts w:ascii="Segoe UI" w:eastAsia="Times New Roman" w:hAnsi="Segoe UI" w:cs="Segoe UI"/>
          <w:color w:val="2A2A2A"/>
          <w:sz w:val="28"/>
          <w:szCs w:val="28"/>
        </w:rPr>
        <w:t xml:space="preserve">-S) lock. In this case, </w:t>
      </w:r>
      <w:proofErr w:type="spellStart"/>
      <w:r w:rsidRPr="001607C1">
        <w:rPr>
          <w:rFonts w:ascii="Segoe UI" w:eastAsia="Times New Roman" w:hAnsi="Segoe UI" w:cs="Segoe UI"/>
          <w:color w:val="2A2A2A"/>
          <w:sz w:val="28"/>
          <w:szCs w:val="28"/>
        </w:rPr>
        <w:t>serializability</w:t>
      </w:r>
      <w:proofErr w:type="spellEnd"/>
      <w:r w:rsidRPr="001607C1">
        <w:rPr>
          <w:rFonts w:ascii="Segoe UI" w:eastAsia="Times New Roman" w:hAnsi="Segoe UI" w:cs="Segoe UI"/>
          <w:color w:val="2A2A2A"/>
          <w:sz w:val="28"/>
          <w:szCs w:val="28"/>
        </w:rPr>
        <w:t xml:space="preserve"> is no longer guaranteed.</w:t>
      </w:r>
    </w:p>
    <w:p w:rsidR="001607C1" w:rsidRPr="001607C1" w:rsidRDefault="001607C1" w:rsidP="001607C1">
      <w:pPr>
        <w:spacing w:after="0" w:line="344" w:lineRule="atLeast"/>
        <w:outlineLvl w:val="4"/>
        <w:rPr>
          <w:rFonts w:ascii="Segoe UI Semibold" w:eastAsia="Times New Roman" w:hAnsi="Segoe UI Semibold" w:cs="Segoe UI"/>
          <w:color w:val="000000"/>
          <w:sz w:val="28"/>
          <w:szCs w:val="28"/>
        </w:rPr>
      </w:pPr>
      <w:r w:rsidRPr="001607C1">
        <w:rPr>
          <w:rFonts w:ascii="Segoe UI Semibold" w:eastAsia="Times New Roman" w:hAnsi="Segoe UI Semibold" w:cs="Segoe UI"/>
          <w:b/>
          <w:bCs/>
          <w:color w:val="000000"/>
          <w:sz w:val="28"/>
          <w:szCs w:val="28"/>
        </w:rPr>
        <w:t>See Also</w:t>
      </w:r>
    </w:p>
    <w:p w:rsidR="001607C1" w:rsidRPr="001607C1" w:rsidRDefault="001607C1" w:rsidP="001607C1">
      <w:pPr>
        <w:spacing w:after="0" w:line="387" w:lineRule="atLeast"/>
        <w:rPr>
          <w:rFonts w:ascii="Segoe UI" w:eastAsia="Times New Roman" w:hAnsi="Segoe UI" w:cs="Segoe UI"/>
          <w:color w:val="2A2A2A"/>
          <w:sz w:val="28"/>
          <w:szCs w:val="28"/>
        </w:rPr>
      </w:pPr>
      <w:hyperlink r:id="rId6" w:history="1">
        <w:r w:rsidRPr="001607C1">
          <w:rPr>
            <w:rFonts w:ascii="Segoe UI" w:eastAsia="Times New Roman" w:hAnsi="Segoe UI" w:cs="Segoe UI"/>
            <w:color w:val="03697A"/>
            <w:sz w:val="28"/>
            <w:u w:val="single"/>
          </w:rPr>
          <w:t>DELETE</w:t>
        </w:r>
      </w:hyperlink>
    </w:p>
    <w:p w:rsidR="001607C1" w:rsidRPr="001607C1" w:rsidRDefault="001607C1" w:rsidP="001607C1">
      <w:pPr>
        <w:spacing w:after="0" w:line="387" w:lineRule="atLeast"/>
        <w:rPr>
          <w:rFonts w:ascii="Segoe UI" w:eastAsia="Times New Roman" w:hAnsi="Segoe UI" w:cs="Segoe UI"/>
          <w:color w:val="2A2A2A"/>
          <w:sz w:val="28"/>
          <w:szCs w:val="28"/>
        </w:rPr>
      </w:pPr>
      <w:hyperlink r:id="rId7" w:history="1">
        <w:r w:rsidRPr="001607C1">
          <w:rPr>
            <w:rFonts w:ascii="Segoe UI" w:eastAsia="Times New Roman" w:hAnsi="Segoe UI" w:cs="Segoe UI"/>
            <w:color w:val="03697A"/>
            <w:sz w:val="28"/>
            <w:u w:val="single"/>
          </w:rPr>
          <w:t>INSERT</w:t>
        </w:r>
      </w:hyperlink>
    </w:p>
    <w:p w:rsidR="001607C1" w:rsidRPr="001607C1" w:rsidRDefault="001607C1" w:rsidP="001607C1">
      <w:pPr>
        <w:spacing w:after="0" w:line="387" w:lineRule="atLeast"/>
        <w:rPr>
          <w:rFonts w:ascii="Segoe UI" w:eastAsia="Times New Roman" w:hAnsi="Segoe UI" w:cs="Segoe UI"/>
          <w:color w:val="2A2A2A"/>
          <w:sz w:val="28"/>
          <w:szCs w:val="28"/>
        </w:rPr>
      </w:pPr>
      <w:hyperlink r:id="rId8" w:history="1">
        <w:r w:rsidRPr="001607C1">
          <w:rPr>
            <w:rFonts w:ascii="Segoe UI" w:eastAsia="Times New Roman" w:hAnsi="Segoe UI" w:cs="Segoe UI"/>
            <w:color w:val="03697A"/>
            <w:sz w:val="28"/>
            <w:u w:val="single"/>
          </w:rPr>
          <w:t>SELECT</w:t>
        </w:r>
      </w:hyperlink>
    </w:p>
    <w:p w:rsidR="001607C1" w:rsidRPr="001607C1" w:rsidRDefault="001607C1" w:rsidP="001607C1">
      <w:pPr>
        <w:spacing w:after="0" w:line="387" w:lineRule="atLeast"/>
        <w:rPr>
          <w:rFonts w:ascii="Segoe UI" w:eastAsia="Times New Roman" w:hAnsi="Segoe UI" w:cs="Segoe UI"/>
          <w:color w:val="2A2A2A"/>
          <w:sz w:val="28"/>
          <w:szCs w:val="28"/>
        </w:rPr>
      </w:pPr>
      <w:hyperlink r:id="rId9" w:history="1">
        <w:r w:rsidRPr="001607C1">
          <w:rPr>
            <w:rFonts w:ascii="Segoe UI" w:eastAsia="Times New Roman" w:hAnsi="Segoe UI" w:cs="Segoe UI"/>
            <w:color w:val="03697A"/>
            <w:sz w:val="28"/>
            <w:u w:val="single"/>
          </w:rPr>
          <w:t>SET TRANSACTION ISOLATION LEVEL</w:t>
        </w:r>
      </w:hyperlink>
    </w:p>
    <w:p w:rsidR="001607C1" w:rsidRPr="001607C1" w:rsidRDefault="001607C1" w:rsidP="001607C1">
      <w:pPr>
        <w:spacing w:after="0" w:line="387" w:lineRule="atLeast"/>
        <w:rPr>
          <w:rFonts w:ascii="Segoe UI" w:eastAsia="Times New Roman" w:hAnsi="Segoe UI" w:cs="Segoe UI"/>
          <w:color w:val="2A2A2A"/>
          <w:sz w:val="28"/>
          <w:szCs w:val="28"/>
        </w:rPr>
      </w:pPr>
      <w:hyperlink r:id="rId10" w:history="1">
        <w:r w:rsidRPr="001607C1">
          <w:rPr>
            <w:rFonts w:ascii="Segoe UI" w:eastAsia="Times New Roman" w:hAnsi="Segoe UI" w:cs="Segoe UI"/>
            <w:color w:val="03697A"/>
            <w:sz w:val="28"/>
            <w:u w:val="single"/>
          </w:rPr>
          <w:t>UPDATE</w:t>
        </w:r>
      </w:hyperlink>
    </w:p>
    <w:p w:rsidR="00654588" w:rsidRDefault="001607C1"/>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607C1"/>
    <w:rsid w:val="001607C1"/>
    <w:rsid w:val="00390842"/>
    <w:rsid w:val="009554F9"/>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160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607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C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607C1"/>
    <w:rPr>
      <w:rFonts w:ascii="Times New Roman" w:eastAsia="Times New Roman" w:hAnsi="Times New Roman" w:cs="Times New Roman"/>
      <w:b/>
      <w:bCs/>
      <w:sz w:val="20"/>
      <w:szCs w:val="20"/>
    </w:rPr>
  </w:style>
  <w:style w:type="character" w:styleId="Strong">
    <w:name w:val="Strong"/>
    <w:basedOn w:val="DefaultParagraphFont"/>
    <w:uiPriority w:val="22"/>
    <w:qFormat/>
    <w:rsid w:val="001607C1"/>
    <w:rPr>
      <w:b/>
      <w:bCs/>
    </w:rPr>
  </w:style>
  <w:style w:type="character" w:customStyle="1" w:styleId="ratingtext">
    <w:name w:val="ratingtext"/>
    <w:basedOn w:val="DefaultParagraphFont"/>
    <w:rsid w:val="001607C1"/>
  </w:style>
  <w:style w:type="character" w:customStyle="1" w:styleId="apple-converted-space">
    <w:name w:val="apple-converted-space"/>
    <w:basedOn w:val="DefaultParagraphFont"/>
    <w:rsid w:val="001607C1"/>
  </w:style>
  <w:style w:type="character" w:styleId="Hyperlink">
    <w:name w:val="Hyperlink"/>
    <w:basedOn w:val="DefaultParagraphFont"/>
    <w:uiPriority w:val="99"/>
    <w:semiHidden/>
    <w:unhideWhenUsed/>
    <w:rsid w:val="001607C1"/>
    <w:rPr>
      <w:color w:val="0000FF"/>
      <w:u w:val="single"/>
    </w:rPr>
  </w:style>
  <w:style w:type="paragraph" w:styleId="NormalWeb">
    <w:name w:val="Normal (Web)"/>
    <w:basedOn w:val="Normal"/>
    <w:uiPriority w:val="99"/>
    <w:semiHidden/>
    <w:unhideWhenUsed/>
    <w:rsid w:val="001607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7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07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87363206">
      <w:bodyDiv w:val="1"/>
      <w:marLeft w:val="0"/>
      <w:marRight w:val="0"/>
      <w:marTop w:val="0"/>
      <w:marBottom w:val="0"/>
      <w:divBdr>
        <w:top w:val="none" w:sz="0" w:space="0" w:color="auto"/>
        <w:left w:val="none" w:sz="0" w:space="0" w:color="auto"/>
        <w:bottom w:val="none" w:sz="0" w:space="0" w:color="auto"/>
        <w:right w:val="none" w:sz="0" w:space="0" w:color="auto"/>
      </w:divBdr>
      <w:divsChild>
        <w:div w:id="50616261">
          <w:marLeft w:val="0"/>
          <w:marRight w:val="0"/>
          <w:marTop w:val="0"/>
          <w:marBottom w:val="752"/>
          <w:divBdr>
            <w:top w:val="none" w:sz="0" w:space="0" w:color="auto"/>
            <w:left w:val="none" w:sz="0" w:space="0" w:color="auto"/>
            <w:bottom w:val="none" w:sz="0" w:space="0" w:color="auto"/>
            <w:right w:val="none" w:sz="0" w:space="0" w:color="auto"/>
          </w:divBdr>
          <w:divsChild>
            <w:div w:id="598220452">
              <w:marLeft w:val="0"/>
              <w:marRight w:val="0"/>
              <w:marTop w:val="0"/>
              <w:marBottom w:val="0"/>
              <w:divBdr>
                <w:top w:val="none" w:sz="0" w:space="0" w:color="auto"/>
                <w:left w:val="none" w:sz="0" w:space="0" w:color="auto"/>
                <w:bottom w:val="none" w:sz="0" w:space="0" w:color="auto"/>
                <w:right w:val="none" w:sz="0" w:space="0" w:color="auto"/>
              </w:divBdr>
            </w:div>
            <w:div w:id="2120248351">
              <w:marLeft w:val="279"/>
              <w:marRight w:val="0"/>
              <w:marTop w:val="0"/>
              <w:marBottom w:val="0"/>
              <w:divBdr>
                <w:top w:val="none" w:sz="0" w:space="0" w:color="auto"/>
                <w:left w:val="none" w:sz="0" w:space="0" w:color="auto"/>
                <w:bottom w:val="none" w:sz="0" w:space="0" w:color="auto"/>
                <w:right w:val="none" w:sz="0" w:space="0" w:color="auto"/>
              </w:divBdr>
            </w:div>
          </w:divsChild>
        </w:div>
        <w:div w:id="1163202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259187(v=sql.80).aspx" TargetMode="External"/><Relationship Id="rId3" Type="http://schemas.openxmlformats.org/officeDocument/2006/relationships/webSettings" Target="webSettings.xml"/><Relationship Id="rId7" Type="http://schemas.openxmlformats.org/officeDocument/2006/relationships/hyperlink" Target="http://msdn.microsoft.com/en-us/library/aa933206(v=sql.80).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aa258847(v=sql.80).aspx" TargetMode="External"/><Relationship Id="rId11" Type="http://schemas.openxmlformats.org/officeDocument/2006/relationships/fontTable" Target="fontTable.xml"/><Relationship Id="rId5" Type="http://schemas.openxmlformats.org/officeDocument/2006/relationships/hyperlink" Target="http://msdn.microsoft.com/en-us/library/aa213026(v=sql.80).aspx" TargetMode="External"/><Relationship Id="rId10" Type="http://schemas.openxmlformats.org/officeDocument/2006/relationships/hyperlink" Target="http://msdn.microsoft.com/en-us/library/aa260662(v=sql.80).aspx" TargetMode="External"/><Relationship Id="rId4" Type="http://schemas.openxmlformats.org/officeDocument/2006/relationships/hyperlink" Target="http://msdn.microsoft.com/en-us/library/aa213026(v=sql.80).aspx" TargetMode="External"/><Relationship Id="rId9" Type="http://schemas.openxmlformats.org/officeDocument/2006/relationships/hyperlink" Target="http://msdn.microsoft.com/en-us/library/aa259216(v=sql.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2013-05-28T06:49:00Z</dcterms:created>
  <dcterms:modified xsi:type="dcterms:W3CDTF">2013-05-28T06:50:00Z</dcterms:modified>
</cp:coreProperties>
</file>