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Cas n°1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031E904E" w:rsidR="00DC1EAD" w:rsidRPr="00DC1EAD" w:rsidRDefault="00A8201B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Commande d’une pizza en ligne</w:t>
            </w:r>
            <w:r w:rsidR="004F3E97">
              <w:rPr>
                <w:rFonts w:ascii="Segoe UI" w:hAnsi="Segoe UI" w:cs="Segoe UI"/>
              </w:rPr>
              <w:t>.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3984E28B" w:rsidR="00DC1EAD" w:rsidRPr="00DC1EAD" w:rsidRDefault="004F3E97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65CCF6A2" w:rsidR="00DC1EAD" w:rsidRPr="00DC1EAD" w:rsidRDefault="004F3E97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Commande d’une pizza par un client depuis le site web.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4B3B7884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client est authentifié.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3BB93538" w:rsidR="00DC1EAD" w:rsidRPr="00DC1EAD" w:rsidRDefault="004F3E97" w:rsidP="000520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Le client </w:t>
            </w:r>
            <w:r w:rsidR="000520EE">
              <w:rPr>
                <w:rFonts w:ascii="Segoe UI" w:hAnsi="Segoe UI" w:cs="Segoe UI"/>
              </w:rPr>
              <w:t>cherche à commander.</w:t>
            </w: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6B65351A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appel le cas d’utilisation « Consulter la liste des pizzas ».</w:t>
      </w:r>
    </w:p>
    <w:p w14:paraId="2B1623F2" w14:textId="081ADD44" w:rsidR="0022202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client sélectionne la/les pizzas souhaitées, puis valide sa commande.</w:t>
      </w:r>
    </w:p>
    <w:p w14:paraId="24B32839" w14:textId="6BF34119" w:rsidR="000520E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les stocks et calcul le temps de préparation.</w:t>
      </w:r>
    </w:p>
    <w:p w14:paraId="09A722EB" w14:textId="3D6AD5A6" w:rsidR="000520EE" w:rsidRP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enregistre la commande et passe au cas d’utilisation « Payer une commande ».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6DAF7D8D" w14:textId="5FC70B9E" w:rsidR="00DC1EAD" w:rsidRPr="00FB1D1F" w:rsidRDefault="00DC1EAD" w:rsidP="00FB1D1F">
      <w:pPr>
        <w:pStyle w:val="Titre2"/>
      </w:pPr>
      <w:r>
        <w:t>Les scénarios alternatifs</w:t>
      </w:r>
    </w:p>
    <w:p w14:paraId="715A0842" w14:textId="1CFC2B1D" w:rsidR="0022202E" w:rsidRDefault="000520EE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3.a</w:t>
      </w:r>
      <w:proofErr w:type="gramEnd"/>
      <w:r>
        <w:rPr>
          <w:rFonts w:ascii="Segoe UI" w:hAnsi="Segoe UI" w:cs="Segoe UI"/>
        </w:rPr>
        <w:t>. Le système informe qu’une/plusieurs pizzas ne sont pas réalisable par manque d’ingrédients.</w:t>
      </w:r>
    </w:p>
    <w:p w14:paraId="7DDF9FEF" w14:textId="615D18AF" w:rsidR="000520EE" w:rsidRPr="000520EE" w:rsidRDefault="000520EE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4.a</w:t>
      </w:r>
      <w:proofErr w:type="gramEnd"/>
      <w:r>
        <w:rPr>
          <w:rFonts w:ascii="Segoe UI" w:hAnsi="Segoe UI" w:cs="Segoe UI"/>
        </w:rPr>
        <w:t>. Le client annule sa commande avant que celle-ci soit prête.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F06AA89" w14:textId="1F7C64F5" w:rsidR="0022202E" w:rsidRDefault="00975B5B" w:rsidP="0022202E">
      <w:r>
        <w:tab/>
        <w:t xml:space="preserve">-Scénario nominal : une commande de pizza est </w:t>
      </w:r>
      <w:bookmarkStart w:id="0" w:name="_GoBack"/>
      <w:bookmarkEnd w:id="0"/>
      <w:r w:rsidR="003A45B8">
        <w:t>enregistrée</w:t>
      </w:r>
      <w:r>
        <w:t xml:space="preserve"> au nom du client.</w:t>
      </w:r>
    </w:p>
    <w:p w14:paraId="00A700BA" w14:textId="0665BFDF" w:rsidR="00975B5B" w:rsidRPr="0022202E" w:rsidRDefault="00975B5B" w:rsidP="0022202E">
      <w:r>
        <w:tab/>
        <w:t>-Scénario alternatif : commande annulée.</w:t>
      </w:r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22202E"/>
    <w:rsid w:val="002966AA"/>
    <w:rsid w:val="002A62A5"/>
    <w:rsid w:val="003A45B8"/>
    <w:rsid w:val="004F3E97"/>
    <w:rsid w:val="00975B5B"/>
    <w:rsid w:val="00A8201B"/>
    <w:rsid w:val="00B22D92"/>
    <w:rsid w:val="00DC1EAD"/>
    <w:rsid w:val="00F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Sébastien LEBAIL</cp:lastModifiedBy>
  <cp:revision>3</cp:revision>
  <dcterms:created xsi:type="dcterms:W3CDTF">2019-04-02T19:45:00Z</dcterms:created>
  <dcterms:modified xsi:type="dcterms:W3CDTF">2019-07-11T18:38:00Z</dcterms:modified>
</cp:coreProperties>
</file>