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269" w:lineRule="auto"/>
        <w:jc w:val="left"/>
      </w:pPr>
      <w:r>
        <w:rPr>
          <w:rFonts w:ascii="Aptos" w:hAnsi="Aptos"/>
          <w:b w:val="0"/>
          <w:i w:val="0"/>
          <w:color w:val="555555"/>
          <w:sz w:val="20"/>
        </w:rPr>
        <w:t>DAY 1  •  REFLECTION</w:t>
      </w:r>
    </w:p>
    <w:p>
      <w:pPr>
        <w:spacing w:before="0" w:after="0" w:line="269" w:lineRule="auto"/>
        <w:jc w:val="left"/>
      </w:pPr>
      <w:r>
        <w:rPr>
          <w:rFonts w:ascii="Georgia" w:hAnsi="Georgia"/>
          <w:b/>
          <w:i w:val="0"/>
          <w:color w:val="111111"/>
          <w:sz w:val="40"/>
        </w:rPr>
        <w:t>SELL MORE</w:t>
      </w:r>
    </w:p>
    <w:p>
      <w:pPr>
        <w:spacing w:before="0" w:after="480" w:line="269" w:lineRule="auto"/>
        <w:jc w:val="left"/>
      </w:pPr>
      <w:r>
        <w:rPr>
          <w:rFonts w:ascii="Georgia" w:hAnsi="Georgia"/>
          <w:b w:val="0"/>
          <w:i w:val="0"/>
          <w:color w:val="111111"/>
          <w:sz w:val="22"/>
        </w:rPr>
        <w:t>AS AN UNTETHERED SELLER</w:t>
      </w:r>
    </w:p>
    <w:p>
      <w:pPr>
        <w:spacing w:before="0" w:after="440" w:line="269" w:lineRule="auto"/>
        <w:jc w:val="left"/>
      </w:pPr>
      <w:r>
        <w:rPr>
          <w:rFonts w:ascii="Georgia" w:hAnsi="Georgia"/>
          <w:b/>
          <w:i w:val="0"/>
          <w:color w:val="111111"/>
          <w:sz w:val="48"/>
        </w:rPr>
        <w:t>Who Are You When It’s Time to Sell?</w:t>
      </w:r>
    </w:p>
    <w:p>
      <w:pPr>
        <w:spacing w:before="0" w:after="300" w:line="269" w:lineRule="auto"/>
        <w:jc w:val="left"/>
      </w:pPr>
      <w:r>
        <w:rPr>
          <w:rFonts w:ascii="Georgia" w:hAnsi="Georgia"/>
          <w:b w:val="0"/>
          <w:i/>
          <w:color w:val="555555"/>
          <w:sz w:val="23"/>
        </w:rPr>
        <w:t>A moment to reflect on what happens when it’s time to take the next step.</w:t>
      </w:r>
    </w:p>
    <w:tbl>
      <w:tblPr>
        <w:tblW w:type="auto" w:w="0"/>
        <w:jc w:val="left"/>
        <w:tblLayout w:type="fixed"/>
        <w:tblLook w:firstColumn="1" w:firstRow="1" w:lastColumn="0" w:lastRow="0" w:noHBand="0" w:noVBand="1" w:val="04A0"/>
      </w:tblPr>
      <w:tblGrid>
        <w:gridCol w:w="10296"/>
      </w:tblGrid>
      <w:tr>
        <w:tc>
          <w:tcPr>
            <w:tcW w:type="dxa" w:w="10454"/>
            <w:shd w:fill="F7F7F5"/>
            <w:tcBorders>
              <w:top w:val="single" w:sz="5" w:color="A9A9A9"/>
              <w:left w:val="single" w:sz="5" w:color="A9A9A9"/>
              <w:bottom w:val="single" w:sz="5" w:color="A9A9A9"/>
              <w:right w:val="single" w:sz="5" w:color="A9A9A9"/>
            </w:tcBorders>
          </w:tcPr>
          <w:p>
            <w:pPr>
              <w:spacing w:after="160"/>
            </w:pPr>
            <w:r>
              <w:rPr>
                <w:rFonts w:ascii="Aptos" w:hAnsi="Aptos"/>
                <w:b/>
                <w:i w:val="0"/>
                <w:color w:val="111111"/>
                <w:sz w:val="22"/>
              </w:rPr>
              <w:t>IMAGINE THIS</w:t>
            </w:r>
          </w:p>
          <w:p>
            <w:pPr>
              <w:spacing w:after="140" w:line="288" w:lineRule="auto"/>
            </w:pPr>
            <w:r>
              <w:rPr>
                <w:rFonts w:ascii="Aptos" w:hAnsi="Aptos"/>
                <w:b w:val="0"/>
                <w:i w:val="0"/>
                <w:color w:val="111111"/>
                <w:sz w:val="22"/>
              </w:rPr>
              <w:t>There’s something you know you need to do to reach your next level in sales. Maybe it’s making the call you’ve been avoiding. Maybe it’s becoming more consistent. Maybe it’s pursuing a larger account, asking for a bigger opportunity, stepping into leadership, leaving a role you’ve outgrown, or building something of your own. You know what to do, but for some reason, you haven’t done it.</w:t>
            </w:r>
          </w:p>
        </w:tc>
      </w:tr>
    </w:tbl>
    <w:p>
      <w:pPr>
        <w:spacing w:before="0" w:after="200" w:line="269" w:lineRule="auto"/>
        <w:jc w:val="left"/>
      </w:pPr>
      <w:r>
        <w:rPr>
          <w:rFonts w:ascii="Aptos" w:hAnsi="Aptos"/>
          <w:b w:val="0"/>
          <w:i w:val="0"/>
          <w:color w:val="111111"/>
          <w:sz w:val="4"/>
        </w:rPr>
      </w:r>
    </w:p>
    <w:p>
      <w:pPr>
        <w:spacing w:before="0" w:after="300" w:line="269" w:lineRule="auto"/>
        <w:jc w:val="left"/>
      </w:pPr>
      <w:r>
        <w:rPr>
          <w:rFonts w:ascii="Georgia" w:hAnsi="Georgia"/>
          <w:b/>
          <w:i w:val="0"/>
          <w:color w:val="111111"/>
          <w:sz w:val="32"/>
        </w:rPr>
        <w:t>What the Untethered Seller knows:</w:t>
      </w:r>
    </w:p>
    <w:p>
      <w:pPr>
        <w:spacing w:after="360" w:line="307" w:lineRule="auto"/>
        <w:jc w:val="left"/>
      </w:pPr>
      <w:r>
        <w:rPr>
          <w:rFonts w:ascii="Aptos" w:hAnsi="Aptos"/>
          <w:b w:val="0"/>
          <w:i w:val="0"/>
          <w:color w:val="111111"/>
          <w:sz w:val="22"/>
        </w:rPr>
        <w:t>The Untethered Seller knows that knowing what to do isn’t always enough. What she’s discovered is that sometimes what stands between where she is and where she wants to go isn’t a lack of knowledge, strategy, or ability. It’s what she’s still tethered to when it’s time to take the next step.</w:t>
      </w:r>
    </w:p>
    <w:p>
      <w:pPr>
        <w:spacing w:before="0" w:after="480" w:line="269" w:lineRule="auto"/>
        <w:jc w:val="left"/>
      </w:pPr>
      <w:r>
        <w:rPr>
          <w:rFonts w:ascii="Georgia" w:hAnsi="Georgia"/>
          <w:b/>
          <w:sz w:val="36"/>
        </w:rPr>
        <w:t>Now, turn the reflection toward yourself.</w:t>
      </w:r>
    </w:p>
    <w:tbl>
      <w:tblPr>
        <w:tblW w:type="auto" w:w="0"/>
        <w:jc w:val="left"/>
        <w:tblLayout w:type="fixed"/>
        <w:tblLook w:firstColumn="1" w:firstRow="1" w:lastColumn="0" w:lastRow="0" w:noHBand="0" w:noVBand="1" w:val="04A0"/>
      </w:tblPr>
      <w:tblGrid>
        <w:gridCol w:w="749"/>
        <w:gridCol w:w="9475"/>
      </w:tblGrid>
      <w:tr>
        <w:tc>
          <w:tcPr>
            <w:tcW w:type="dxa" w:w="5227"/>
            <w:vAlign w:val="top"/>
          </w:tcPr>
          <w:p>
            <w:pPr>
              <w:spacing w:before="60"/>
            </w:pPr>
            <w:r>
              <w:rPr>
                <w:rFonts w:ascii="Georgia" w:hAnsi="Georgia"/>
                <w:b/>
                <w:i w:val="0"/>
                <w:color w:val="111111"/>
                <w:sz w:val="30"/>
              </w:rPr>
              <w:t>01</w:t>
            </w:r>
          </w:p>
        </w:tc>
        <w:tc>
          <w:tcPr>
            <w:tcW w:type="dxa" w:w="5227"/>
            <w:tcBorders>
              <w:top w:val="single" w:sz="4" w:color="C7C7C7"/>
              <w:left w:val="single" w:sz="4" w:color="C7C7C7"/>
              <w:bottom w:val="single" w:sz="4" w:color="C7C7C7"/>
              <w:right w:val="single" w:sz="4" w:color="C7C7C7"/>
            </w:tcBorders>
          </w:tcPr>
          <w:p>
            <w:pPr>
              <w:spacing w:after="100"/>
            </w:pPr>
            <w:r>
              <w:rPr>
                <w:rFonts w:ascii="Aptos" w:hAnsi="Aptos"/>
                <w:b/>
                <w:i w:val="0"/>
                <w:color w:val="111111"/>
                <w:sz w:val="21"/>
              </w:rPr>
              <w:t>What is something you know you need to do to reach your next level in sales—but haven’t done?</w:t>
            </w:r>
          </w:p>
          <w:p>
            <w:pPr>
              <w:spacing w:after="40"/>
            </w:pPr>
            <w:r>
              <w:rPr>
                <w:color w:val="C8C8C8"/>
                <w:sz w:val="14"/>
              </w:rPr>
              <w:t>________________________________________________________________________________</w:t>
            </w:r>
          </w:p>
          <w:p>
            <w:pPr>
              <w:spacing w:after="40"/>
            </w:pPr>
            <w:r>
              <w:rPr>
                <w:color w:val="C8C8C8"/>
                <w:sz w:val="14"/>
              </w:rPr>
              <w:t>________________________________________________________________________________</w:t>
            </w:r>
          </w:p>
          <w:p>
            <w:pPr>
              <w:spacing w:after="40"/>
            </w:pPr>
            <w:r>
              <w:rPr>
                <w:color w:val="C8C8C8"/>
                <w:sz w:val="14"/>
              </w:rPr>
              <w:t>________________________________________________________________________________</w:t>
            </w:r>
          </w:p>
        </w:tc>
      </w:tr>
    </w:tbl>
    <w:p>
      <w:pPr>
        <w:spacing w:before="0" w:after="80" w:line="269" w:lineRule="auto"/>
        <w:jc w:val="left"/>
      </w:pPr>
      <w:r>
        <w:rPr>
          <w:rFonts w:ascii="Aptos" w:hAnsi="Aptos"/>
          <w:b w:val="0"/>
          <w:i w:val="0"/>
          <w:color w:val="111111"/>
          <w:sz w:val="4"/>
        </w:rPr>
      </w:r>
    </w:p>
    <w:tbl>
      <w:tblPr>
        <w:tblW w:type="auto" w:w="0"/>
        <w:jc w:val="left"/>
        <w:tblLayout w:type="fixed"/>
        <w:tblLook w:firstColumn="1" w:firstRow="1" w:lastColumn="0" w:lastRow="0" w:noHBand="0" w:noVBand="1" w:val="04A0"/>
      </w:tblPr>
      <w:tblGrid>
        <w:gridCol w:w="749"/>
        <w:gridCol w:w="9475"/>
      </w:tblGrid>
      <w:tr>
        <w:tc>
          <w:tcPr>
            <w:tcW w:type="dxa" w:w="5227"/>
            <w:vAlign w:val="top"/>
          </w:tcPr>
          <w:p>
            <w:pPr>
              <w:spacing w:before="60"/>
            </w:pPr>
            <w:r>
              <w:rPr>
                <w:rFonts w:ascii="Georgia" w:hAnsi="Georgia"/>
                <w:b/>
                <w:i w:val="0"/>
                <w:color w:val="111111"/>
                <w:sz w:val="30"/>
              </w:rPr>
              <w:t>02</w:t>
            </w:r>
          </w:p>
        </w:tc>
        <w:tc>
          <w:tcPr>
            <w:tcW w:type="dxa" w:w="5227"/>
            <w:tcBorders>
              <w:top w:val="single" w:sz="4" w:color="C7C7C7"/>
              <w:left w:val="single" w:sz="4" w:color="C7C7C7"/>
              <w:bottom w:val="single" w:sz="4" w:color="C7C7C7"/>
              <w:right w:val="single" w:sz="4" w:color="C7C7C7"/>
            </w:tcBorders>
          </w:tcPr>
          <w:p>
            <w:pPr>
              <w:spacing w:after="100"/>
            </w:pPr>
            <w:r>
              <w:rPr>
                <w:rFonts w:ascii="Aptos" w:hAnsi="Aptos"/>
                <w:b/>
                <w:i w:val="0"/>
                <w:color w:val="111111"/>
                <w:sz w:val="21"/>
              </w:rPr>
              <w:t>What might you be tethered to that’s keeping you from taking that next step?</w:t>
            </w:r>
          </w:p>
          <w:p>
            <w:pPr>
              <w:spacing w:after="40"/>
            </w:pPr>
            <w:r>
              <w:rPr>
                <w:color w:val="C8C8C8"/>
                <w:sz w:val="14"/>
              </w:rPr>
              <w:t>________________________________________________________________________________</w:t>
            </w:r>
          </w:p>
          <w:p>
            <w:pPr>
              <w:spacing w:after="40"/>
            </w:pPr>
            <w:r>
              <w:rPr>
                <w:color w:val="C8C8C8"/>
                <w:sz w:val="14"/>
              </w:rPr>
              <w:t>________________________________________________________________________________</w:t>
            </w:r>
          </w:p>
          <w:p>
            <w:pPr>
              <w:spacing w:after="40"/>
            </w:pPr>
            <w:r>
              <w:rPr>
                <w:color w:val="C8C8C8"/>
                <w:sz w:val="14"/>
              </w:rPr>
              <w:t>________________________________________________________________________________</w:t>
            </w:r>
          </w:p>
        </w:tc>
      </w:tr>
    </w:tbl>
    <w:p>
      <w:pPr>
        <w:spacing w:before="480" w:after="200" w:line="269" w:lineRule="auto"/>
        <w:jc w:val="left"/>
      </w:pPr>
      <w:r>
        <w:rPr>
          <w:rFonts w:ascii="Georgia" w:hAnsi="Georgia"/>
          <w:b w:val="0"/>
          <w:i/>
          <w:color w:val="111111"/>
          <w:sz w:val="22"/>
        </w:rPr>
        <w:t>Don’t try to untether from it yet. First, become aware of it.</w:t>
      </w:r>
    </w:p>
    <w:p>
      <w:pPr>
        <w:spacing w:before="0" w:after="0" w:line="269" w:lineRule="auto"/>
        <w:jc w:val="left"/>
      </w:pPr>
      <w:r>
        <w:rPr>
          <w:rFonts w:ascii="Aptos" w:hAnsi="Aptos"/>
          <w:b/>
          <w:i w:val="0"/>
          <w:color w:val="111111"/>
          <w:sz w:val="20"/>
        </w:rPr>
        <w:t>NEXT  →  DAY 2:  FearX — What Are You Tethered To?</w:t>
      </w:r>
    </w:p>
    <w:sectPr w:rsidR="00FC693F" w:rsidRPr="0006063C" w:rsidSect="00034616">
      <w:pgSz w:w="12240" w:h="15840"/>
      <w:pgMar w:top="605" w:right="893" w:bottom="547"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