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0F172A"/>
          <w:sz w:val="80"/>
        </w:rPr>
        <w:t>ReportStack</w:t>
      </w:r>
    </w:p>
    <w:p>
      <w:pPr>
        <w:jc w:val="center"/>
      </w:pPr>
      <w:r>
        <w:rPr>
          <w:color w:val="1E40AF"/>
          <w:sz w:val="44"/>
        </w:rPr>
        <w:t>Linux integration prerequisites</w:t>
      </w:r>
    </w:p>
    <w:p/>
    <w:p>
      <w:pPr>
        <w:jc w:val="center"/>
      </w:pPr>
      <w:r>
        <w:rPr>
          <w:color w:val="64748B"/>
          <w:sz w:val="26"/>
        </w:rPr>
        <w:t>Tools and apps checklist for deploying to twd00030 (Ubuntu 24.04 LTS)</w:t>
      </w:r>
    </w:p>
    <w:p/>
    <w:p>
      <w:pPr>
        <w:jc w:val="center"/>
      </w:pPr>
      <w:r>
        <w:rPr>
          <w:color w:val="94A3B8"/>
          <w:sz w:val="22"/>
        </w:rPr>
        <w:t>Version 1.0</w:t>
        <w:br/>
        <w:t>May 02, 2026</w:t>
        <w:br/>
        <w:br/>
        <w:t>Companion to ReportStack_Documentation.docx and ReportStack_User_Guide.docx.</w:t>
      </w:r>
    </w:p>
    <w:p>
      <w:r>
        <w:br w:type="page"/>
      </w:r>
    </w:p>
    <w:p>
      <w:pPr>
        <w:pStyle w:val="Heading1"/>
      </w:pPr>
      <w:r>
        <w:t>Contents</w:t>
      </w:r>
    </w:p>
    <w:p>
      <w:pPr>
        <w:spacing w:after="40"/>
      </w:pPr>
      <w:r>
        <w:t>1. How to read this document</w:t>
      </w:r>
    </w:p>
    <w:p>
      <w:pPr>
        <w:spacing w:after="40"/>
      </w:pPr>
      <w:r>
        <w:t>2. Host system tools</w:t>
      </w:r>
    </w:p>
    <w:p>
      <w:pPr>
        <w:spacing w:after="40"/>
      </w:pPr>
      <w:r>
        <w:t>3. Docker images</w:t>
      </w:r>
    </w:p>
    <w:p>
      <w:pPr>
        <w:spacing w:after="40"/>
      </w:pPr>
      <w:r>
        <w:t>4. NVIDIA GPU (optional)</w:t>
      </w:r>
    </w:p>
    <w:p>
      <w:pPr>
        <w:spacing w:after="40"/>
      </w:pPr>
      <w:r>
        <w:t>5. End-to-end test suite</w:t>
      </w:r>
    </w:p>
    <w:p>
      <w:pPr>
        <w:spacing w:after="40"/>
      </w:pPr>
      <w:r>
        <w:t>6. pytest plugin</w:t>
      </w:r>
    </w:p>
    <w:p>
      <w:pPr>
        <w:spacing w:after="40"/>
      </w:pPr>
      <w:r>
        <w:t>7. Telegram bot env vars</w:t>
      </w:r>
    </w:p>
    <w:p>
      <w:pPr>
        <w:spacing w:after="40"/>
      </w:pPr>
      <w:r>
        <w:t>8. Secrets and config</w:t>
      </w:r>
    </w:p>
    <w:p>
      <w:pPr>
        <w:spacing w:after="40"/>
      </w:pPr>
      <w:r>
        <w:t>9. Network ports</w:t>
      </w:r>
    </w:p>
    <w:p>
      <w:pPr>
        <w:spacing w:after="40"/>
      </w:pPr>
      <w:r>
        <w:t>10. Jenkins integration (optional)</w:t>
      </w:r>
    </w:p>
    <w:p>
      <w:pPr>
        <w:spacing w:after="40"/>
      </w:pPr>
      <w:r>
        <w:t>11. Quick deploy — the happy path</w:t>
      </w:r>
    </w:p>
    <w:p>
      <w:r>
        <w:br w:type="page"/>
      </w:r>
    </w:p>
    <w:p>
      <w:pPr>
        <w:pStyle w:val="Heading1"/>
      </w:pPr>
      <w:r>
        <w:t>1. How to read this document</w:t>
      </w:r>
    </w:p>
    <w:p>
      <w:r>
        <w:t>This is the inventory of every tool, library, image, environment variable, and secret that has to exist on twd00030 before ReportStack runs. The host is Ubuntu 24.04.4 LTS. Items already present per the cicd skill are flagged with a check; items needing fresh install are flagged with a download arrow.</w:t>
      </w:r>
    </w:p>
    <w:p>
      <w:r>
        <w:t>If you have shell access on a different Linux machine (laptop, CI agent, a QA workstation), the same list applies — substitute the apt commands for your distro's package manager where relevant.</w:t>
      </w:r>
    </w:p>
    <w:tbl>
      <w:tblPr>
        <w:tblW w:type="auto" w:w="0"/>
        <w:jc w:val="left"/>
        <w:tblLook w:firstColumn="1" w:firstRow="1" w:lastColumn="0" w:lastRow="0" w:noHBand="0" w:noVBand="1" w:val="04A0"/>
      </w:tblPr>
      <w:tblGrid>
        <w:gridCol w:w="8640"/>
      </w:tblGrid>
      <w:tr>
        <w:tc>
          <w:tcPr>
            <w:tcW w:type="dxa" w:w="9360"/>
            <w:shd w:val="clear" w:color="auto" w:fill="F1F5F9"/>
          </w:tcPr>
          <w:p>
            <w:r/>
            <w:r>
              <w:rPr>
                <w:b/>
                <w:color w:val="1E40AF"/>
              </w:rPr>
              <w:t xml:space="preserve">Note  </w:t>
            </w:r>
            <w:r>
              <w:rPr>
                <w:sz w:val="21"/>
              </w:rPr>
              <w:t>Status legend used in tables: ✓ means already installed on twd00030, ⇩ means install needed, and ⚠ means optional capability.</w:t>
            </w:r>
          </w:p>
        </w:tc>
      </w:tr>
    </w:tbl>
    <w:p/>
    <w:p>
      <w:pPr>
        <w:pStyle w:val="Heading1"/>
      </w:pPr>
      <w:r>
        <w:t>2. Host system tools</w:t>
      </w:r>
    </w:p>
    <w:p>
      <w:r>
        <w:t>Base toolchain. Everything else builds on top of these. The host already has all of them — verify with the install commands below if you're deploying to a different machine.</w:t>
      </w:r>
    </w:p>
    <w:tbl>
      <w:tblPr>
        <w:tblStyle w:val="LightGrid-Accent1"/>
        <w:tblW w:type="auto" w:w="0"/>
        <w:jc w:val="left"/>
        <w:tblLook w:firstColumn="1" w:firstRow="1" w:lastColumn="0" w:lastRow="0" w:noHBand="0" w:noVBand="1" w:val="04A0"/>
      </w:tblPr>
      <w:tblGrid>
        <w:gridCol w:w="2880"/>
        <w:gridCol w:w="2880"/>
        <w:gridCol w:w="2880"/>
      </w:tblGrid>
      <w:tr>
        <w:tc>
          <w:tcPr>
            <w:tcW w:type="dxa" w:w="2304"/>
          </w:tcPr>
          <w:p>
            <w:r>
              <w:rPr>
                <w:b/>
                <w:sz w:val="20"/>
              </w:rPr>
              <w:t>Tool</w:t>
            </w:r>
          </w:p>
        </w:tc>
        <w:tc>
          <w:tcPr>
            <w:tcW w:type="dxa" w:w="4608"/>
          </w:tcPr>
          <w:p>
            <w:r>
              <w:rPr>
                <w:b/>
                <w:sz w:val="20"/>
              </w:rPr>
              <w:t>Why we need it</w:t>
            </w:r>
          </w:p>
        </w:tc>
        <w:tc>
          <w:tcPr>
            <w:tcW w:type="dxa" w:w="2448"/>
          </w:tcPr>
          <w:p>
            <w:r>
              <w:rPr>
                <w:b/>
                <w:sz w:val="20"/>
              </w:rPr>
              <w:t>Status</w:t>
            </w:r>
          </w:p>
        </w:tc>
      </w:tr>
      <w:tr>
        <w:tc>
          <w:tcPr>
            <w:tcW w:type="dxa" w:w="2304"/>
          </w:tcPr>
          <w:p>
            <w:r>
              <w:rPr>
                <w:sz w:val="20"/>
              </w:rPr>
              <w:t>Docker Engine ≥ 24</w:t>
            </w:r>
          </w:p>
        </w:tc>
        <w:tc>
          <w:tcPr>
            <w:tcW w:type="dxa" w:w="4608"/>
          </w:tcPr>
          <w:p>
            <w:r>
              <w:rPr>
                <w:sz w:val="20"/>
              </w:rPr>
              <w:t>Run every service except optionally the test runner</w:t>
            </w:r>
          </w:p>
        </w:tc>
        <w:tc>
          <w:tcPr>
            <w:tcW w:type="dxa" w:w="2448"/>
          </w:tcPr>
          <w:p>
            <w:r>
              <w:rPr>
                <w:sz w:val="20"/>
              </w:rPr>
              <w:t>✓ 29.4.1</w:t>
            </w:r>
          </w:p>
        </w:tc>
      </w:tr>
      <w:tr>
        <w:tc>
          <w:tcPr>
            <w:tcW w:type="dxa" w:w="2304"/>
          </w:tcPr>
          <w:p>
            <w:r>
              <w:rPr>
                <w:sz w:val="20"/>
              </w:rPr>
              <w:t>Docker Compose v2</w:t>
            </w:r>
          </w:p>
        </w:tc>
        <w:tc>
          <w:tcPr>
            <w:tcW w:type="dxa" w:w="4608"/>
          </w:tcPr>
          <w:p>
            <w:r>
              <w:rPr>
                <w:sz w:val="20"/>
              </w:rPr>
              <w:t>docker compose ... (space, not hyphen)</w:t>
            </w:r>
          </w:p>
        </w:tc>
        <w:tc>
          <w:tcPr>
            <w:tcW w:type="dxa" w:w="2448"/>
          </w:tcPr>
          <w:p>
            <w:r>
              <w:rPr>
                <w:sz w:val="20"/>
              </w:rPr>
              <w:t>✓</w:t>
            </w:r>
          </w:p>
        </w:tc>
      </w:tr>
      <w:tr>
        <w:tc>
          <w:tcPr>
            <w:tcW w:type="dxa" w:w="2304"/>
          </w:tcPr>
          <w:p>
            <w:r>
              <w:rPr>
                <w:sz w:val="20"/>
              </w:rPr>
              <w:t>git</w:t>
            </w:r>
          </w:p>
        </w:tc>
        <w:tc>
          <w:tcPr>
            <w:tcW w:type="dxa" w:w="4608"/>
          </w:tcPr>
          <w:p>
            <w:r>
              <w:rPr>
                <w:sz w:val="20"/>
              </w:rPr>
              <w:t>Pull and push the repo</w:t>
            </w:r>
          </w:p>
        </w:tc>
        <w:tc>
          <w:tcPr>
            <w:tcW w:type="dxa" w:w="2448"/>
          </w:tcPr>
          <w:p>
            <w:r>
              <w:rPr>
                <w:sz w:val="20"/>
              </w:rPr>
              <w:t>✓ 2.43</w:t>
            </w:r>
          </w:p>
        </w:tc>
      </w:tr>
      <w:tr>
        <w:tc>
          <w:tcPr>
            <w:tcW w:type="dxa" w:w="2304"/>
          </w:tcPr>
          <w:p>
            <w:r>
              <w:rPr>
                <w:sz w:val="20"/>
              </w:rPr>
              <w:t>Python 3.12</w:t>
            </w:r>
          </w:p>
        </w:tc>
        <w:tc>
          <w:tcPr>
            <w:tcW w:type="dxa" w:w="4608"/>
          </w:tcPr>
          <w:p>
            <w:r>
              <w:rPr>
                <w:sz w:val="20"/>
              </w:rPr>
              <w:t>Matches backend; needed for seed_data.py and ad-hoc uvicorn runs</w:t>
            </w:r>
          </w:p>
        </w:tc>
        <w:tc>
          <w:tcPr>
            <w:tcW w:type="dxa" w:w="2448"/>
          </w:tcPr>
          <w:p>
            <w:r>
              <w:rPr>
                <w:sz w:val="20"/>
              </w:rPr>
              <w:t>✓ 3.12.3</w:t>
            </w:r>
          </w:p>
        </w:tc>
      </w:tr>
      <w:tr>
        <w:tc>
          <w:tcPr>
            <w:tcW w:type="dxa" w:w="2304"/>
          </w:tcPr>
          <w:p>
            <w:r>
              <w:rPr>
                <w:sz w:val="20"/>
              </w:rPr>
              <w:t>Node.js 18+ + npm</w:t>
            </w:r>
          </w:p>
        </w:tc>
        <w:tc>
          <w:tcPr>
            <w:tcW w:type="dxa" w:w="4608"/>
          </w:tcPr>
          <w:p>
            <w:r>
              <w:rPr>
                <w:sz w:val="20"/>
              </w:rPr>
              <w:t>Frontend build, Playwright, pytest plugin install</w:t>
            </w:r>
          </w:p>
        </w:tc>
        <w:tc>
          <w:tcPr>
            <w:tcW w:type="dxa" w:w="2448"/>
          </w:tcPr>
          <w:p>
            <w:r>
              <w:rPr>
                <w:sz w:val="20"/>
              </w:rPr>
              <w:t>✓ 25.5 / 11.8</w:t>
            </w:r>
          </w:p>
        </w:tc>
      </w:tr>
      <w:tr>
        <w:tc>
          <w:tcPr>
            <w:tcW w:type="dxa" w:w="2304"/>
          </w:tcPr>
          <w:p>
            <w:r>
              <w:rPr>
                <w:sz w:val="20"/>
              </w:rPr>
              <w:t>curl, wget, jq, unzip</w:t>
            </w:r>
          </w:p>
        </w:tc>
        <w:tc>
          <w:tcPr>
            <w:tcW w:type="dxa" w:w="4608"/>
          </w:tcPr>
          <w:p>
            <w:r>
              <w:rPr>
                <w:sz w:val="20"/>
              </w:rPr>
              <w:t>Smoke checks, debugging, asset downloads</w:t>
            </w:r>
          </w:p>
        </w:tc>
        <w:tc>
          <w:tcPr>
            <w:tcW w:type="dxa" w:w="2448"/>
          </w:tcPr>
          <w:p>
            <w:r>
              <w:rPr>
                <w:sz w:val="20"/>
              </w:rPr>
              <w:t>✓</w:t>
            </w:r>
          </w:p>
        </w:tc>
      </w:tr>
      <w:tr>
        <w:tc>
          <w:tcPr>
            <w:tcW w:type="dxa" w:w="2304"/>
          </w:tcPr>
          <w:p>
            <w:r>
              <w:rPr>
                <w:sz w:val="20"/>
              </w:rPr>
              <w:t>gcc, make</w:t>
            </w:r>
          </w:p>
        </w:tc>
        <w:tc>
          <w:tcPr>
            <w:tcW w:type="dxa" w:w="4608"/>
          </w:tcPr>
          <w:p>
            <w:r>
              <w:rPr>
                <w:sz w:val="20"/>
              </w:rPr>
              <w:t>Native deps when pip wheels miss (psycopg2 fallback, lxml)</w:t>
            </w:r>
          </w:p>
        </w:tc>
        <w:tc>
          <w:tcPr>
            <w:tcW w:type="dxa" w:w="2448"/>
          </w:tcPr>
          <w:p>
            <w:r>
              <w:rPr>
                <w:sz w:val="20"/>
              </w:rPr>
              <w:t>✓</w:t>
            </w:r>
          </w:p>
        </w:tc>
      </w:tr>
    </w:tbl>
    <w:p/>
    <w:tbl>
      <w:tblPr>
        <w:tblW w:type="auto" w:w="0"/>
        <w:jc w:val="left"/>
        <w:tblLook w:firstColumn="1" w:firstRow="1" w:lastColumn="0" w:lastRow="0" w:noHBand="0" w:noVBand="1" w:val="04A0"/>
      </w:tblPr>
      <w:tblGrid>
        <w:gridCol w:w="8640"/>
      </w:tblGrid>
      <w:tr>
        <w:tc>
          <w:tcPr>
            <w:tcW w:type="dxa" w:w="9360"/>
            <w:shd w:val="clear" w:color="auto" w:fill="FEF3C7"/>
          </w:tcPr>
          <w:p>
            <w:r/>
            <w:r>
              <w:rPr>
                <w:b/>
                <w:color w:val="1E40AF"/>
              </w:rPr>
              <w:t xml:space="preserve">Watch out  </w:t>
            </w:r>
            <w:r>
              <w:rPr>
                <w:sz w:val="21"/>
              </w:rPr>
              <w:t>Don't install Java on the host. Jenkins ships its own JDK in its container — host-installed Java will conflict.</w:t>
            </w:r>
          </w:p>
        </w:tc>
      </w:tr>
    </w:tbl>
    <w:p/>
    <w:p>
      <w:pPr>
        <w:pStyle w:val="Heading1"/>
      </w:pPr>
      <w:r>
        <w:t>3. Docker images</w:t>
      </w:r>
    </w:p>
    <w:p>
      <w:r>
        <w:t>These are pulled or built by docker compose up -d --build. The first run downloads a few GB; subsequent runs are diff-only.</w:t>
      </w:r>
    </w:p>
    <w:tbl>
      <w:tblPr>
        <w:tblStyle w:val="LightGrid-Accent1"/>
        <w:tblW w:type="auto" w:w="0"/>
        <w:jc w:val="left"/>
        <w:tblLook w:firstColumn="1" w:firstRow="1" w:lastColumn="0" w:lastRow="0" w:noHBand="0" w:noVBand="1" w:val="04A0"/>
      </w:tblPr>
      <w:tblGrid>
        <w:gridCol w:w="2880"/>
        <w:gridCol w:w="2880"/>
        <w:gridCol w:w="2880"/>
      </w:tblGrid>
      <w:tr>
        <w:tc>
          <w:tcPr>
            <w:tcW w:type="dxa" w:w="3456"/>
          </w:tcPr>
          <w:p>
            <w:r>
              <w:rPr>
                <w:b/>
                <w:sz w:val="20"/>
              </w:rPr>
              <w:t>Image</w:t>
            </w:r>
          </w:p>
        </w:tc>
        <w:tc>
          <w:tcPr>
            <w:tcW w:type="dxa" w:w="3744"/>
          </w:tcPr>
          <w:p>
            <w:r>
              <w:rPr>
                <w:b/>
                <w:sz w:val="20"/>
              </w:rPr>
              <w:t>Source</w:t>
            </w:r>
          </w:p>
        </w:tc>
        <w:tc>
          <w:tcPr>
            <w:tcW w:type="dxa" w:w="2160"/>
          </w:tcPr>
          <w:p>
            <w:r>
              <w:rPr>
                <w:b/>
                <w:sz w:val="20"/>
              </w:rPr>
              <w:t>Approx size</w:t>
            </w:r>
          </w:p>
        </w:tc>
      </w:tr>
      <w:tr>
        <w:tc>
          <w:tcPr>
            <w:tcW w:type="dxa" w:w="3456"/>
          </w:tcPr>
          <w:p>
            <w:r>
              <w:rPr>
                <w:sz w:val="20"/>
              </w:rPr>
              <w:t>postgres:16-alpine</w:t>
            </w:r>
          </w:p>
        </w:tc>
        <w:tc>
          <w:tcPr>
            <w:tcW w:type="dxa" w:w="3744"/>
          </w:tcPr>
          <w:p>
            <w:r>
              <w:rPr>
                <w:sz w:val="20"/>
              </w:rPr>
              <w:t>Docker Hub</w:t>
            </w:r>
          </w:p>
        </w:tc>
        <w:tc>
          <w:tcPr>
            <w:tcW w:type="dxa" w:w="2160"/>
          </w:tcPr>
          <w:p>
            <w:r>
              <w:rPr>
                <w:sz w:val="20"/>
              </w:rPr>
              <w:t>~250 MB</w:t>
            </w:r>
          </w:p>
        </w:tc>
      </w:tr>
      <w:tr>
        <w:tc>
          <w:tcPr>
            <w:tcW w:type="dxa" w:w="3456"/>
          </w:tcPr>
          <w:p>
            <w:r>
              <w:rPr>
                <w:sz w:val="20"/>
              </w:rPr>
              <w:t>minio/minio:latest</w:t>
            </w:r>
          </w:p>
        </w:tc>
        <w:tc>
          <w:tcPr>
            <w:tcW w:type="dxa" w:w="3744"/>
          </w:tcPr>
          <w:p>
            <w:r>
              <w:rPr>
                <w:sz w:val="20"/>
              </w:rPr>
              <w:t>Docker Hub</w:t>
            </w:r>
          </w:p>
        </w:tc>
        <w:tc>
          <w:tcPr>
            <w:tcW w:type="dxa" w:w="2160"/>
          </w:tcPr>
          <w:p>
            <w:r>
              <w:rPr>
                <w:sz w:val="20"/>
              </w:rPr>
              <w:t>~200 MB</w:t>
            </w:r>
          </w:p>
        </w:tc>
      </w:tr>
      <w:tr>
        <w:tc>
          <w:tcPr>
            <w:tcW w:type="dxa" w:w="3456"/>
          </w:tcPr>
          <w:p>
            <w:r>
              <w:rPr>
                <w:sz w:val="20"/>
              </w:rPr>
              <w:t>ollama/ollama:latest</w:t>
            </w:r>
          </w:p>
        </w:tc>
        <w:tc>
          <w:tcPr>
            <w:tcW w:type="dxa" w:w="3744"/>
          </w:tcPr>
          <w:p>
            <w:r>
              <w:rPr>
                <w:sz w:val="20"/>
              </w:rPr>
              <w:t>Docker Hub</w:t>
            </w:r>
          </w:p>
        </w:tc>
        <w:tc>
          <w:tcPr>
            <w:tcW w:type="dxa" w:w="2160"/>
          </w:tcPr>
          <w:p>
            <w:r>
              <w:rPr>
                <w:sz w:val="20"/>
              </w:rPr>
              <w:t>~700 MB</w:t>
            </w:r>
          </w:p>
        </w:tc>
      </w:tr>
      <w:tr>
        <w:tc>
          <w:tcPr>
            <w:tcW w:type="dxa" w:w="3456"/>
          </w:tcPr>
          <w:p>
            <w:r>
              <w:rPr>
                <w:sz w:val="20"/>
              </w:rPr>
              <w:t>automation-reports_backend</w:t>
            </w:r>
          </w:p>
        </w:tc>
        <w:tc>
          <w:tcPr>
            <w:tcW w:type="dxa" w:w="3744"/>
          </w:tcPr>
          <w:p>
            <w:r>
              <w:rPr>
                <w:sz w:val="20"/>
              </w:rPr>
              <w:t>built from backend/Dockerfile</w:t>
            </w:r>
          </w:p>
        </w:tc>
        <w:tc>
          <w:tcPr>
            <w:tcW w:type="dxa" w:w="2160"/>
          </w:tcPr>
          <w:p>
            <w:r>
              <w:rPr>
                <w:sz w:val="20"/>
              </w:rPr>
              <w:t>~250 MB</w:t>
            </w:r>
          </w:p>
        </w:tc>
      </w:tr>
      <w:tr>
        <w:tc>
          <w:tcPr>
            <w:tcW w:type="dxa" w:w="3456"/>
          </w:tcPr>
          <w:p>
            <w:r>
              <w:rPr>
                <w:sz w:val="20"/>
              </w:rPr>
              <w:t>automation-reports_frontend</w:t>
            </w:r>
          </w:p>
        </w:tc>
        <w:tc>
          <w:tcPr>
            <w:tcW w:type="dxa" w:w="3744"/>
          </w:tcPr>
          <w:p>
            <w:r>
              <w:rPr>
                <w:sz w:val="20"/>
              </w:rPr>
              <w:t>built from frontend/Dockerfile (Node → nginx)</w:t>
            </w:r>
          </w:p>
        </w:tc>
        <w:tc>
          <w:tcPr>
            <w:tcW w:type="dxa" w:w="2160"/>
          </w:tcPr>
          <w:p>
            <w:r>
              <w:rPr>
                <w:sz w:val="20"/>
              </w:rPr>
              <w:t>~50 MB</w:t>
            </w:r>
          </w:p>
        </w:tc>
      </w:tr>
      <w:tr>
        <w:tc>
          <w:tcPr>
            <w:tcW w:type="dxa" w:w="3456"/>
          </w:tcPr>
          <w:p>
            <w:r>
              <w:rPr>
                <w:sz w:val="20"/>
              </w:rPr>
              <w:t>automation-reports_bot</w:t>
            </w:r>
          </w:p>
        </w:tc>
        <w:tc>
          <w:tcPr>
            <w:tcW w:type="dxa" w:w="3744"/>
          </w:tcPr>
          <w:p>
            <w:r>
              <w:rPr>
                <w:sz w:val="20"/>
              </w:rPr>
              <w:t>built from bot/Dockerfile</w:t>
            </w:r>
          </w:p>
        </w:tc>
        <w:tc>
          <w:tcPr>
            <w:tcW w:type="dxa" w:w="2160"/>
          </w:tcPr>
          <w:p>
            <w:r>
              <w:rPr>
                <w:sz w:val="20"/>
              </w:rPr>
              <w:t>~180 MB</w:t>
            </w:r>
          </w:p>
        </w:tc>
      </w:tr>
    </w:tbl>
    <w:p/>
    <w:p>
      <w:r>
        <w:t>After the stack is up, pull the LLM weights once:</w:t>
      </w:r>
    </w:p>
    <w:tbl>
      <w:tblPr>
        <w:tblW w:type="auto" w:w="0"/>
        <w:jc w:val="left"/>
        <w:tblLook w:firstColumn="1" w:firstRow="1" w:lastColumn="0" w:lastRow="0" w:noHBand="0" w:noVBand="1" w:val="04A0"/>
      </w:tblPr>
      <w:tblGrid>
        <w:gridCol w:w="8640"/>
      </w:tblGrid>
      <w:tr>
        <w:tc>
          <w:tcPr>
            <w:tcW w:type="dxa" w:w="9360"/>
            <w:shd w:val="clear" w:color="auto" w:fill="F1F5F9"/>
          </w:tcPr>
          <w:p>
            <w:r/>
            <w:r>
              <w:rPr>
                <w:rFonts w:ascii="Consolas" w:hAnsi="Consolas"/>
                <w:color w:val="0F172A"/>
                <w:sz w:val="20"/>
              </w:rPr>
              <w:t>docker compose exec ollama ollama pull mistral:7b</w:t>
            </w:r>
          </w:p>
        </w:tc>
      </w:tr>
    </w:tbl>
    <w:p/>
    <w:p>
      <w:r>
        <w:t>That adds about 4 GB on disk. Skip it only if you accept the analyzer's TO_INVESTIGATE fallback for every failure (the May 2026 fix in ai_analyzer.py makes this safe — no crashes, just less useful classifications).</w:t>
      </w:r>
    </w:p>
    <w:p>
      <w:pPr>
        <w:pStyle w:val="Heading1"/>
      </w:pPr>
      <w:r>
        <w:t>4. NVIDIA GPU (optional)</w:t>
      </w:r>
    </w:p>
    <w:p>
      <w:r>
        <w:t>Only relevant if the box has a GPU and you want fast Ollama inference. Skip this section for CPU-only deploys.</w:t>
      </w:r>
    </w:p>
    <w:tbl>
      <w:tblPr>
        <w:tblStyle w:val="LightGrid-Accent1"/>
        <w:tblW w:type="auto" w:w="0"/>
        <w:jc w:val="left"/>
        <w:tblLook w:firstColumn="1" w:firstRow="1" w:lastColumn="0" w:lastRow="0" w:noHBand="0" w:noVBand="1" w:val="04A0"/>
      </w:tblPr>
      <w:tblGrid>
        <w:gridCol w:w="4320"/>
        <w:gridCol w:w="4320"/>
      </w:tblGrid>
      <w:tr>
        <w:tc>
          <w:tcPr>
            <w:tcW w:type="dxa" w:w="2880"/>
          </w:tcPr>
          <w:p>
            <w:r>
              <w:rPr>
                <w:b/>
                <w:sz w:val="20"/>
              </w:rPr>
              <w:t>Tool</w:t>
            </w:r>
          </w:p>
        </w:tc>
        <w:tc>
          <w:tcPr>
            <w:tcW w:type="dxa" w:w="6480"/>
          </w:tcPr>
          <w:p>
            <w:r>
              <w:rPr>
                <w:b/>
                <w:sz w:val="20"/>
              </w:rPr>
              <w:t>Install command</w:t>
            </w:r>
          </w:p>
        </w:tc>
      </w:tr>
      <w:tr>
        <w:tc>
          <w:tcPr>
            <w:tcW w:type="dxa" w:w="2880"/>
          </w:tcPr>
          <w:p>
            <w:r>
              <w:rPr>
                <w:sz w:val="20"/>
              </w:rPr>
              <w:t>NVIDIA driver</w:t>
            </w:r>
          </w:p>
        </w:tc>
        <w:tc>
          <w:tcPr>
            <w:tcW w:type="dxa" w:w="6480"/>
          </w:tcPr>
          <w:p>
            <w:r>
              <w:rPr>
                <w:sz w:val="20"/>
              </w:rPr>
              <w:t>sudo apt install nvidia-driver-550</w:t>
            </w:r>
          </w:p>
        </w:tc>
      </w:tr>
      <w:tr>
        <w:tc>
          <w:tcPr>
            <w:tcW w:type="dxa" w:w="2880"/>
          </w:tcPr>
          <w:p>
            <w:r>
              <w:rPr>
                <w:sz w:val="20"/>
              </w:rPr>
              <w:t>nvidia-container-toolkit</w:t>
            </w:r>
          </w:p>
        </w:tc>
        <w:tc>
          <w:tcPr>
            <w:tcW w:type="dxa" w:w="6480"/>
          </w:tcPr>
          <w:p>
            <w:r>
              <w:rPr>
                <w:sz w:val="20"/>
              </w:rPr>
              <w:t>Follow the official install guide; configure with sudo nvidia-ctk runtime configure --runtime=docker</w:t>
            </w:r>
          </w:p>
        </w:tc>
      </w:tr>
      <w:tr>
        <w:tc>
          <w:tcPr>
            <w:tcW w:type="dxa" w:w="2880"/>
          </w:tcPr>
          <w:p>
            <w:r>
              <w:rPr>
                <w:sz w:val="20"/>
              </w:rPr>
              <w:t>Restart Docker</w:t>
            </w:r>
          </w:p>
        </w:tc>
        <w:tc>
          <w:tcPr>
            <w:tcW w:type="dxa" w:w="6480"/>
          </w:tcPr>
          <w:p>
            <w:r>
              <w:rPr>
                <w:sz w:val="20"/>
              </w:rPr>
              <w:t>sudo systemctl restart docker</w:t>
            </w:r>
          </w:p>
        </w:tc>
      </w:tr>
    </w:tbl>
    <w:p/>
    <w:p>
      <w:r>
        <w:t>The ollama service block in docker-compose.yml already declares deploy.resources.reservations.devices for the GPU. Remove that block for CPU-only runs so compose doesn't reject the file.</w:t>
      </w:r>
    </w:p>
    <w:p>
      <w:pPr>
        <w:pStyle w:val="Heading1"/>
      </w:pPr>
      <w:r>
        <w:t>5. End-to-end test suite</w:t>
      </w:r>
    </w:p>
    <w:p>
      <w:r>
        <w:t>Playwright drives a Chromium browser against the live frontend. Required on any machine where the suite is run — typically a CI agent or a dev box.</w:t>
      </w:r>
    </w:p>
    <w:p>
      <w:pPr>
        <w:pStyle w:val="Heading2"/>
      </w:pPr>
      <w:r>
        <w:t>Install steps</w:t>
      </w:r>
    </w:p>
    <w:tbl>
      <w:tblPr>
        <w:tblW w:type="auto" w:w="0"/>
        <w:jc w:val="left"/>
        <w:tblLook w:firstColumn="1" w:firstRow="1" w:lastColumn="0" w:lastRow="0" w:noHBand="0" w:noVBand="1" w:val="04A0"/>
      </w:tblPr>
      <w:tblGrid>
        <w:gridCol w:w="8640"/>
      </w:tblGrid>
      <w:tr>
        <w:tc>
          <w:tcPr>
            <w:tcW w:type="dxa" w:w="9360"/>
            <w:shd w:val="clear" w:color="auto" w:fill="F1F5F9"/>
          </w:tcPr>
          <w:p>
            <w:r/>
            <w:r>
              <w:rPr>
                <w:rFonts w:ascii="Consolas" w:hAnsi="Consolas"/>
                <w:color w:val="0F172A"/>
                <w:sz w:val="20"/>
              </w:rPr>
              <w:t>cd tests/e2e</w:t>
            </w:r>
          </w:p>
          <w:p>
            <w:r>
              <w:rPr>
                <w:rFonts w:ascii="Consolas" w:hAnsi="Consolas"/>
                <w:color w:val="0F172A"/>
                <w:sz w:val="20"/>
              </w:rPr>
              <w:t>npm install</w:t>
            </w:r>
          </w:p>
          <w:p>
            <w:r>
              <w:rPr>
                <w:rFonts w:ascii="Consolas" w:hAnsi="Consolas"/>
                <w:color w:val="0F172A"/>
                <w:sz w:val="20"/>
              </w:rPr>
              <w:t>npx playwright install chromium</w:t>
            </w:r>
          </w:p>
          <w:p>
            <w:r>
              <w:rPr>
                <w:rFonts w:ascii="Consolas" w:hAnsi="Consolas"/>
                <w:color w:val="0F172A"/>
                <w:sz w:val="20"/>
              </w:rPr>
              <w:t>npx playwright install-deps</w:t>
            </w:r>
          </w:p>
        </w:tc>
      </w:tr>
    </w:tbl>
    <w:p/>
    <w:p>
      <w:pPr>
        <w:pStyle w:val="Heading2"/>
      </w:pPr>
      <w:r>
        <w:t>Explicit Ubuntu 24.04 system libs</w:t>
      </w:r>
    </w:p>
    <w:p>
      <w:r>
        <w:t>If install-deps complains, install these directly. The t64 suffix is Ubuntu 24.04's time64 transition rename — older docs reference the names without it.</w:t>
      </w:r>
    </w:p>
    <w:tbl>
      <w:tblPr>
        <w:tblW w:type="auto" w:w="0"/>
        <w:jc w:val="left"/>
        <w:tblLook w:firstColumn="1" w:firstRow="1" w:lastColumn="0" w:lastRow="0" w:noHBand="0" w:noVBand="1" w:val="04A0"/>
      </w:tblPr>
      <w:tblGrid>
        <w:gridCol w:w="8640"/>
      </w:tblGrid>
      <w:tr>
        <w:tc>
          <w:tcPr>
            <w:tcW w:type="dxa" w:w="9360"/>
            <w:shd w:val="clear" w:color="auto" w:fill="F1F5F9"/>
          </w:tcPr>
          <w:p>
            <w:r/>
            <w:r>
              <w:rPr>
                <w:rFonts w:ascii="Consolas" w:hAnsi="Consolas"/>
                <w:color w:val="0F172A"/>
                <w:sz w:val="20"/>
              </w:rPr>
              <w:t>sudo apt install -y \</w:t>
            </w:r>
          </w:p>
          <w:p>
            <w:r>
              <w:rPr>
                <w:rFonts w:ascii="Consolas" w:hAnsi="Consolas"/>
                <w:color w:val="0F172A"/>
                <w:sz w:val="20"/>
              </w:rPr>
              <w:t xml:space="preserve">  libnss3 libatk1.0-0t64 libatk-bridge2.0-0t64 libcups2t64 \</w:t>
            </w:r>
          </w:p>
          <w:p>
            <w:r>
              <w:rPr>
                <w:rFonts w:ascii="Consolas" w:hAnsi="Consolas"/>
                <w:color w:val="0F172A"/>
                <w:sz w:val="20"/>
              </w:rPr>
              <w:t xml:space="preserve">  libxcomposite1 libxdamage1 libxfixes3 libxrandr2 libgbm1 \</w:t>
            </w:r>
          </w:p>
          <w:p>
            <w:r>
              <w:rPr>
                <w:rFonts w:ascii="Consolas" w:hAnsi="Consolas"/>
                <w:color w:val="0F172A"/>
                <w:sz w:val="20"/>
              </w:rPr>
              <w:t xml:space="preserve">  libxkbcommon0 libpango-1.0-0 libcairo2 libasound2t64</w:t>
            </w:r>
          </w:p>
        </w:tc>
      </w:tr>
    </w:tbl>
    <w:p/>
    <w:p>
      <w:pPr>
        <w:pStyle w:val="Heading2"/>
      </w:pPr>
      <w:r>
        <w:t>Headed mode in CI (optional)</w:t>
      </w:r>
    </w:p>
    <w:p>
      <w:r>
        <w:t>If you ever need a real X display, install Xvfb and wrap the test run:</w:t>
      </w:r>
    </w:p>
    <w:tbl>
      <w:tblPr>
        <w:tblW w:type="auto" w:w="0"/>
        <w:jc w:val="left"/>
        <w:tblLook w:firstColumn="1" w:firstRow="1" w:lastColumn="0" w:lastRow="0" w:noHBand="0" w:noVBand="1" w:val="04A0"/>
      </w:tblPr>
      <w:tblGrid>
        <w:gridCol w:w="8640"/>
      </w:tblGrid>
      <w:tr>
        <w:tc>
          <w:tcPr>
            <w:tcW w:type="dxa" w:w="9360"/>
            <w:shd w:val="clear" w:color="auto" w:fill="F1F5F9"/>
          </w:tcPr>
          <w:p>
            <w:r/>
            <w:r>
              <w:rPr>
                <w:rFonts w:ascii="Consolas" w:hAnsi="Consolas"/>
                <w:color w:val="0F172A"/>
                <w:sz w:val="20"/>
              </w:rPr>
              <w:t>sudo apt install -y xvfb</w:t>
            </w:r>
          </w:p>
          <w:p>
            <w:r>
              <w:rPr>
                <w:rFonts w:ascii="Consolas" w:hAnsi="Consolas"/>
                <w:color w:val="0F172A"/>
                <w:sz w:val="20"/>
              </w:rPr>
              <w:t>xvfb-run npm test</w:t>
            </w:r>
          </w:p>
        </w:tc>
      </w:tr>
    </w:tbl>
    <w:p/>
    <w:p>
      <w:pPr>
        <w:pStyle w:val="Heading1"/>
      </w:pPr>
      <w:r>
        <w:t>6. pytest plugin</w:t>
      </w:r>
    </w:p>
    <w:p>
      <w:r>
        <w:t>Required on any CI worker or dev box that runs real test suites and reports results to ReportStack.</w:t>
      </w:r>
    </w:p>
    <w:tbl>
      <w:tblPr>
        <w:tblW w:type="auto" w:w="0"/>
        <w:jc w:val="left"/>
        <w:tblLook w:firstColumn="1" w:firstRow="1" w:lastColumn="0" w:lastRow="0" w:noHBand="0" w:noVBand="1" w:val="04A0"/>
      </w:tblPr>
      <w:tblGrid>
        <w:gridCol w:w="8640"/>
      </w:tblGrid>
      <w:tr>
        <w:tc>
          <w:tcPr>
            <w:tcW w:type="dxa" w:w="9360"/>
            <w:shd w:val="clear" w:color="auto" w:fill="F1F5F9"/>
          </w:tcPr>
          <w:p>
            <w:r/>
            <w:r>
              <w:rPr>
                <w:rFonts w:ascii="Consolas" w:hAnsi="Consolas"/>
                <w:color w:val="0F172A"/>
                <w:sz w:val="20"/>
              </w:rPr>
              <w:t>pip install -e plugins/pytest-automation-reports/</w:t>
            </w:r>
          </w:p>
        </w:tc>
      </w:tr>
    </w:tbl>
    <w:p/>
    <w:p>
      <w:r>
        <w:t>Depends on pytest ≥ 7.0, requests, and Pillow (screenshots). Selenium and Playwright Python bindings are picked up at runtime if your tests use them — the plugin doesn't pin them.</w:t>
      </w:r>
    </w:p>
    <w:p>
      <w:pPr>
        <w:pStyle w:val="Heading1"/>
      </w:pPr>
      <w:r>
        <w:t>7. Telegram bot env vars</w:t>
      </w:r>
    </w:p>
    <w:p>
      <w:r>
        <w:t>The bot/ container is in the compose file but won't start cleanly without these. Drop them in .env next to docker-compose.yml.</w:t>
      </w:r>
    </w:p>
    <w:tbl>
      <w:tblPr>
        <w:tblStyle w:val="LightGrid-Accent1"/>
        <w:tblW w:type="auto" w:w="0"/>
        <w:jc w:val="left"/>
        <w:tblLook w:firstColumn="1" w:firstRow="1" w:lastColumn="0" w:lastRow="0" w:noHBand="0" w:noVBand="1" w:val="04A0"/>
      </w:tblPr>
      <w:tblGrid>
        <w:gridCol w:w="4320"/>
        <w:gridCol w:w="4320"/>
      </w:tblGrid>
      <w:tr>
        <w:tc>
          <w:tcPr>
            <w:tcW w:type="dxa" w:w="3168"/>
          </w:tcPr>
          <w:p>
            <w:r>
              <w:rPr>
                <w:b/>
                <w:sz w:val="20"/>
              </w:rPr>
              <w:t>Env var</w:t>
            </w:r>
          </w:p>
        </w:tc>
        <w:tc>
          <w:tcPr>
            <w:tcW w:type="dxa" w:w="6192"/>
          </w:tcPr>
          <w:p>
            <w:r>
              <w:rPr>
                <w:b/>
                <w:sz w:val="20"/>
              </w:rPr>
              <w:t>Where to get it</w:t>
            </w:r>
          </w:p>
        </w:tc>
      </w:tr>
      <w:tr>
        <w:tc>
          <w:tcPr>
            <w:tcW w:type="dxa" w:w="3168"/>
          </w:tcPr>
          <w:p>
            <w:r>
              <w:rPr>
                <w:sz w:val="20"/>
              </w:rPr>
              <w:t>TELEGRAM_BOT_TOKEN</w:t>
            </w:r>
          </w:p>
        </w:tc>
        <w:tc>
          <w:tcPr>
            <w:tcW w:type="dxa" w:w="6192"/>
          </w:tcPr>
          <w:p>
            <w:r>
              <w:rPr>
                <w:sz w:val="20"/>
              </w:rPr>
              <w:t>@BotFather on Telegram</w:t>
            </w:r>
          </w:p>
        </w:tc>
      </w:tr>
      <w:tr>
        <w:tc>
          <w:tcPr>
            <w:tcW w:type="dxa" w:w="3168"/>
          </w:tcPr>
          <w:p>
            <w:r>
              <w:rPr>
                <w:sz w:val="20"/>
              </w:rPr>
              <w:t>ANTHROPIC_API_KEY</w:t>
            </w:r>
          </w:p>
        </w:tc>
        <w:tc>
          <w:tcPr>
            <w:tcW w:type="dxa" w:w="6192"/>
          </w:tcPr>
          <w:p>
            <w:r>
              <w:rPr>
                <w:sz w:val="20"/>
              </w:rPr>
              <w:t>console.anthropic.com</w:t>
            </w:r>
          </w:p>
        </w:tc>
      </w:tr>
      <w:tr>
        <w:tc>
          <w:tcPr>
            <w:tcW w:type="dxa" w:w="3168"/>
          </w:tcPr>
          <w:p>
            <w:r>
              <w:rPr>
                <w:sz w:val="20"/>
              </w:rPr>
              <w:t>CLAUDE_MODEL</w:t>
            </w:r>
          </w:p>
        </w:tc>
        <w:tc>
          <w:tcPr>
            <w:tcW w:type="dxa" w:w="6192"/>
          </w:tcPr>
          <w:p>
            <w:r>
              <w:rPr>
                <w:sz w:val="20"/>
              </w:rPr>
              <w:t>Optional, default claude-sonnet-4-20250514</w:t>
            </w:r>
          </w:p>
        </w:tc>
      </w:tr>
      <w:tr>
        <w:tc>
          <w:tcPr>
            <w:tcW w:type="dxa" w:w="3168"/>
          </w:tcPr>
          <w:p>
            <w:r>
              <w:rPr>
                <w:sz w:val="20"/>
              </w:rPr>
              <w:t>ALLOWED_USER_IDS</w:t>
            </w:r>
          </w:p>
        </w:tc>
        <w:tc>
          <w:tcPr>
            <w:tcW w:type="dxa" w:w="6192"/>
          </w:tcPr>
          <w:p>
            <w:r>
              <w:rPr>
                <w:sz w:val="20"/>
              </w:rPr>
              <w:t>Comma-separated Telegram numeric IDs; empty = open to all</w:t>
            </w:r>
          </w:p>
        </w:tc>
      </w:tr>
      <w:tr>
        <w:tc>
          <w:tcPr>
            <w:tcW w:type="dxa" w:w="3168"/>
          </w:tcPr>
          <w:p>
            <w:r>
              <w:rPr>
                <w:sz w:val="20"/>
              </w:rPr>
              <w:t>AR_BACKEND_URL</w:t>
            </w:r>
          </w:p>
        </w:tc>
        <w:tc>
          <w:tcPr>
            <w:tcW w:type="dxa" w:w="6192"/>
          </w:tcPr>
          <w:p>
            <w:r>
              <w:rPr>
                <w:sz w:val="20"/>
              </w:rPr>
              <w:t>http://backend:8000/api/v1 (Docker DNS)</w:t>
            </w:r>
          </w:p>
        </w:tc>
      </w:tr>
      <w:tr>
        <w:tc>
          <w:tcPr>
            <w:tcW w:type="dxa" w:w="3168"/>
          </w:tcPr>
          <w:p>
            <w:r>
              <w:rPr>
                <w:sz w:val="20"/>
              </w:rPr>
              <w:t>AR_FRONTEND_URL</w:t>
            </w:r>
          </w:p>
        </w:tc>
        <w:tc>
          <w:tcPr>
            <w:tcW w:type="dxa" w:w="6192"/>
          </w:tcPr>
          <w:p>
            <w:r>
              <w:rPr>
                <w:sz w:val="20"/>
              </w:rPr>
              <w:t>External dashboard URL (used in clickable bot links)</w:t>
            </w:r>
          </w:p>
        </w:tc>
      </w:tr>
    </w:tbl>
    <w:p/>
    <w:p>
      <w:pPr>
        <w:pStyle w:val="Heading1"/>
      </w:pPr>
      <w:r>
        <w:t>8. Secrets and config</w:t>
      </w:r>
    </w:p>
    <w:tbl>
      <w:tblPr>
        <w:tblStyle w:val="LightGrid-Accent1"/>
        <w:tblW w:type="auto" w:w="0"/>
        <w:jc w:val="left"/>
        <w:tblLook w:firstColumn="1" w:firstRow="1" w:lastColumn="0" w:lastRow="0" w:noHBand="0" w:noVBand="1" w:val="04A0"/>
      </w:tblPr>
      <w:tblGrid>
        <w:gridCol w:w="4320"/>
        <w:gridCol w:w="4320"/>
      </w:tblGrid>
      <w:tr>
        <w:tc>
          <w:tcPr>
            <w:tcW w:type="dxa" w:w="3744"/>
          </w:tcPr>
          <w:p>
            <w:r>
              <w:rPr>
                <w:b/>
                <w:sz w:val="20"/>
              </w:rPr>
              <w:t>File / var</w:t>
            </w:r>
          </w:p>
        </w:tc>
        <w:tc>
          <w:tcPr>
            <w:tcW w:type="dxa" w:w="5616"/>
          </w:tcPr>
          <w:p>
            <w:r>
              <w:rPr>
                <w:b/>
                <w:sz w:val="20"/>
              </w:rPr>
              <w:t>Purpose</w:t>
            </w:r>
          </w:p>
        </w:tc>
      </w:tr>
      <w:tr>
        <w:tc>
          <w:tcPr>
            <w:tcW w:type="dxa" w:w="3744"/>
          </w:tcPr>
          <w:p>
            <w:r>
              <w:rPr>
                <w:sz w:val="20"/>
              </w:rPr>
              <w:t>.env (root)</w:t>
            </w:r>
          </w:p>
        </w:tc>
        <w:tc>
          <w:tcPr>
            <w:tcW w:type="dxa" w:w="5616"/>
          </w:tcPr>
          <w:p>
            <w:r>
              <w:rPr>
                <w:sz w:val="20"/>
              </w:rPr>
              <w:t>Compose pulls this automatically; never commit it</w:t>
            </w:r>
          </w:p>
        </w:tc>
      </w:tr>
      <w:tr>
        <w:tc>
          <w:tcPr>
            <w:tcW w:type="dxa" w:w="3744"/>
          </w:tcPr>
          <w:p>
            <w:r>
              <w:rPr>
                <w:sz w:val="20"/>
              </w:rPr>
              <w:t>JWT_SECRET</w:t>
            </w:r>
          </w:p>
        </w:tc>
        <w:tc>
          <w:tcPr>
            <w:tcW w:type="dxa" w:w="5616"/>
          </w:tcPr>
          <w:p>
            <w:r>
              <w:rPr>
                <w:sz w:val="20"/>
              </w:rPr>
              <w:t>Signs auth tokens. Generate with openssl rand -hex 32.</w:t>
            </w:r>
          </w:p>
        </w:tc>
      </w:tr>
      <w:tr>
        <w:tc>
          <w:tcPr>
            <w:tcW w:type="dxa" w:w="3744"/>
          </w:tcPr>
          <w:p>
            <w:r>
              <w:rPr>
                <w:sz w:val="20"/>
              </w:rPr>
              <w:t>MINIO_ACCESS_KEY / SECRET_KEY</w:t>
            </w:r>
          </w:p>
        </w:tc>
        <w:tc>
          <w:tcPr>
            <w:tcW w:type="dxa" w:w="5616"/>
          </w:tcPr>
          <w:p>
            <w:r>
              <w:rPr>
                <w:sz w:val="20"/>
              </w:rPr>
              <w:t>Default minioadmin works internal-only; rotate for anything internet-facing</w:t>
            </w:r>
          </w:p>
        </w:tc>
      </w:tr>
      <w:tr>
        <w:tc>
          <w:tcPr>
            <w:tcW w:type="dxa" w:w="3744"/>
          </w:tcPr>
          <w:p>
            <w:r>
              <w:rPr>
                <w:sz w:val="20"/>
              </w:rPr>
              <w:t>OLLAMA_BASE_URL</w:t>
            </w:r>
          </w:p>
        </w:tc>
        <w:tc>
          <w:tcPr>
            <w:tcW w:type="dxa" w:w="5616"/>
          </w:tcPr>
          <w:p>
            <w:r>
              <w:rPr>
                <w:sz w:val="20"/>
              </w:rPr>
              <w:t>http://ollama:11434 inside the Docker network</w:t>
            </w:r>
          </w:p>
        </w:tc>
      </w:tr>
      <w:tr>
        <w:tc>
          <w:tcPr>
            <w:tcW w:type="dxa" w:w="3744"/>
          </w:tcPr>
          <w:p>
            <w:r>
              <w:rPr>
                <w:sz w:val="20"/>
              </w:rPr>
              <w:t>DATABASE_URL</w:t>
            </w:r>
          </w:p>
        </w:tc>
        <w:tc>
          <w:tcPr>
            <w:tcW w:type="dxa" w:w="5616"/>
          </w:tcPr>
          <w:p>
            <w:r>
              <w:rPr>
                <w:sz w:val="20"/>
              </w:rPr>
              <w:t>postgresql://postgres:postgres@db:5432/automation_reports</w:t>
            </w:r>
          </w:p>
        </w:tc>
      </w:tr>
    </w:tbl>
    <w:p/>
    <w:p>
      <w:r>
        <w:t>There is already an .env.example in the repo; copy from it.</w:t>
      </w:r>
    </w:p>
    <w:p>
      <w:pPr>
        <w:pStyle w:val="Heading1"/>
      </w:pPr>
      <w:r>
        <w:t>9. Network ports</w:t>
      </w:r>
    </w:p>
    <w:tbl>
      <w:tblPr>
        <w:tblStyle w:val="LightGrid-Accent1"/>
        <w:tblW w:type="auto" w:w="0"/>
        <w:jc w:val="left"/>
        <w:tblLook w:firstColumn="1" w:firstRow="1" w:lastColumn="0" w:lastRow="0" w:noHBand="0" w:noVBand="1" w:val="04A0"/>
      </w:tblPr>
      <w:tblGrid>
        <w:gridCol w:w="2880"/>
        <w:gridCol w:w="2880"/>
        <w:gridCol w:w="2880"/>
      </w:tblGrid>
      <w:tr>
        <w:tc>
          <w:tcPr>
            <w:tcW w:type="dxa" w:w="1440"/>
          </w:tcPr>
          <w:p>
            <w:r>
              <w:rPr>
                <w:b/>
                <w:sz w:val="20"/>
              </w:rPr>
              <w:t>Port</w:t>
            </w:r>
          </w:p>
        </w:tc>
        <w:tc>
          <w:tcPr>
            <w:tcW w:type="dxa" w:w="3600"/>
          </w:tcPr>
          <w:p>
            <w:r>
              <w:rPr>
                <w:b/>
                <w:sz w:val="20"/>
              </w:rPr>
              <w:t>Service</w:t>
            </w:r>
          </w:p>
        </w:tc>
        <w:tc>
          <w:tcPr>
            <w:tcW w:type="dxa" w:w="4320"/>
          </w:tcPr>
          <w:p>
            <w:r>
              <w:rPr>
                <w:b/>
                <w:sz w:val="20"/>
              </w:rPr>
              <w:t>Bind recommendation</w:t>
            </w:r>
          </w:p>
        </w:tc>
      </w:tr>
      <w:tr>
        <w:tc>
          <w:tcPr>
            <w:tcW w:type="dxa" w:w="1440"/>
          </w:tcPr>
          <w:p>
            <w:r>
              <w:rPr>
                <w:sz w:val="20"/>
              </w:rPr>
              <w:t>3000</w:t>
            </w:r>
          </w:p>
        </w:tc>
        <w:tc>
          <w:tcPr>
            <w:tcW w:type="dxa" w:w="3600"/>
          </w:tcPr>
          <w:p>
            <w:r>
              <w:rPr>
                <w:sz w:val="20"/>
              </w:rPr>
              <w:t>Frontend (nginx)</w:t>
            </w:r>
          </w:p>
        </w:tc>
        <w:tc>
          <w:tcPr>
            <w:tcW w:type="dxa" w:w="4320"/>
          </w:tcPr>
          <w:p>
            <w:r>
              <w:rPr>
                <w:sz w:val="20"/>
              </w:rPr>
              <w:t>Public if behind internal proxy</w:t>
            </w:r>
          </w:p>
        </w:tc>
      </w:tr>
      <w:tr>
        <w:tc>
          <w:tcPr>
            <w:tcW w:type="dxa" w:w="1440"/>
          </w:tcPr>
          <w:p>
            <w:r>
              <w:rPr>
                <w:sz w:val="20"/>
              </w:rPr>
              <w:t>8000</w:t>
            </w:r>
          </w:p>
        </w:tc>
        <w:tc>
          <w:tcPr>
            <w:tcW w:type="dxa" w:w="3600"/>
          </w:tcPr>
          <w:p>
            <w:r>
              <w:rPr>
                <w:sz w:val="20"/>
              </w:rPr>
              <w:t>Backend (FastAPI)</w:t>
            </w:r>
          </w:p>
        </w:tc>
        <w:tc>
          <w:tcPr>
            <w:tcW w:type="dxa" w:w="4320"/>
          </w:tcPr>
          <w:p>
            <w:r>
              <w:rPr>
                <w:sz w:val="20"/>
              </w:rPr>
              <w:t>Public if same-origin from frontend</w:t>
            </w:r>
          </w:p>
        </w:tc>
      </w:tr>
      <w:tr>
        <w:tc>
          <w:tcPr>
            <w:tcW w:type="dxa" w:w="1440"/>
          </w:tcPr>
          <w:p>
            <w:r>
              <w:rPr>
                <w:sz w:val="20"/>
              </w:rPr>
              <w:t>5432</w:t>
            </w:r>
          </w:p>
        </w:tc>
        <w:tc>
          <w:tcPr>
            <w:tcW w:type="dxa" w:w="3600"/>
          </w:tcPr>
          <w:p>
            <w:r>
              <w:rPr>
                <w:sz w:val="20"/>
              </w:rPr>
              <w:t>PostgreSQL</w:t>
            </w:r>
          </w:p>
        </w:tc>
        <w:tc>
          <w:tcPr>
            <w:tcW w:type="dxa" w:w="4320"/>
          </w:tcPr>
          <w:p>
            <w:r>
              <w:rPr>
                <w:sz w:val="20"/>
              </w:rPr>
              <w:t>127.0.0.1 only</w:t>
            </w:r>
          </w:p>
        </w:tc>
      </w:tr>
      <w:tr>
        <w:tc>
          <w:tcPr>
            <w:tcW w:type="dxa" w:w="1440"/>
          </w:tcPr>
          <w:p>
            <w:r>
              <w:rPr>
                <w:sz w:val="20"/>
              </w:rPr>
              <w:t>9000 / 9001</w:t>
            </w:r>
          </w:p>
        </w:tc>
        <w:tc>
          <w:tcPr>
            <w:tcW w:type="dxa" w:w="3600"/>
          </w:tcPr>
          <w:p>
            <w:r>
              <w:rPr>
                <w:sz w:val="20"/>
              </w:rPr>
              <w:t>MinIO (S3 API + console)</w:t>
            </w:r>
          </w:p>
        </w:tc>
        <w:tc>
          <w:tcPr>
            <w:tcW w:type="dxa" w:w="4320"/>
          </w:tcPr>
          <w:p>
            <w:r>
              <w:rPr>
                <w:sz w:val="20"/>
              </w:rPr>
              <w:t>127.0.0.1 or VPN-only</w:t>
            </w:r>
          </w:p>
        </w:tc>
      </w:tr>
      <w:tr>
        <w:tc>
          <w:tcPr>
            <w:tcW w:type="dxa" w:w="1440"/>
          </w:tcPr>
          <w:p>
            <w:r>
              <w:rPr>
                <w:sz w:val="20"/>
              </w:rPr>
              <w:t>11434</w:t>
            </w:r>
          </w:p>
        </w:tc>
        <w:tc>
          <w:tcPr>
            <w:tcW w:type="dxa" w:w="3600"/>
          </w:tcPr>
          <w:p>
            <w:r>
              <w:rPr>
                <w:sz w:val="20"/>
              </w:rPr>
              <w:t>Ollama</w:t>
            </w:r>
          </w:p>
        </w:tc>
        <w:tc>
          <w:tcPr>
            <w:tcW w:type="dxa" w:w="4320"/>
          </w:tcPr>
          <w:p>
            <w:r>
              <w:rPr>
                <w:sz w:val="20"/>
              </w:rPr>
              <w:t>127.0.0.1 only</w:t>
            </w:r>
          </w:p>
        </w:tc>
      </w:tr>
    </w:tbl>
    <w:p/>
    <w:p>
      <w:r>
        <w:t>If the company internal proxy fronts the dashboard, only 3000 needs to be externally reachable; everything else stays on the loopback or Docker bridge network.</w:t>
      </w:r>
    </w:p>
    <w:p>
      <w:pPr>
        <w:pStyle w:val="Heading1"/>
      </w:pPr>
      <w:r>
        <w:t>10. Jenkins integration (optional)</w:t>
      </w:r>
    </w:p>
    <w:p>
      <w:r>
        <w:t>Already covered in cicd-skill.md — Jenkins runs in its own Docker container with its own JDK. The CI prerequisites that touch ReportStack:</w:t>
      </w:r>
    </w:p>
    <w:p>
      <w:pPr>
        <w:pStyle w:val="ListBullet"/>
        <w:spacing w:after="40"/>
      </w:pPr>
      <w:r>
        <w:t>A Jenkins Secret-text credential AR_TOKEN, created via POST /api/v1/auth/users with an integration user.</w:t>
      </w:r>
    </w:p>
    <w:p>
      <w:pPr>
        <w:pStyle w:val="ListBullet"/>
        <w:spacing w:after="40"/>
      </w:pPr>
      <w:r>
        <w:t>A Jenkins Secret-text credential AR_URL set to the internal API URL.</w:t>
      </w:r>
    </w:p>
    <w:p>
      <w:pPr>
        <w:pStyle w:val="ListBullet"/>
        <w:spacing w:after="40"/>
      </w:pPr>
      <w:r>
        <w:t>A pipeline shell step that installs the pytest plugin and passes --ar-url=$AR_URL --ar-launch-name="$JOB_NAME #$BUILD_NUMBER" --ar-auto-analyze.</w:t>
      </w:r>
    </w:p>
    <w:p>
      <w:r>
        <w:t>The User Guide § Scenario 6 has a copy-pasteable Jenkinsfile fragment.</w:t>
      </w:r>
    </w:p>
    <w:p>
      <w:pPr>
        <w:pStyle w:val="Heading1"/>
      </w:pPr>
      <w:r>
        <w:t>11. Quick deploy — the happy path</w:t>
      </w:r>
    </w:p>
    <w:p>
      <w:r>
        <w:t>Once the prereqs are satisfied, the sequence below brings the full stack up.</w:t>
      </w:r>
    </w:p>
    <w:tbl>
      <w:tblPr>
        <w:tblW w:type="auto" w:w="0"/>
        <w:jc w:val="left"/>
        <w:tblLook w:firstColumn="1" w:firstRow="1" w:lastColumn="0" w:lastRow="0" w:noHBand="0" w:noVBand="1" w:val="04A0"/>
      </w:tblPr>
      <w:tblGrid>
        <w:gridCol w:w="8640"/>
      </w:tblGrid>
      <w:tr>
        <w:tc>
          <w:tcPr>
            <w:tcW w:type="dxa" w:w="9360"/>
            <w:shd w:val="clear" w:color="auto" w:fill="F1F5F9"/>
          </w:tcPr>
          <w:p>
            <w:r/>
            <w:r>
              <w:rPr>
                <w:rFonts w:ascii="Consolas" w:hAnsi="Consolas"/>
                <w:color w:val="0F172A"/>
                <w:sz w:val="20"/>
              </w:rPr>
              <w:t>ssh user@twd00030</w:t>
            </w:r>
          </w:p>
          <w:p>
            <w:r>
              <w:rPr>
                <w:rFonts w:ascii="Consolas" w:hAnsi="Consolas"/>
                <w:color w:val="0F172A"/>
                <w:sz w:val="20"/>
              </w:rPr>
              <w:t>cd ~/automation-reports</w:t>
            </w:r>
          </w:p>
          <w:p>
            <w:r>
              <w:rPr>
                <w:rFonts w:ascii="Consolas" w:hAnsi="Consolas"/>
                <w:color w:val="0F172A"/>
                <w:sz w:val="20"/>
              </w:rPr>
              <w:t>git pull origin main</w:t>
            </w:r>
          </w:p>
          <w:p>
            <w:r>
              <w:rPr>
                <w:rFonts w:ascii="Consolas" w:hAnsi="Consolas"/>
                <w:color w:val="0F172A"/>
                <w:sz w:val="20"/>
              </w:rPr>
            </w:r>
          </w:p>
          <w:p>
            <w:r>
              <w:rPr>
                <w:rFonts w:ascii="Consolas" w:hAnsi="Consolas"/>
                <w:color w:val="0F172A"/>
                <w:sz w:val="20"/>
              </w:rPr>
              <w:t># secrets — edit values</w:t>
            </w:r>
          </w:p>
          <w:p>
            <w:r>
              <w:rPr>
                <w:rFonts w:ascii="Consolas" w:hAnsi="Consolas"/>
                <w:color w:val="0F172A"/>
                <w:sz w:val="20"/>
              </w:rPr>
              <w:t>cp .env.example .env</w:t>
            </w:r>
          </w:p>
          <w:p>
            <w:r>
              <w:rPr>
                <w:rFonts w:ascii="Consolas" w:hAnsi="Consolas"/>
                <w:color w:val="0F172A"/>
                <w:sz w:val="20"/>
              </w:rPr>
              <w:t>${EDITOR:-vim} .env</w:t>
            </w:r>
          </w:p>
          <w:p>
            <w:r>
              <w:rPr>
                <w:rFonts w:ascii="Consolas" w:hAnsi="Consolas"/>
                <w:color w:val="0F172A"/>
                <w:sz w:val="20"/>
              </w:rPr>
            </w:r>
          </w:p>
          <w:p>
            <w:r>
              <w:rPr>
                <w:rFonts w:ascii="Consolas" w:hAnsi="Consolas"/>
                <w:color w:val="0F172A"/>
                <w:sz w:val="20"/>
              </w:rPr>
              <w:t># build images and bring everything up</w:t>
            </w:r>
          </w:p>
          <w:p>
            <w:r>
              <w:rPr>
                <w:rFonts w:ascii="Consolas" w:hAnsi="Consolas"/>
                <w:color w:val="0F172A"/>
                <w:sz w:val="20"/>
              </w:rPr>
              <w:t>docker compose up -d --build</w:t>
            </w:r>
          </w:p>
          <w:p>
            <w:r>
              <w:rPr>
                <w:rFonts w:ascii="Consolas" w:hAnsi="Consolas"/>
                <w:color w:val="0F172A"/>
                <w:sz w:val="20"/>
              </w:rPr>
              <w:t>docker compose exec ollama ollama pull mistral:7b   # one-off</w:t>
            </w:r>
          </w:p>
          <w:p>
            <w:r>
              <w:rPr>
                <w:rFonts w:ascii="Consolas" w:hAnsi="Consolas"/>
                <w:color w:val="0F172A"/>
                <w:sz w:val="20"/>
              </w:rPr>
            </w:r>
          </w:p>
          <w:p>
            <w:r>
              <w:rPr>
                <w:rFonts w:ascii="Consolas" w:hAnsi="Consolas"/>
                <w:color w:val="0F172A"/>
                <w:sz w:val="20"/>
              </w:rPr>
              <w:t># run migrations</w:t>
            </w:r>
          </w:p>
          <w:p>
            <w:r>
              <w:rPr>
                <w:rFonts w:ascii="Consolas" w:hAnsi="Consolas"/>
                <w:color w:val="0F172A"/>
                <w:sz w:val="20"/>
              </w:rPr>
              <w:t>docker compose exec backend alembic upgrade head</w:t>
            </w:r>
          </w:p>
          <w:p>
            <w:r>
              <w:rPr>
                <w:rFonts w:ascii="Consolas" w:hAnsi="Consolas"/>
                <w:color w:val="0F172A"/>
                <w:sz w:val="20"/>
              </w:rPr>
            </w:r>
          </w:p>
          <w:p>
            <w:r>
              <w:rPr>
                <w:rFonts w:ascii="Consolas" w:hAnsi="Consolas"/>
                <w:color w:val="0F172A"/>
                <w:sz w:val="20"/>
              </w:rPr>
              <w:t># health check</w:t>
            </w:r>
          </w:p>
          <w:p>
            <w:r>
              <w:rPr>
                <w:rFonts w:ascii="Consolas" w:hAnsi="Consolas"/>
                <w:color w:val="0F172A"/>
                <w:sz w:val="20"/>
              </w:rPr>
              <w:t>curl -fsS http://localhost:8000/api/v1/launches/</w:t>
            </w:r>
          </w:p>
          <w:p>
            <w:r>
              <w:rPr>
                <w:rFonts w:ascii="Consolas" w:hAnsi="Consolas"/>
                <w:color w:val="0F172A"/>
                <w:sz w:val="20"/>
              </w:rPr>
              <w:t>curl -fsS http://localhost:3000/</w:t>
            </w:r>
          </w:p>
          <w:p>
            <w:r>
              <w:rPr>
                <w:rFonts w:ascii="Consolas" w:hAnsi="Consolas"/>
                <w:color w:val="0F172A"/>
                <w:sz w:val="20"/>
              </w:rPr>
            </w:r>
          </w:p>
          <w:p>
            <w:r>
              <w:rPr>
                <w:rFonts w:ascii="Consolas" w:hAnsi="Consolas"/>
                <w:color w:val="0F172A"/>
                <w:sz w:val="20"/>
              </w:rPr>
              <w:t># (optional) run the e2e suite against the live stack</w:t>
            </w:r>
          </w:p>
          <w:p>
            <w:r>
              <w:rPr>
                <w:rFonts w:ascii="Consolas" w:hAnsi="Consolas"/>
                <w:color w:val="0F172A"/>
                <w:sz w:val="20"/>
              </w:rPr>
              <w:t>cd tests/e2e</w:t>
            </w:r>
          </w:p>
          <w:p>
            <w:r>
              <w:rPr>
                <w:rFonts w:ascii="Consolas" w:hAnsi="Consolas"/>
                <w:color w:val="0F172A"/>
                <w:sz w:val="20"/>
              </w:rPr>
              <w:t>npm install &amp;&amp; npx playwright install chromium &amp;&amp; npx playwright install-deps</w:t>
            </w:r>
          </w:p>
          <w:p>
            <w:r>
              <w:rPr>
                <w:rFonts w:ascii="Consolas" w:hAnsi="Consolas"/>
                <w:color w:val="0F172A"/>
                <w:sz w:val="20"/>
              </w:rPr>
              <w:t>RS_FRONTEND_URL=http://localhost:3000 \</w:t>
            </w:r>
          </w:p>
          <w:p>
            <w:r>
              <w:rPr>
                <w:rFonts w:ascii="Consolas" w:hAnsi="Consolas"/>
                <w:color w:val="0F172A"/>
                <w:sz w:val="20"/>
              </w:rPr>
              <w:t xml:space="preserve">  RS_API_URL=http://localhost:8000/api/v1 \</w:t>
            </w:r>
          </w:p>
          <w:p>
            <w:r>
              <w:rPr>
                <w:rFonts w:ascii="Consolas" w:hAnsi="Consolas"/>
                <w:color w:val="0F172A"/>
                <w:sz w:val="20"/>
              </w:rPr>
              <w:t xml:space="preserve">  npm test</w:t>
            </w:r>
          </w:p>
        </w:tc>
      </w:tr>
    </w:tbl>
    <w:p/>
    <w:tbl>
      <w:tblPr>
        <w:tblW w:type="auto" w:w="0"/>
        <w:jc w:val="left"/>
        <w:tblLook w:firstColumn="1" w:firstRow="1" w:lastColumn="0" w:lastRow="0" w:noHBand="0" w:noVBand="1" w:val="04A0"/>
      </w:tblPr>
      <w:tblGrid>
        <w:gridCol w:w="8640"/>
      </w:tblGrid>
      <w:tr>
        <w:tc>
          <w:tcPr>
            <w:tcW w:type="dxa" w:w="9360"/>
            <w:shd w:val="clear" w:color="auto" w:fill="DBEAFE"/>
          </w:tcPr>
          <w:p>
            <w:r/>
            <w:r>
              <w:rPr>
                <w:b/>
                <w:color w:val="1E40AF"/>
              </w:rPr>
              <w:t xml:space="preserve">Tip  </w:t>
            </w:r>
            <w:r>
              <w:rPr>
                <w:sz w:val="21"/>
              </w:rPr>
              <w:t>If any of the curls fail, see cicd-skill.md § Common operations / Gotchas, or run docker compose logs --tail 100 &lt;service-name&gt; to inspect.</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172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E40A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E40A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