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Collision Forecast and Risk Brief</w:t>
      </w:r>
    </w:p>
    <w:p>
      <w:r>
        <w:t>NorthLedger Insights - automated analysis</w:t>
      </w:r>
    </w:p>
    <w:p>
      <w:r>
        <w:t>NYC collision brief: 60,000 collisions and 34,155 injuries over 2025-09-25 to 2026-06-11. OLS trend + seasonality forecast (tool MAPE 10.8% daily-scale) projects roughly 108,000 collisions over the next 12 months with an 80% band of 81,000-136,000; the seasonal-naive baseline (7,290/month, backtest MAPE 4.95%) slightly outperformed the trend model (7.07%) on a short 4-month backtest, so treat the naive floor as the planning floor. Driver inattention is the top injury driver (8,510 injuries) and Brooklyn the top borough (9,108 injuries, 26.7% of total).</w:t>
      </w:r>
    </w:p>
    <w:p>
      <w:pPr>
        <w:pStyle w:val="Heading1"/>
      </w:pPr>
      <w:r>
        <w:t>Headline numbers (from 60,000 rows, all queried)</w:t>
      </w:r>
    </w:p>
    <w:p>
      <w:pPr>
        <w:pStyle w:val="ListBullet"/>
      </w:pPr>
      <w:r>
        <w:t>60,000 collisions and 34,155 persons injured recorded between 2025-09-25 and 2026-06-11 (260 consecutive days, zero missing days).</w:t>
      </w:r>
    </w:p>
    <w:p>
      <w:pPr>
        <w:pStyle w:val="ListBullet"/>
      </w:pPr>
      <w:r>
        <w:t>25,609 collisions (42.7%) injured at least one person; overall rate 56.9 injuries per 100 collisions.</w:t>
      </w:r>
    </w:p>
    <w:p>
      <w:pPr>
        <w:pStyle w:val="ListBullet"/>
      </w:pPr>
      <w:r>
        <w:t>Average complete month: 7,520 collisions and 3,968 injuries (8 full months, Oct 2025 - May 2026).</w:t>
      </w:r>
    </w:p>
    <w:p>
      <w:pPr>
        <w:pStyle w:val="ListBullet"/>
      </w:pPr>
      <w:r>
        <w:t>Two named drivers dominate harm: Driver Inattention/Distraction (8,510 injuries) and Failure to Yield Right-of-Way (3,394 injuries).</w:t>
      </w:r>
    </w:p>
    <w:p>
      <w:pPr>
        <w:pStyle w:val="ListBullet"/>
      </w:pPr>
      <w:r>
        <w:t>Brooklyn alone carries 26.7% of all injuries (9,108), more than Manhattan and the Bronx combined.</w:t>
      </w:r>
    </w:p>
    <w:p>
      <w:pPr>
        <w:pStyle w:val="Heading1"/>
      </w:pPr>
      <w:r>
        <w:t>Monthly collision and injury history (from earliest available 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Collisions</w:t>
            </w:r>
          </w:p>
        </w:tc>
        <w:tc>
          <w:tcPr>
            <w:tcW w:type="dxa" w:w="2160"/>
          </w:tcPr>
          <w:p>
            <w:r>
              <w:t>Persons injured</w:t>
            </w:r>
          </w:p>
        </w:tc>
        <w:tc>
          <w:tcPr>
            <w:tcW w:type="dxa" w:w="2160"/>
          </w:tcPr>
          <w:p>
            <w:r>
              <w:t>Days covered</w:t>
            </w:r>
          </w:p>
        </w:tc>
      </w:tr>
      <w:tr>
        <w:tc>
          <w:tcPr>
            <w:tcW w:type="dxa" w:w="2160"/>
          </w:tcPr>
          <w:p>
            <w:r>
              <w:t>2025-09</w:t>
            </w:r>
          </w:p>
        </w:tc>
        <w:tc>
          <w:tcPr>
            <w:tcW w:type="dxa" w:w="2160"/>
          </w:tcPr>
          <w:p>
            <w:r>
              <w:t>1,514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6 (partial)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7,537</w:t>
            </w:r>
          </w:p>
        </w:tc>
        <w:tc>
          <w:tcPr>
            <w:tcW w:type="dxa" w:w="2160"/>
          </w:tcPr>
          <w:p>
            <w:r>
              <w:t>4,528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2025-11</w:t>
            </w:r>
          </w:p>
        </w:tc>
        <w:tc>
          <w:tcPr>
            <w:tcW w:type="dxa" w:w="2160"/>
          </w:tcPr>
          <w:p>
            <w:r>
              <w:t>7,148</w:t>
            </w:r>
          </w:p>
        </w:tc>
        <w:tc>
          <w:tcPr>
            <w:tcW w:type="dxa" w:w="2160"/>
          </w:tcPr>
          <w:p>
            <w:r>
              <w:t>4,073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2025-12</w:t>
            </w:r>
          </w:p>
        </w:tc>
        <w:tc>
          <w:tcPr>
            <w:tcW w:type="dxa" w:w="2160"/>
          </w:tcPr>
          <w:p>
            <w:r>
              <w:t>7,377</w:t>
            </w:r>
          </w:p>
        </w:tc>
        <w:tc>
          <w:tcPr>
            <w:tcW w:type="dxa" w:w="2160"/>
          </w:tcPr>
          <w:p>
            <w:r>
              <w:t>4,044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6,773</w:t>
            </w:r>
          </w:p>
        </w:tc>
        <w:tc>
          <w:tcPr>
            <w:tcW w:type="dxa" w:w="2160"/>
          </w:tcPr>
          <w:p>
            <w:r>
              <w:t>3,569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6,492</w:t>
            </w:r>
          </w:p>
        </w:tc>
        <w:tc>
          <w:tcPr>
            <w:tcW w:type="dxa" w:w="2160"/>
          </w:tcPr>
          <w:p>
            <w:r>
              <w:t>3,066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6,759</w:t>
            </w:r>
          </w:p>
        </w:tc>
        <w:tc>
          <w:tcPr>
            <w:tcW w:type="dxa" w:w="2160"/>
          </w:tcPr>
          <w:p>
            <w:r>
              <w:t>3,830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6,665</w:t>
            </w:r>
          </w:p>
        </w:tc>
        <w:tc>
          <w:tcPr>
            <w:tcW w:type="dxa" w:w="2160"/>
          </w:tcPr>
          <w:p>
            <w:r>
              <w:t>3,960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2026-05</w:t>
            </w:r>
          </w:p>
        </w:tc>
        <w:tc>
          <w:tcPr>
            <w:tcW w:type="dxa" w:w="2160"/>
          </w:tcPr>
          <w:p>
            <w:r>
              <w:t>7,413</w:t>
            </w:r>
          </w:p>
        </w:tc>
        <w:tc>
          <w:tcPr>
            <w:tcW w:type="dxa" w:w="2160"/>
          </w:tcPr>
          <w:p>
            <w:r>
              <w:t>4,672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2,322</w:t>
            </w:r>
          </w:p>
        </w:tc>
        <w:tc>
          <w:tcPr>
            <w:tcW w:type="dxa" w:w="2160"/>
          </w:tcPr>
          <w:p>
            <w:r>
              <w:t>1,523</w:t>
            </w:r>
          </w:p>
        </w:tc>
        <w:tc>
          <w:tcPr>
            <w:tcW w:type="dxa" w:w="2160"/>
          </w:tcPr>
          <w:p>
            <w:r>
              <w:t>11 (partial; last 2 days show reporting lag)</w:t>
            </w:r>
          </w:p>
        </w:tc>
      </w:tr>
    </w:tbl>
    <w:p>
      <w:pPr>
        <w:pStyle w:val="Heading1"/>
      </w:pPr>
      <w:r>
        <w:t>12-month collision forecast (July 2026 - June 2027)</w:t>
      </w:r>
    </w:p>
    <w:p>
      <w:r>
        <w:t>Model: OLS trend + monthly seasonality (NorthLedger forecast tool), fitted on 258 fully-reported days (Jun 10-11 excluded as reporting lag: 112 and 12 collisions vs ~244/day trend). In-sample fit error (MAPE) 10.8% at daily scale; monthly-scale cross-check MAPE 4.2%. Bands widen with horizon: treat month 1 as the reliable number.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Forecast collisions</w:t>
            </w:r>
          </w:p>
        </w:tc>
        <w:tc>
          <w:tcPr>
            <w:tcW w:type="dxa" w:w="1728"/>
          </w:tcPr>
          <w:p>
            <w:r>
              <w:t>80% band low</w:t>
            </w:r>
          </w:p>
        </w:tc>
        <w:tc>
          <w:tcPr>
            <w:tcW w:type="dxa" w:w="1728"/>
          </w:tcPr>
          <w:p>
            <w:r>
              <w:t>80% band high</w:t>
            </w:r>
          </w:p>
        </w:tc>
        <w:tc>
          <w:tcPr>
            <w:tcW w:type="dxa" w:w="1728"/>
          </w:tcPr>
          <w:p>
            <w:r>
              <w:t>Seasonal-naive</w:t>
            </w:r>
          </w:p>
        </w:tc>
      </w:tr>
      <w:tr>
        <w:tc>
          <w:tcPr>
            <w:tcW w:type="dxa" w:w="1728"/>
          </w:tcPr>
          <w:p>
            <w:r>
              <w:t>2026-07</w:t>
            </w:r>
          </w:p>
        </w:tc>
        <w:tc>
          <w:tcPr>
            <w:tcW w:type="dxa" w:w="1728"/>
          </w:tcPr>
          <w:p>
            <w:r>
              <w:t>7,470</w:t>
            </w:r>
          </w:p>
        </w:tc>
        <w:tc>
          <w:tcPr>
            <w:tcW w:type="dxa" w:w="1728"/>
          </w:tcPr>
          <w:p>
            <w:r>
              <w:t>6,340</w:t>
            </w:r>
          </w:p>
        </w:tc>
        <w:tc>
          <w:tcPr>
            <w:tcW w:type="dxa" w:w="1728"/>
          </w:tcPr>
          <w:p>
            <w:r>
              <w:t>8,600</w:t>
            </w:r>
          </w:p>
        </w:tc>
        <w:tc>
          <w:tcPr>
            <w:tcW w:type="dxa" w:w="1728"/>
          </w:tcPr>
          <w:p>
            <w:r>
              <w:t>7,290</w:t>
            </w:r>
          </w:p>
        </w:tc>
      </w:tr>
      <w:tr>
        <w:tc>
          <w:tcPr>
            <w:tcW w:type="dxa" w:w="1728"/>
          </w:tcPr>
          <w:p>
            <w:r>
              <w:t>2026-08</w:t>
            </w:r>
          </w:p>
        </w:tc>
        <w:tc>
          <w:tcPr>
            <w:tcW w:type="dxa" w:w="1728"/>
          </w:tcPr>
          <w:p>
            <w:r>
              <w:t>7,720</w:t>
            </w:r>
          </w:p>
        </w:tc>
        <w:tc>
          <w:tcPr>
            <w:tcW w:type="dxa" w:w="1728"/>
          </w:tcPr>
          <w:p>
            <w:r>
              <w:t>6,090</w:t>
            </w:r>
          </w:p>
        </w:tc>
        <w:tc>
          <w:tcPr>
            <w:tcW w:type="dxa" w:w="1728"/>
          </w:tcPr>
          <w:p>
            <w:r>
              <w:t>9,350</w:t>
            </w:r>
          </w:p>
        </w:tc>
        <w:tc>
          <w:tcPr>
            <w:tcW w:type="dxa" w:w="1728"/>
          </w:tcPr>
          <w:p>
            <w:r>
              <w:t>7,290</w:t>
            </w:r>
          </w:p>
        </w:tc>
      </w:tr>
      <w:tr>
        <w:tc>
          <w:tcPr>
            <w:tcW w:type="dxa" w:w="1728"/>
          </w:tcPr>
          <w:p>
            <w:r>
              <w:t>2026-09</w:t>
            </w:r>
          </w:p>
        </w:tc>
        <w:tc>
          <w:tcPr>
            <w:tcW w:type="dxa" w:w="1728"/>
          </w:tcPr>
          <w:p>
            <w:r>
              <w:t>9,800</w:t>
            </w:r>
          </w:p>
        </w:tc>
        <w:tc>
          <w:tcPr>
            <w:tcW w:type="dxa" w:w="1728"/>
          </w:tcPr>
          <w:p>
            <w:r>
              <w:t>7,820</w:t>
            </w:r>
          </w:p>
        </w:tc>
        <w:tc>
          <w:tcPr>
            <w:tcW w:type="dxa" w:w="1728"/>
          </w:tcPr>
          <w:p>
            <w:r>
              <w:t>11,790</w:t>
            </w:r>
          </w:p>
        </w:tc>
        <w:tc>
          <w:tcPr>
            <w:tcW w:type="dxa" w:w="1728"/>
          </w:tcPr>
          <w:p>
            <w:r>
              <w:t>7,290</w:t>
            </w:r>
          </w:p>
        </w:tc>
      </w:tr>
      <w:tr>
        <w:tc>
          <w:tcPr>
            <w:tcW w:type="dxa" w:w="1728"/>
          </w:tcPr>
          <w:p>
            <w:r>
              <w:t>2026-10</w:t>
            </w:r>
          </w:p>
        </w:tc>
        <w:tc>
          <w:tcPr>
            <w:tcW w:type="dxa" w:w="1728"/>
          </w:tcPr>
          <w:p>
            <w:r>
              <w:t>9,520</w:t>
            </w:r>
          </w:p>
        </w:tc>
        <w:tc>
          <w:tcPr>
            <w:tcW w:type="dxa" w:w="1728"/>
          </w:tcPr>
          <w:p>
            <w:r>
              <w:t>7,230</w:t>
            </w:r>
          </w:p>
        </w:tc>
        <w:tc>
          <w:tcPr>
            <w:tcW w:type="dxa" w:w="1728"/>
          </w:tcPr>
          <w:p>
            <w:r>
              <w:t>11,810</w:t>
            </w:r>
          </w:p>
        </w:tc>
        <w:tc>
          <w:tcPr>
            <w:tcW w:type="dxa" w:w="1728"/>
          </w:tcPr>
          <w:p>
            <w:r>
              <w:t>7,540</w:t>
            </w:r>
          </w:p>
        </w:tc>
      </w:tr>
      <w:tr>
        <w:tc>
          <w:tcPr>
            <w:tcW w:type="dxa" w:w="1728"/>
          </w:tcPr>
          <w:p>
            <w:r>
              <w:t>2026-11</w:t>
            </w:r>
          </w:p>
        </w:tc>
        <w:tc>
          <w:tcPr>
            <w:tcW w:type="dxa" w:w="1728"/>
          </w:tcPr>
          <w:p>
            <w:r>
              <w:t>9,400</w:t>
            </w:r>
          </w:p>
        </w:tc>
        <w:tc>
          <w:tcPr>
            <w:tcW w:type="dxa" w:w="1728"/>
          </w:tcPr>
          <w:p>
            <w:r>
              <w:t>6,830</w:t>
            </w:r>
          </w:p>
        </w:tc>
        <w:tc>
          <w:tcPr>
            <w:tcW w:type="dxa" w:w="1728"/>
          </w:tcPr>
          <w:p>
            <w:r>
              <w:t>11,970</w:t>
            </w:r>
          </w:p>
        </w:tc>
        <w:tc>
          <w:tcPr>
            <w:tcW w:type="dxa" w:w="1728"/>
          </w:tcPr>
          <w:p>
            <w:r>
              <w:t>7,150</w:t>
            </w:r>
          </w:p>
        </w:tc>
      </w:tr>
      <w:tr>
        <w:tc>
          <w:tcPr>
            <w:tcW w:type="dxa" w:w="1728"/>
          </w:tcPr>
          <w:p>
            <w:r>
              <w:t>2026-12</w:t>
            </w:r>
          </w:p>
        </w:tc>
        <w:tc>
          <w:tcPr>
            <w:tcW w:type="dxa" w:w="1728"/>
          </w:tcPr>
          <w:p>
            <w:r>
              <w:t>9,390</w:t>
            </w:r>
          </w:p>
        </w:tc>
        <w:tc>
          <w:tcPr>
            <w:tcW w:type="dxa" w:w="1728"/>
          </w:tcPr>
          <w:p>
            <w:r>
              <w:t>6,580</w:t>
            </w:r>
          </w:p>
        </w:tc>
        <w:tc>
          <w:tcPr>
            <w:tcW w:type="dxa" w:w="1728"/>
          </w:tcPr>
          <w:p>
            <w:r>
              <w:t>12,200</w:t>
            </w:r>
          </w:p>
        </w:tc>
        <w:tc>
          <w:tcPr>
            <w:tcW w:type="dxa" w:w="1728"/>
          </w:tcPr>
          <w:p>
            <w:r>
              <w:t>7,380</w:t>
            </w:r>
          </w:p>
        </w:tc>
      </w:tr>
      <w:tr>
        <w:tc>
          <w:tcPr>
            <w:tcW w:type="dxa" w:w="1728"/>
          </w:tcPr>
          <w:p>
            <w:r>
              <w:t>2027-01</w:t>
            </w:r>
          </w:p>
        </w:tc>
        <w:tc>
          <w:tcPr>
            <w:tcW w:type="dxa" w:w="1728"/>
          </w:tcPr>
          <w:p>
            <w:r>
              <w:t>8,850</w:t>
            </w:r>
          </w:p>
        </w:tc>
        <w:tc>
          <w:tcPr>
            <w:tcW w:type="dxa" w:w="1728"/>
          </w:tcPr>
          <w:p>
            <w:r>
              <w:t>5,810</w:t>
            </w:r>
          </w:p>
        </w:tc>
        <w:tc>
          <w:tcPr>
            <w:tcW w:type="dxa" w:w="1728"/>
          </w:tcPr>
          <w:p>
            <w:r>
              <w:t>11,890</w:t>
            </w:r>
          </w:p>
        </w:tc>
        <w:tc>
          <w:tcPr>
            <w:tcW w:type="dxa" w:w="1728"/>
          </w:tcPr>
          <w:p>
            <w:r>
              <w:t>6,770</w:t>
            </w:r>
          </w:p>
        </w:tc>
      </w:tr>
      <w:tr>
        <w:tc>
          <w:tcPr>
            <w:tcW w:type="dxa" w:w="1728"/>
          </w:tcPr>
          <w:p>
            <w:r>
              <w:t>2027-02</w:t>
            </w:r>
          </w:p>
        </w:tc>
        <w:tc>
          <w:tcPr>
            <w:tcW w:type="dxa" w:w="1728"/>
          </w:tcPr>
          <w:p>
            <w:r>
              <w:t>9,220</w:t>
            </w:r>
          </w:p>
        </w:tc>
        <w:tc>
          <w:tcPr>
            <w:tcW w:type="dxa" w:w="1728"/>
          </w:tcPr>
          <w:p>
            <w:r>
              <w:t>5,990</w:t>
            </w:r>
          </w:p>
        </w:tc>
        <w:tc>
          <w:tcPr>
            <w:tcW w:type="dxa" w:w="1728"/>
          </w:tcPr>
          <w:p>
            <w:r>
              <w:t>12,450</w:t>
            </w:r>
          </w:p>
        </w:tc>
        <w:tc>
          <w:tcPr>
            <w:tcW w:type="dxa" w:w="1728"/>
          </w:tcPr>
          <w:p>
            <w:r>
              <w:t>6,490</w:t>
            </w:r>
          </w:p>
        </w:tc>
      </w:tr>
      <w:tr>
        <w:tc>
          <w:tcPr>
            <w:tcW w:type="dxa" w:w="1728"/>
          </w:tcPr>
          <w:p>
            <w:r>
              <w:t>2027-03</w:t>
            </w:r>
          </w:p>
        </w:tc>
        <w:tc>
          <w:tcPr>
            <w:tcW w:type="dxa" w:w="1728"/>
          </w:tcPr>
          <w:p>
            <w:r>
              <w:t>8,830</w:t>
            </w:r>
          </w:p>
        </w:tc>
        <w:tc>
          <w:tcPr>
            <w:tcW w:type="dxa" w:w="1728"/>
          </w:tcPr>
          <w:p>
            <w:r>
              <w:t>5,390</w:t>
            </w:r>
          </w:p>
        </w:tc>
        <w:tc>
          <w:tcPr>
            <w:tcW w:type="dxa" w:w="1728"/>
          </w:tcPr>
          <w:p>
            <w:r>
              <w:t>12,270</w:t>
            </w:r>
          </w:p>
        </w:tc>
        <w:tc>
          <w:tcPr>
            <w:tcW w:type="dxa" w:w="1728"/>
          </w:tcPr>
          <w:p>
            <w:r>
              <w:t>6,760</w:t>
            </w:r>
          </w:p>
        </w:tc>
      </w:tr>
      <w:tr>
        <w:tc>
          <w:tcPr>
            <w:tcW w:type="dxa" w:w="1728"/>
          </w:tcPr>
          <w:p>
            <w:r>
              <w:t>2027-04</w:t>
            </w:r>
          </w:p>
        </w:tc>
        <w:tc>
          <w:tcPr>
            <w:tcW w:type="dxa" w:w="1728"/>
          </w:tcPr>
          <w:p>
            <w:r>
              <w:t>8,950</w:t>
            </w:r>
          </w:p>
        </w:tc>
        <w:tc>
          <w:tcPr>
            <w:tcW w:type="dxa" w:w="1728"/>
          </w:tcPr>
          <w:p>
            <w:r>
              <w:t>5,310</w:t>
            </w:r>
          </w:p>
        </w:tc>
        <w:tc>
          <w:tcPr>
            <w:tcW w:type="dxa" w:w="1728"/>
          </w:tcPr>
          <w:p>
            <w:r>
              <w:t>12,580</w:t>
            </w:r>
          </w:p>
        </w:tc>
        <w:tc>
          <w:tcPr>
            <w:tcW w:type="dxa" w:w="1728"/>
          </w:tcPr>
          <w:p>
            <w:r>
              <w:t>6,670</w:t>
            </w:r>
          </w:p>
        </w:tc>
      </w:tr>
      <w:tr>
        <w:tc>
          <w:tcPr>
            <w:tcW w:type="dxa" w:w="1728"/>
          </w:tcPr>
          <w:p>
            <w:r>
              <w:t>2027-05</w:t>
            </w:r>
          </w:p>
        </w:tc>
        <w:tc>
          <w:tcPr>
            <w:tcW w:type="dxa" w:w="1728"/>
          </w:tcPr>
          <w:p>
            <w:r>
              <w:t>9,420</w:t>
            </w:r>
          </w:p>
        </w:tc>
        <w:tc>
          <w:tcPr>
            <w:tcW w:type="dxa" w:w="1728"/>
          </w:tcPr>
          <w:p>
            <w:r>
              <w:t>5,610</w:t>
            </w:r>
          </w:p>
        </w:tc>
        <w:tc>
          <w:tcPr>
            <w:tcW w:type="dxa" w:w="1728"/>
          </w:tcPr>
          <w:p>
            <w:r>
              <w:t>13,230</w:t>
            </w:r>
          </w:p>
        </w:tc>
        <w:tc>
          <w:tcPr>
            <w:tcW w:type="dxa" w:w="1728"/>
          </w:tcPr>
          <w:p>
            <w:r>
              <w:t>7,410</w:t>
            </w:r>
          </w:p>
        </w:tc>
      </w:tr>
      <w:tr>
        <w:tc>
          <w:tcPr>
            <w:tcW w:type="dxa" w:w="1728"/>
          </w:tcPr>
          <w:p>
            <w:r>
              <w:t>2027-06</w:t>
            </w:r>
          </w:p>
        </w:tc>
        <w:tc>
          <w:tcPr>
            <w:tcW w:type="dxa" w:w="1728"/>
          </w:tcPr>
          <w:p>
            <w:r>
              <w:t>9,570</w:t>
            </w:r>
          </w:p>
        </w:tc>
        <w:tc>
          <w:tcPr>
            <w:tcW w:type="dxa" w:w="1728"/>
          </w:tcPr>
          <w:p>
            <w:r>
              <w:t>5,590</w:t>
            </w:r>
          </w:p>
        </w:tc>
        <w:tc>
          <w:tcPr>
            <w:tcW w:type="dxa" w:w="1728"/>
          </w:tcPr>
          <w:p>
            <w:r>
              <w:t>13,550</w:t>
            </w:r>
          </w:p>
        </w:tc>
        <w:tc>
          <w:tcPr>
            <w:tcW w:type="dxa" w:w="1728"/>
          </w:tcPr>
          <w:p>
            <w:r>
              <w:t>7,290</w:t>
            </w:r>
          </w:p>
        </w:tc>
      </w:tr>
    </w:tbl>
    <w:p>
      <w:r>
        <w:t>Annual total forecast: roughly 108,000 collisions (80% band 81,000 - 136,000). The September 2027 spike reflects the model's seasonal term estimated from a series with a strong autumn ramp; with under one full year of history it is the least trustworthy single number in the table.</w:t>
      </w:r>
    </w:p>
    <w:p>
      <w:pPr>
        <w:pStyle w:val="Heading1"/>
      </w:pPr>
      <w:r>
        <w:t>Forecast vs seasonal-naive baseline - which wins</w:t>
      </w:r>
    </w:p>
    <w:p>
      <w:pPr>
        <w:pStyle w:val="ListBullet"/>
      </w:pPr>
      <w:r>
        <w:t>Seasonal-naive (repeat last observed month, 7,290) backtest MAPE over Feb-May 2026: 4.95%.</w:t>
      </w:r>
    </w:p>
    <w:p>
      <w:pPr>
        <w:pStyle w:val="ListBullet"/>
      </w:pPr>
      <w:r>
        <w:t>Trend model backtest MAPE over the same 4 held-out months: 7.07% (persistence also beat a flat mean at 6.72%).</w:t>
      </w:r>
    </w:p>
    <w:p>
      <w:pPr>
        <w:pStyle w:val="ListBullet"/>
      </w:pPr>
      <w:r>
        <w:t>Verdict: the seasonal-naive baseline edges out the trend model on the short backtest, and the difference (2.1 points on 4 months) is within noise. The OLS+seasonality model still wins on information: it captures the mild downward drift (-64.5 collisions/month on monthly aggregation) and the autumn ramp, and it supplies uncertainty bands a naive number cannot. Practical guidance: plan on the model's central path, but hold the naive 7,290/month as the floor scenario; the two agree within 3% for July-August 2026.</w:t>
      </w:r>
    </w:p>
    <w:p>
      <w:pPr>
        <w:pStyle w:val="Heading1"/>
      </w:pPr>
      <w:r>
        <w:t>Top 5 contributing factors by injuries (of 60,000 collisions)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Contributing factor</w:t>
            </w:r>
          </w:p>
        </w:tc>
        <w:tc>
          <w:tcPr>
            <w:tcW w:type="dxa" w:w="2160"/>
          </w:tcPr>
          <w:p>
            <w:r>
              <w:t>Collisions</w:t>
            </w:r>
          </w:p>
        </w:tc>
        <w:tc>
          <w:tcPr>
            <w:tcW w:type="dxa" w:w="2160"/>
          </w:tcPr>
          <w:p>
            <w:r>
              <w:t>Persons injured</w:t>
            </w:r>
          </w:p>
        </w:tc>
        <w:tc>
          <w:tcPr>
            <w:tcW w:type="dxa" w:w="2160"/>
          </w:tcPr>
          <w:p>
            <w:r>
              <w:t>Injuries per 100 collisions</w:t>
            </w:r>
          </w:p>
        </w:tc>
      </w:tr>
      <w:tr>
        <w:tc>
          <w:tcPr>
            <w:tcW w:type="dxa" w:w="2160"/>
          </w:tcPr>
          <w:p>
            <w:r>
              <w:t>Driver Inattention/Distraction</w:t>
            </w:r>
          </w:p>
        </w:tc>
        <w:tc>
          <w:tcPr>
            <w:tcW w:type="dxa" w:w="2160"/>
          </w:tcPr>
          <w:p>
            <w:r>
              <w:t>14,211</w:t>
            </w:r>
          </w:p>
        </w:tc>
        <w:tc>
          <w:tcPr>
            <w:tcW w:type="dxa" w:w="2160"/>
          </w:tcPr>
          <w:p>
            <w:r>
              <w:t>8,510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Unspecified (no factor recorded)</w:t>
            </w:r>
          </w:p>
        </w:tc>
        <w:tc>
          <w:tcPr>
            <w:tcW w:type="dxa" w:w="2160"/>
          </w:tcPr>
          <w:p>
            <w:r>
              <w:t>16,754</w:t>
            </w:r>
          </w:p>
        </w:tc>
        <w:tc>
          <w:tcPr>
            <w:tcW w:type="dxa" w:w="2160"/>
          </w:tcPr>
          <w:p>
            <w:r>
              <w:t>8,009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</w:tr>
      <w:tr>
        <w:tc>
          <w:tcPr>
            <w:tcW w:type="dxa" w:w="2160"/>
          </w:tcPr>
          <w:p>
            <w:r>
              <w:t>Failure to Yield Right-of-Way</w:t>
            </w:r>
          </w:p>
        </w:tc>
        <w:tc>
          <w:tcPr>
            <w:tcW w:type="dxa" w:w="2160"/>
          </w:tcPr>
          <w:p>
            <w:r>
              <w:t>3,815</w:t>
            </w:r>
          </w:p>
        </w:tc>
        <w:tc>
          <w:tcPr>
            <w:tcW w:type="dxa" w:w="2160"/>
          </w:tcPr>
          <w:p>
            <w:r>
              <w:t>3,394</w:t>
            </w:r>
          </w:p>
        </w:tc>
        <w:tc>
          <w:tcPr>
            <w:tcW w:type="dxa" w:w="2160"/>
          </w:tcPr>
          <w:p>
            <w:r>
              <w:t>89.0</w:t>
            </w:r>
          </w:p>
        </w:tc>
      </w:tr>
      <w:tr>
        <w:tc>
          <w:tcPr>
            <w:tcW w:type="dxa" w:w="2160"/>
          </w:tcPr>
          <w:p>
            <w:r>
              <w:t>Following Too Closely</w:t>
            </w:r>
          </w:p>
        </w:tc>
        <w:tc>
          <w:tcPr>
            <w:tcW w:type="dxa" w:w="2160"/>
          </w:tcPr>
          <w:p>
            <w:r>
              <w:t>3,051</w:t>
            </w:r>
          </w:p>
        </w:tc>
        <w:tc>
          <w:tcPr>
            <w:tcW w:type="dxa" w:w="2160"/>
          </w:tcPr>
          <w:p>
            <w:r>
              <w:t>2,060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Other Vehicular</w:t>
            </w:r>
          </w:p>
        </w:tc>
        <w:tc>
          <w:tcPr>
            <w:tcW w:type="dxa" w:w="2160"/>
          </w:tcPr>
          <w:p>
            <w:r>
              <w:t>2,511</w:t>
            </w:r>
          </w:p>
        </w:tc>
        <w:tc>
          <w:tcPr>
            <w:tcW w:type="dxa" w:w="2160"/>
          </w:tcPr>
          <w:p>
            <w:r>
              <w:t>1,368</w:t>
            </w:r>
          </w:p>
        </w:tc>
        <w:tc>
          <w:tcPr>
            <w:tcW w:type="dxa" w:w="2160"/>
          </w:tcPr>
          <w:p>
            <w:r>
              <w:t>54.5</w:t>
            </w:r>
          </w:p>
        </w:tc>
      </w:tr>
    </w:tbl>
    <w:p>
      <w:r>
        <w:t>Failure to Yield is the highest-severity factor: its collisions injure someone 1.5x more often than the fleet average. The Unspecified bucket is 27.9% of all rows - a data gap, not a driver behavior.</w:t>
      </w:r>
    </w:p>
    <w:p>
      <w:pPr>
        <w:pStyle w:val="Heading1"/>
      </w:pPr>
      <w:r>
        <w:t>Top 5 boroughs by injuries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Borough</w:t>
            </w:r>
          </w:p>
        </w:tc>
        <w:tc>
          <w:tcPr>
            <w:tcW w:type="dxa" w:w="2160"/>
          </w:tcPr>
          <w:p>
            <w:r>
              <w:t>Collisions</w:t>
            </w:r>
          </w:p>
        </w:tc>
        <w:tc>
          <w:tcPr>
            <w:tcW w:type="dxa" w:w="2160"/>
          </w:tcPr>
          <w:p>
            <w:r>
              <w:t>Persons injured</w:t>
            </w:r>
          </w:p>
        </w:tc>
        <w:tc>
          <w:tcPr>
            <w:tcW w:type="dxa" w:w="2160"/>
          </w:tcPr>
          <w:p>
            <w:r>
              <w:t>Share of all injuries</w:t>
            </w:r>
          </w:p>
        </w:tc>
      </w:tr>
      <w:tr>
        <w:tc>
          <w:tcPr>
            <w:tcW w:type="dxa" w:w="2160"/>
          </w:tcPr>
          <w:p>
            <w:r>
              <w:t>Brooklyn</w:t>
            </w:r>
          </w:p>
        </w:tc>
        <w:tc>
          <w:tcPr>
            <w:tcW w:type="dxa" w:w="2160"/>
          </w:tcPr>
          <w:p>
            <w:r>
              <w:t>16,380</w:t>
            </w:r>
          </w:p>
        </w:tc>
        <w:tc>
          <w:tcPr>
            <w:tcW w:type="dxa" w:w="2160"/>
          </w:tcPr>
          <w:p>
            <w:r>
              <w:t>9,108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</w:tr>
      <w:tr>
        <w:tc>
          <w:tcPr>
            <w:tcW w:type="dxa" w:w="2160"/>
          </w:tcPr>
          <w:p>
            <w:r>
              <w:t>Queens</w:t>
            </w:r>
          </w:p>
        </w:tc>
        <w:tc>
          <w:tcPr>
            <w:tcW w:type="dxa" w:w="2160"/>
          </w:tcPr>
          <w:p>
            <w:r>
              <w:t>12,043</w:t>
            </w:r>
          </w:p>
        </w:tc>
        <w:tc>
          <w:tcPr>
            <w:tcW w:type="dxa" w:w="2160"/>
          </w:tcPr>
          <w:p>
            <w:r>
              <w:t>6,195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  <w:tr>
        <w:tc>
          <w:tcPr>
            <w:tcW w:type="dxa" w:w="2160"/>
          </w:tcPr>
          <w:p>
            <w:r>
              <w:t>Manhattan</w:t>
            </w:r>
          </w:p>
        </w:tc>
        <w:tc>
          <w:tcPr>
            <w:tcW w:type="dxa" w:w="2160"/>
          </w:tcPr>
          <w:p>
            <w:r>
              <w:t>8,999</w:t>
            </w:r>
          </w:p>
        </w:tc>
        <w:tc>
          <w:tcPr>
            <w:tcW w:type="dxa" w:w="2160"/>
          </w:tcPr>
          <w:p>
            <w:r>
              <w:t>4,335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</w:tr>
      <w:tr>
        <w:tc>
          <w:tcPr>
            <w:tcW w:type="dxa" w:w="2160"/>
          </w:tcPr>
          <w:p>
            <w:r>
              <w:t>Bronx</w:t>
            </w:r>
          </w:p>
        </w:tc>
        <w:tc>
          <w:tcPr>
            <w:tcW w:type="dxa" w:w="2160"/>
          </w:tcPr>
          <w:p>
            <w:r>
              <w:t>7,291</w:t>
            </w:r>
          </w:p>
        </w:tc>
        <w:tc>
          <w:tcPr>
            <w:tcW w:type="dxa" w:w="2160"/>
          </w:tcPr>
          <w:p>
            <w:r>
              <w:t>4,134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160"/>
          </w:tcPr>
          <w:p>
            <w:r>
              <w:t>Staten Island</w:t>
            </w:r>
          </w:p>
        </w:tc>
        <w:tc>
          <w:tcPr>
            <w:tcW w:type="dxa" w:w="2160"/>
          </w:tcPr>
          <w:p>
            <w:r>
              <w:t>1,868</w:t>
            </w:r>
          </w:p>
        </w:tc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</w:tbl>
    <w:p>
      <w:r>
        <w:t>Note: 13,419 collisions (22.4% of the table, 9,557 injuries) have no borough recorded. Brooklyn's rank is robust; the true outer-borough totals are understated by that gap.</w:t>
      </w:r>
    </w:p>
    <w:p>
      <w:pPr>
        <w:pStyle w:val="Heading1"/>
      </w:pPr>
      <w:r>
        <w:t>Limitations (read before using these numbers)</w:t>
      </w:r>
    </w:p>
    <w:p>
      <w:pPr>
        <w:pStyle w:val="ListBullet"/>
      </w:pPr>
      <w:r>
        <w:t>Under 11 months of history. No true year-over-year seasonality exists yet; the model's monthly seasonal terms are estimated from a single pass through the calendar. The Sep 2027 seasonal spike is an extrapolation, not an observation.</w:t>
      </w:r>
    </w:p>
    <w:p>
      <w:pPr>
        <w:pStyle w:val="ListBullet"/>
      </w:pPr>
      <w:r>
        <w:t>First and last months are partial (Sep 2025: 6 days; Jun 2026: 11 days, with the final two days showing clear reporting lag at 112 and 12 vs ~244/day). They were excluded from model fitting; monthly history tables keep them flagged as partial.</w:t>
      </w:r>
    </w:p>
    <w:p>
      <w:pPr>
        <w:pStyle w:val="ListBullet"/>
      </w:pPr>
      <w:r>
        <w:t>22.4% of rows lack a borough and 27.9% lack a contributing factor, so injury attribution to places and causes understates the true denominators.</w:t>
      </w:r>
    </w:p>
    <w:p>
      <w:pPr>
        <w:pStyle w:val="ListBullet"/>
      </w:pPr>
      <w:r>
        <w:t>Killed counts are null on 8,878 rows (14.8%), so fatality-based rankings were not attempted.</w:t>
      </w:r>
    </w:p>
    <w:p>
      <w:pPr>
        <w:pStyle w:val="ListBullet"/>
      </w:pPr>
      <w:r>
        <w:t>The legacy_export table (20,488 rows) overlaps collisions_raw on 20,000 collision IDs with messy dates and casing; merging the two would double-count one third of the data. It was excluded - analysis uses only the clean table.</w:t>
      </w:r>
    </w:p>
    <w:p>
      <w:pPr>
        <w:pStyle w:val="ListBullet"/>
      </w:pPr>
      <w:r>
        <w:t>Backtests used only 4 rolling origins; a 2-point MAPE difference between models is not statistically meaningful.</w:t>
      </w:r>
    </w:p>
    <w:p>
      <w:pPr>
        <w:pStyle w:val="ListBullet"/>
      </w:pPr>
      <w:r>
        <w:t>Collision counts reflect reporting, not necessarily true crash incidence.</w:t>
      </w:r>
    </w:p>
    <w:p>
      <w:pPr>
        <w:pStyle w:val="Heading1"/>
      </w:pPr>
      <w:r>
        <w:t>What to do</w:t>
      </w:r>
    </w:p>
    <w:p>
      <w:pPr>
        <w:pStyle w:val="ListBullet"/>
      </w:pPr>
      <w:r>
        <w:t>Target driver inattention first. It is the largest named cause of injury (8,510) across 14,211 collisions - distraction enforcement and phone-use cameras touch more harm than any other single lever.</w:t>
      </w:r>
    </w:p>
    <w:p>
      <w:pPr>
        <w:pStyle w:val="ListBullet"/>
      </w:pPr>
      <w:r>
        <w:t>Prioritize yield-behavior interventions (turning conflicts, pedestrian ROW) - highest severity factor at 89 injuries per 100 collisions.</w:t>
      </w:r>
    </w:p>
    <w:p>
      <w:pPr>
        <w:pStyle w:val="ListBullet"/>
      </w:pPr>
      <w:r>
        <w:t>Concentrate street-safety spend in Brooklyn and Queens (15,303 combined injuries, 44.8% of the attributable total), starting with the corridors behind the October-December and May ramps.</w:t>
      </w:r>
    </w:p>
    <w:p>
      <w:pPr>
        <w:pStyle w:val="ListBullet"/>
      </w:pPr>
      <w:r>
        <w:t>Plan capacity around 7,300-9,500 collisions per month over the next year; do not budget below the naive floor of 7,290 for July-August 2026.</w:t>
      </w:r>
    </w:p>
    <w:p>
      <w:pPr>
        <w:pStyle w:val="ListBullet"/>
      </w:pPr>
      <w:r>
        <w:t>Fix the data before the next refresh: recover the missing borough on 13,419 rows and the missing factor on 16,754, and reconcile legacy_export (20,000 duplicate IDs) out of the pipeline. Re-run this forecast when 12+ clean months exist - the seasonal terms will then be estimated on real year-over-year data.</w:t>
      </w:r>
    </w:p>
    <w:p>
      <w:pPr>
        <w:pStyle w:val="ListBullet"/>
      </w:pPr>
      <w:r>
        <w:t>Re-check in 3 months. If actuals land outside the July-September bands (6,340-11,790), the trend assumption is broken and the model should be refit.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