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Census Economics Brief</w:t>
      </w:r>
    </w:p>
    <w:p>
      <w:r>
        <w:t>NorthLedger Insights - automated analysis</w:t>
      </w:r>
    </w:p>
    <w:p>
      <w:r>
        <w:t># Census Economics Brief</w:t>
      </w:r>
    </w:p>
    <w:p>
      <w:r>
        <w:t>Source: 2023 American Community Survey PUMS (1-year), survey-weighted throughout.</w:t>
      </w:r>
    </w:p>
    <w:p>
      <w:r>
        <w:t># Census Economics Brief</w:t>
      </w:r>
    </w:p>
    <w:p>
      <w:r>
        <w:t>Source: 2023 American Community Survey PUMS (1-year), survey-weighted throughout.</w:t>
      </w:r>
    </w:p>
    <w:p>
      <w:r>
        <w:t>Scope: 1,620,290 household records (145,333,462 weighted units; 131,332,363 occupied) and 3,405,809 person records (334,914,896 weighted people). All figures in 2023 dollars.</w:t>
      </w:r>
    </w:p>
    <w:p>
      <w:pPr>
        <w:pStyle w:val="Heading1"/>
      </w:pPr>
      <w:r>
        <w:t>1. Data profile (what we cleaned before counting)</w:t>
      </w:r>
    </w:p>
    <w:p>
      <w:pPr>
        <w:pStyle w:val="ListBullet"/>
      </w:pPr>
      <w:r>
        <w:t>pums_households — 1,620,290 rows; `wgtp` sums to 145,333,462. `ten` is blank on 277,245 rows (14,001,099 weighted): vacant units plus group-quarters (GQ) placeholder rows; 175,965 of them carry `wgtp=0` and are GQ mirrors of person records. `ten=4` (2,136,823 weighted) is "occupied without payment of rent." `hincp` includes real negatives (684 loss cases among occupied tenures) and top-coded highs. `grpip` is populated only for renters; among `ten=3` it is blank on 6,738 rows (969,173 weighted — no cash rent) and top-codes at 101 ("101% or more"; 33,947 rows / 4,474,513 weighted at 100–101).</w:t>
      </w:r>
    </w:p>
    <w:p>
      <w:pPr>
        <w:pStyle w:val="ListBullet"/>
      </w:pPr>
      <w:r>
        <w:t>pums_persons — 3,405,809 rows; `pwgtp` sums to 334,914,896; ages 0–96. `pincp` blank on 517,377 rows (largely children/non-earners), negative on 3,097 rows (retained). `schl` blank on 90,378 rows (mostly under age 3). 175,965 rows are GQ (8,213,250 weighted), excluded from household-population education medians because they pull medians sharply downward (e.g., bachelor's GQ median $19,000 vs $62,000).</w:t>
      </w:r>
    </w:p>
    <w:p>
      <w:pPr>
        <w:pStyle w:val="ListBullet"/>
      </w:pPr>
      <w:r>
        <w:t>Cleaning applied: empty-string handling on all text-numeric columns; explicit negative-income retention; tenure blanks classified as vacant/GQ; GQ identified via serialno pattern; education bucket mapping verified against all 24 `schl` codes; grpip checked for decimals (none) and confirmed to cap at 101.</w:t>
      </w:r>
    </w:p>
    <w:p>
      <w:pPr>
        <w:pStyle w:val="Heading1"/>
      </w:pPr>
      <w:r>
        <w:t>2. Headline numbers</w:t>
      </w:r>
    </w:p>
    <w:p>
      <w:r>
        <w:t>1. Median occupied-household income: $76,200 (behind 131,332,363 weighted occupied households).</w:t>
      </w:r>
    </w:p>
    <w:p>
      <w:r>
        <w:t>2. Tenure gap: mortgage owners' median income is $110,500 vs $51,000 for renters — a 2.17× multiple; outright owners sit at $68,500.</w:t>
      </w:r>
    </w:p>
    <w:p>
      <w:r>
        <w:t>3. Renter cost burden: 50.0% pay over 30% of income in rent; 25.9% pay over 50% (severe burden).</w:t>
      </w:r>
    </w:p>
    <w:p>
      <w:r>
        <w:t>4. Education ladder: weighted median personal income among adults 25+ rises monotonically from $23,000 (no HS diploma) to $80,800 (graduate/professional); a bachelor's roughly doubles the no-HS figure to $62,000.</w:t>
      </w:r>
    </w:p>
    <w:p>
      <w:pPr>
        <w:pStyle w:val="Heading1"/>
      </w:pPr>
      <w:r>
        <w:t>3. Table 1 — Median household income by tenure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Tenure</w:t>
            </w:r>
          </w:p>
        </w:tc>
        <w:tc>
          <w:tcPr>
            <w:tcW w:type="dxa" w:w="2880"/>
          </w:tcPr>
          <w:p>
            <w:r>
              <w:t>Weighted households</w:t>
            </w:r>
          </w:p>
        </w:tc>
        <w:tc>
          <w:tcPr>
            <w:tcW w:type="dxa" w:w="2880"/>
          </w:tcPr>
          <w:p>
            <w:r>
              <w:t>Weighted median HINCP</w:t>
            </w:r>
          </w:p>
        </w:tc>
      </w:tr>
      <w:tr>
        <w:tc>
          <w:tcPr>
            <w:tcW w:type="dxa" w:w="2880"/>
          </w:tcPr>
          <w:p>
            <w:r>
              <w:t>Owned with mortgage (ten=1)</w:t>
            </w:r>
          </w:p>
        </w:tc>
        <w:tc>
          <w:tcPr>
            <w:tcW w:type="dxa" w:w="2880"/>
          </w:tcPr>
          <w:p>
            <w:r>
              <w:t>51,643,194</w:t>
            </w:r>
          </w:p>
        </w:tc>
        <w:tc>
          <w:tcPr>
            <w:tcW w:type="dxa" w:w="2880"/>
          </w:tcPr>
          <w:p>
            <w:r>
              <w:t>$110,500</w:t>
            </w:r>
          </w:p>
        </w:tc>
      </w:tr>
      <w:tr>
        <w:tc>
          <w:tcPr>
            <w:tcW w:type="dxa" w:w="2880"/>
          </w:tcPr>
          <w:p>
            <w:r>
              <w:t>Owned free and clear (ten=2)</w:t>
            </w:r>
          </w:p>
        </w:tc>
        <w:tc>
          <w:tcPr>
            <w:tcW w:type="dxa" w:w="2880"/>
          </w:tcPr>
          <w:p>
            <w:r>
              <w:t>34,126,370</w:t>
            </w:r>
          </w:p>
        </w:tc>
        <w:tc>
          <w:tcPr>
            <w:tcW w:type="dxa" w:w="2880"/>
          </w:tcPr>
          <w:p>
            <w:r>
              <w:t>$68,500</w:t>
            </w:r>
          </w:p>
        </w:tc>
      </w:tr>
      <w:tr>
        <w:tc>
          <w:tcPr>
            <w:tcW w:type="dxa" w:w="2880"/>
          </w:tcPr>
          <w:p>
            <w:r>
              <w:t>Rented (ten=3)</w:t>
            </w:r>
          </w:p>
        </w:tc>
        <w:tc>
          <w:tcPr>
            <w:tcW w:type="dxa" w:w="2880"/>
          </w:tcPr>
          <w:p>
            <w:r>
              <w:t>43,425,976</w:t>
            </w:r>
          </w:p>
        </w:tc>
        <w:tc>
          <w:tcPr>
            <w:tcW w:type="dxa" w:w="2880"/>
          </w:tcPr>
          <w:p>
            <w:r>
              <w:t>$51,000</w:t>
            </w:r>
          </w:p>
        </w:tc>
      </w:tr>
      <w:tr>
        <w:tc>
          <w:tcPr>
            <w:tcW w:type="dxa" w:w="2880"/>
          </w:tcPr>
          <w:p>
            <w:r>
              <w:t>All occupied households (ten 1–4)</w:t>
            </w:r>
          </w:p>
        </w:tc>
        <w:tc>
          <w:tcPr>
            <w:tcW w:type="dxa" w:w="2880"/>
          </w:tcPr>
          <w:p>
            <w:r>
              <w:t>131,332,363</w:t>
            </w:r>
          </w:p>
        </w:tc>
        <w:tc>
          <w:tcPr>
            <w:tcW w:type="dxa" w:w="2880"/>
          </w:tcPr>
          <w:p>
            <w:r>
              <w:t>$76,200</w:t>
            </w:r>
          </w:p>
        </w:tc>
      </w:tr>
    </w:tbl>
    <w:p>
      <w:r>
        <w:t>ten=4 "occupied without payment of rent" (2,136,823) is included in the overall row only. Vacant units and GQ placeholders excluded (14.00M weighted). Owners with and without mortgage make up 65.3% of occupied households.</w:t>
      </w:r>
    </w:p>
    <w:p>
      <w:pPr>
        <w:pStyle w:val="Heading1"/>
      </w:pPr>
      <w:r>
        <w:t>4. Table 2 — Renter cost burden (ten=3, GRPIP reported)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Weighted households</w:t>
            </w:r>
          </w:p>
        </w:tc>
        <w:tc>
          <w:tcPr>
            <w:tcW w:type="dxa" w:w="2880"/>
          </w:tcPr>
          <w:p>
            <w:r>
              <w:t>Share of renters with GRPIP</w:t>
            </w:r>
          </w:p>
        </w:tc>
      </w:tr>
      <w:tr>
        <w:tc>
          <w:tcPr>
            <w:tcW w:type="dxa" w:w="2880"/>
          </w:tcPr>
          <w:p>
            <w:r>
              <w:t>Renters with GRPIP (base)</w:t>
            </w:r>
          </w:p>
        </w:tc>
        <w:tc>
          <w:tcPr>
            <w:tcW w:type="dxa" w:w="2880"/>
          </w:tcPr>
          <w:p>
            <w:r>
              <w:t>42,456,803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Paying &gt;30% of income in rent</w:t>
            </w:r>
          </w:p>
        </w:tc>
        <w:tc>
          <w:tcPr>
            <w:tcW w:type="dxa" w:w="2880"/>
          </w:tcPr>
          <w:p>
            <w:r>
              <w:t>21,221,355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Paying &gt;50% of income in rent</w:t>
            </w:r>
          </w:p>
        </w:tc>
        <w:tc>
          <w:tcPr>
            <w:tcW w:type="dxa" w:w="2880"/>
          </w:tcPr>
          <w:p>
            <w:r>
              <w:t>10,981,950</w:t>
            </w:r>
          </w:p>
        </w:tc>
        <w:tc>
          <w:tcPr>
            <w:tcW w:type="dxa" w:w="2880"/>
          </w:tcPr>
          <w:p>
            <w:r>
              <w:t>25.9%</w:t>
            </w:r>
          </w:p>
        </w:tc>
      </w:tr>
    </w:tbl>
    <w:p>
      <w:r>
        <w:t>969,173 weighted renters (2.2%) report no GRPIP (no cash rent) and are excluded from the base. GRPIP caps at 101 ("101%+"); all capped households fall in both burden categories, so no downward bias. Measured against ALL renters (43,425,976), the &gt;30% share is 48.9%.</w:t>
      </w:r>
    </w:p>
    <w:p>
      <w:pPr>
        <w:pStyle w:val="Heading1"/>
      </w:pPr>
      <w:r>
        <w:t>5. Table 3 — Education payoff: median personal income, adults 25+ with income &gt; 0 (weighted, household population)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Education bucket (SCHL)</w:t>
            </w:r>
          </w:p>
        </w:tc>
        <w:tc>
          <w:tcPr>
            <w:tcW w:type="dxa" w:w="2160"/>
          </w:tcPr>
          <w:p>
            <w:r>
              <w:t>Weighted adults</w:t>
            </w:r>
          </w:p>
        </w:tc>
        <w:tc>
          <w:tcPr>
            <w:tcW w:type="dxa" w:w="2160"/>
          </w:tcPr>
          <w:p>
            <w:r>
              <w:t>Weighted median PINCP</w:t>
            </w:r>
          </w:p>
        </w:tc>
        <w:tc>
          <w:tcPr>
            <w:tcW w:type="dxa" w:w="2160"/>
          </w:tcPr>
          <w:p>
            <w:r>
              <w:t>Multiple vs no-HS</w:t>
            </w:r>
          </w:p>
        </w:tc>
      </w:tr>
      <w:tr>
        <w:tc>
          <w:tcPr>
            <w:tcW w:type="dxa" w:w="2160"/>
          </w:tcPr>
          <w:p>
            <w:r>
              <w:t>Did not finish high school (&lt;16)</w:t>
            </w:r>
          </w:p>
        </w:tc>
        <w:tc>
          <w:tcPr>
            <w:tcW w:type="dxa" w:w="2160"/>
          </w:tcPr>
          <w:p>
            <w:r>
              <w:t>18,989,208</w:t>
            </w:r>
          </w:p>
        </w:tc>
        <w:tc>
          <w:tcPr>
            <w:tcW w:type="dxa" w:w="2160"/>
          </w:tcPr>
          <w:p>
            <w:r>
              <w:t>$23,000</w:t>
            </w:r>
          </w:p>
        </w:tc>
        <w:tc>
          <w:tcPr>
            <w:tcW w:type="dxa" w:w="2160"/>
          </w:tcPr>
          <w:p>
            <w:r>
              <w:t>1.00×</w:t>
            </w:r>
          </w:p>
        </w:tc>
      </w:tr>
      <w:tr>
        <w:tc>
          <w:tcPr>
            <w:tcW w:type="dxa" w:w="2160"/>
          </w:tcPr>
          <w:p>
            <w:r>
              <w:t>High-school grad (16–17)</w:t>
            </w:r>
          </w:p>
        </w:tc>
        <w:tc>
          <w:tcPr>
            <w:tcW w:type="dxa" w:w="2160"/>
          </w:tcPr>
          <w:p>
            <w:r>
              <w:t>52,532,325</w:t>
            </w:r>
          </w:p>
        </w:tc>
        <w:tc>
          <w:tcPr>
            <w:tcW w:type="dxa" w:w="2160"/>
          </w:tcPr>
          <w:p>
            <w:r>
              <w:t>$32,000</w:t>
            </w:r>
          </w:p>
        </w:tc>
        <w:tc>
          <w:tcPr>
            <w:tcW w:type="dxa" w:w="2160"/>
          </w:tcPr>
          <w:p>
            <w:r>
              <w:t>1.39×</w:t>
            </w:r>
          </w:p>
        </w:tc>
      </w:tr>
      <w:tr>
        <w:tc>
          <w:tcPr>
            <w:tcW w:type="dxa" w:w="2160"/>
          </w:tcPr>
          <w:p>
            <w:r>
              <w:t>Some college (18–19)</w:t>
            </w:r>
          </w:p>
        </w:tc>
        <w:tc>
          <w:tcPr>
            <w:tcW w:type="dxa" w:w="2160"/>
          </w:tcPr>
          <w:p>
            <w:r>
              <w:t>39,797,033</w:t>
            </w:r>
          </w:p>
        </w:tc>
        <w:tc>
          <w:tcPr>
            <w:tcW w:type="dxa" w:w="2160"/>
          </w:tcPr>
          <w:p>
            <w:r>
              <w:t>$40,000</w:t>
            </w:r>
          </w:p>
        </w:tc>
        <w:tc>
          <w:tcPr>
            <w:tcW w:type="dxa" w:w="2160"/>
          </w:tcPr>
          <w:p>
            <w:r>
              <w:t>1.74×</w:t>
            </w:r>
          </w:p>
        </w:tc>
      </w:tr>
      <w:tr>
        <w:tc>
          <w:tcPr>
            <w:tcW w:type="dxa" w:w="2160"/>
          </w:tcPr>
          <w:p>
            <w:r>
              <w:t>Bachelor's degree (21)</w:t>
            </w:r>
          </w:p>
        </w:tc>
        <w:tc>
          <w:tcPr>
            <w:tcW w:type="dxa" w:w="2160"/>
          </w:tcPr>
          <w:p>
            <w:r>
              <w:t>47,241,342</w:t>
            </w:r>
          </w:p>
        </w:tc>
        <w:tc>
          <w:tcPr>
            <w:tcW w:type="dxa" w:w="2160"/>
          </w:tcPr>
          <w:p>
            <w:r>
              <w:t>$62,000</w:t>
            </w:r>
          </w:p>
        </w:tc>
        <w:tc>
          <w:tcPr>
            <w:tcW w:type="dxa" w:w="2160"/>
          </w:tcPr>
          <w:p>
            <w:r>
              <w:t>2.70×</w:t>
            </w:r>
          </w:p>
        </w:tc>
      </w:tr>
      <w:tr>
        <w:tc>
          <w:tcPr>
            <w:tcW w:type="dxa" w:w="2160"/>
          </w:tcPr>
          <w:p>
            <w:r>
              <w:t>Graduate/professional (22–24)</w:t>
            </w:r>
          </w:p>
        </w:tc>
        <w:tc>
          <w:tcPr>
            <w:tcW w:type="dxa" w:w="2160"/>
          </w:tcPr>
          <w:p>
            <w:r>
              <w:t>31,884,487</w:t>
            </w:r>
          </w:p>
        </w:tc>
        <w:tc>
          <w:tcPr>
            <w:tcW w:type="dxa" w:w="2160"/>
          </w:tcPr>
          <w:p>
            <w:r>
              <w:t>$80,800</w:t>
            </w:r>
          </w:p>
        </w:tc>
        <w:tc>
          <w:tcPr>
            <w:tcW w:type="dxa" w:w="2160"/>
          </w:tcPr>
          <w:p>
            <w:r>
              <w:t>3.51×</w:t>
            </w:r>
          </w:p>
        </w:tc>
      </w:tr>
      <w:tr>
        <w:tc>
          <w:tcPr>
            <w:tcW w:type="dxa" w:w="2160"/>
          </w:tcPr>
          <w:p>
            <w:r>
              <w:t>Associate degree (20) — outside requested buckets, shown for completeness</w:t>
            </w:r>
          </w:p>
        </w:tc>
        <w:tc>
          <w:tcPr>
            <w:tcW w:type="dxa" w:w="2160"/>
          </w:tcPr>
          <w:p>
            <w:r>
              <w:t>18,936,364</w:t>
            </w:r>
          </w:p>
        </w:tc>
        <w:tc>
          <w:tcPr>
            <w:tcW w:type="dxa" w:w="2160"/>
          </w:tcPr>
          <w:p>
            <w:r>
              <w:t>$45,000</w:t>
            </w:r>
          </w:p>
        </w:tc>
        <w:tc>
          <w:tcPr>
            <w:tcW w:type="dxa" w:w="2160"/>
          </w:tcPr>
          <w:p>
            <w:r>
              <w:t>1.96×</w:t>
            </w:r>
          </w:p>
        </w:tc>
      </w:tr>
    </w:tbl>
    <w:p>
      <w:r>
        <w:t>The six rows together exhaust all 209,380,759 weighted adults 25+ with positive income and valid SCHL in the household population (independently cross-checked). GQ residents excluded from these medians.</w:t>
      </w:r>
    </w:p>
    <w:p>
      <w:pPr>
        <w:pStyle w:val="Heading1"/>
      </w:pPr>
      <w:r>
        <w:t>6. Methodology notes</w:t>
      </w:r>
    </w:p>
    <w:p>
      <w:pPr>
        <w:pStyle w:val="ListBullet"/>
      </w:pPr>
      <w:r>
        <w:t>Weights everywhere. `wgtp` (households) and `pwgtp` (persons) are ACS final weights; every population figure uses them. Raw row counts are never presented as population totals.</w:t>
      </w:r>
    </w:p>
    <w:p>
      <w:pPr>
        <w:pStyle w:val="ListBullet"/>
      </w:pPr>
      <w:r>
        <w:t>Weighted median definition: the smallest observed value at which cumulative weight reaches 50% of total group weight, computed exactly via window functions over value-grouped weight sums (no binning or interpolation).</w:t>
      </w:r>
    </w:p>
    <w:p>
      <w:pPr>
        <w:pStyle w:val="ListBullet"/>
      </w:pPr>
      <w:r>
        <w:t>PUMS design: ACS is a stratified multistage sample; the final weights embed nonresponse, coverage and population-control adjustments, so point estimates are design-consistent. Single final weights were used; replicate weights (WGTP1–80 / PWGTP1–80, present in the tables) were not run.</w:t>
      </w:r>
    </w:p>
    <w:p>
      <w:pPr>
        <w:pStyle w:val="ListBullet"/>
      </w:pPr>
      <w:r>
        <w:t>Filters: household tenure analysis restricted to occupied units (ten 1–4); renter burden to GRPIP-reporting renters; education medians to age 25+, positive PINCP, valid SCHL, household (non-GQ) population; blanks excluded explicitly, negatives retained.</w:t>
      </w:r>
    </w:p>
    <w:p>
      <w:pPr>
        <w:pStyle w:val="ListBullet"/>
      </w:pPr>
      <w:r>
        <w:t>Dollars: 2023 inflation-adjusted (adjustment factors applied upstream in HINCP/PINCP).</w:t>
      </w:r>
    </w:p>
    <w:p>
      <w:pPr>
        <w:pStyle w:val="Heading1"/>
      </w:pPr>
      <w:r>
        <w:t>7. Limitations</w:t>
      </w:r>
    </w:p>
    <w:p>
      <w:r>
        <w:t>1. No confidence intervals. ACS single-year estimates carry sampling error; medians over 30–50M weighted observations typically vary by roughly ±$1–2K, smaller cells more. Replicate-weight standard errors were not computed here.</w:t>
      </w:r>
    </w:p>
    <w:p>
      <w:r>
        <w:t>2. Top-coding. HINCP/PINCP high tails are top-coded (medians unaffected); GRPIP caps at 101%+, understating the extreme-burden tail.</w:t>
      </w:r>
    </w:p>
    <w:p>
      <w:r>
        <w:t>3. Medians ≠ means. Income is right-skewed; means would be higher (especially for bachelor's+). These figures describe the typical unit, not the average dollar.</w:t>
      </w:r>
    </w:p>
    <w:p>
      <w:r>
        <w:t>4. Composition, not causation. Education gaps partly reflect age, field of study, geography and selection; tenure income gaps partly reflect life-cycle stage (older households more often own free-and-clear).</w:t>
      </w:r>
    </w:p>
    <w:p>
      <w:r>
        <w:t>5. Exclusions. 2.2% of renters lack GRPIP; 3.05M weighted adults 25+ report zero/negative income and are excluded from education medians (raising them relative to "all adults"); 8.21M weighted GQ residents excluded from person-level household analyses.</w:t>
      </w:r>
    </w:p>
    <w:p>
      <w:r>
        <w:t>6. Data quality. Self-reported income in a survey context; blank strings and placeholder zero-weight rows required explicit handling as documented above.</w:t>
      </w:r>
    </w:p>
    <w:p>
      <w:pPr>
        <w:pStyle w:val="Heading1"/>
      </w:pPr>
      <w:r>
        <w:t>8. Bottom line — what 5M records say about who earns what in America</w:t>
      </w:r>
    </w:p>
    <w:p>
      <w:r>
        <w:t>Weighted to the nation, the typical American household earns $76,200 — but the number splits cleanly by how people live: mortgage owners at $110,500, outright owners at $68,500, renters at $51,000. Renters carry a double penalty: half spend more than 30% of income on rent, and a quarter spend over half. Education remains the clearest income escalator in the data, climbing monotonically from $23,000 without a high-school diploma to $80,800 with a graduate degree — with the bachelor's degree (covering 47.2M adults) delivering the single biggest jump (+55% over some-college). Ownership and schooling, not raw location or household size, are the visible dividing lines in who earns what.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