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Requirements are results or features that our work must include in order for our client or stakeholder to consider the work complete. When collecting requirements for our dashboard, it's important to consider the business problem it is meant to solve, who the primary users will be, and the data sources that will be used. We should also think about the structure of the dashboard, including the metrics (KPIs) that should be displayed, how the data should be grouped or filtered, and the order in which the charts and graphs should be presented. By following these guidelines and collecting high-quality requirements, we can create a dashboard that effectively communicates key insights and trends to our audience.</w:t>
      </w:r>
    </w:p>
    <w:p w:rsidR="00000000" w:rsidDel="00000000" w:rsidP="00000000" w:rsidRDefault="00000000" w:rsidRPr="00000000" w14:paraId="00000002">
      <w:pPr>
        <w:rPr/>
      </w:pPr>
      <w:r w:rsidDel="00000000" w:rsidR="00000000" w:rsidRPr="00000000">
        <w:rPr>
          <w:rtl w:val="0"/>
        </w:rPr>
        <w:t xml:space="preserve">Specifically, here is a list of valuable questions we should clarify with our stakeholders: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What business problem is the dashboard supposed to solve, and who will be the primary users?</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How often is the dashboard expected to be used?</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Dashboard data structure: what metrics (KPIs) should it display, what parameters should they be grouped by, and what parameters should be used to form user cohorts?</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What type of data will be displayed on the dashboard (absolute or relative values, or both)?</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What are the sources of the data?</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What database will store aggregate data?</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How often should the data be updated?</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What graphs should it display and in what order?</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What controls should the dashboard have?</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What is the export functionality, if any?</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