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Uloom AI</w:t>
      </w:r>
    </w:p>
    <w:p>
      <w:pPr>
        <w:spacing w:after="200"/>
      </w:pPr>
      <w:r>
        <w:rPr>
          <w:color w:val="444444"/>
          <w:sz w:val="32"/>
          <w:szCs w:val="32"/>
        </w:rPr>
        <w:t xml:space="preserve">Detailed Design Document</w:t>
      </w:r>
    </w:p>
    <w:p>
      <w:pPr>
        <w:spacing w:after="160"/>
      </w:pPr>
      <w:r>
        <w:t xml:space="preserve">Version: 0.1 (Draft)</w:t>
      </w:r>
    </w:p>
    <w:p>
      <w:pPr>
        <w:spacing w:after="160"/>
      </w:pPr>
      <w:r>
        <w:t xml:space="preserve">Status: Working Draft — derived from SRS v1.0</w:t>
      </w:r>
    </w:p>
    <w:p>
      <w:pPr>
        <w:spacing w:after="160"/>
      </w:pPr>
      <w:r>
        <w:t xml:space="preserve">Author: Ricardo Mitchell</w:t>
      </w:r>
    </w:p>
    <w:p>
      <w:pPr>
        <w:spacing w:after="160"/>
      </w:pPr>
      <w:r>
        <w:t xml:space="preserve">Based on: Uloom AI SRS v1.0 (Final)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60"/>
      </w:pPr>
      <w:r>
        <w:t xml:space="preserve">This document translates the approved Software Requirements Specification (SRS v1.0) into concrete design artifacts: a data model (ERD), sequence diagrams for the primary flows, an API layer design, and per-service design notes. It is the detailed-design counterpart to SRS Sections 5 (Data Model), 6 (Architecture), and 8 (Initial Modules).</w:t>
      </w:r>
    </w:p>
    <w:p>
      <w:pPr>
        <w:spacing w:after="160"/>
      </w:pPr>
      <w:r>
        <w:t xml:space="preserve">Scope note: the API layer design in Section 4 is intentionally kept implementation-agnostic. A formal OpenAPI schema (exact request/response bodies, status codes, error envelopes) is deferred until the endpoint surface and framework choices are locked, consistent with the provider-independence constraint in SRS Section 11.</w:t>
      </w:r>
    </w:p>
    <w:p>
      <w:pPr>
        <w:pStyle w:val="Heading1"/>
        <w:spacing w:after="150" w:before="300"/>
      </w:pPr>
      <w:r>
        <w:t xml:space="preserve">2. Data Model / Entity-Relationship Diagram</w:t>
      </w:r>
    </w:p>
    <w:p>
      <w:pPr>
        <w:spacing w:after="160"/>
      </w:pPr>
      <w:r>
        <w:t xml:space="preserve">Expands SRS Section 5. Five core entities support the v1 scope: authentication, document ingestion, chunked/embedded content, and conversational history with citations.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636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Entity relationships (solid = ownership/foreign key, dashed = citation reference)</w:t>
      </w:r>
    </w:p>
    <w:p>
      <w:pPr>
        <w:pStyle w:val="Heading2"/>
        <w:spacing w:after="120" w:before="24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Chunk.embedding_vector is stored via pgvector, co-located with relational data per SRS Section 7 (no separate vector database in v1).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Message.citations is a JSON array of {chunk_id, document_id, source_location} references rather than a normalized join table, since citations are read together with the message and don't need independent querying in v1.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Document.status and Chunk.source_location map directly to FR-004 acceptance criteria (processing SLA, source metadata).</w:t>
      </w:r>
    </w:p>
    <w:p>
      <w:pPr>
        <w:pStyle w:val="Heading1"/>
        <w:spacing w:after="150" w:before="300"/>
      </w:pPr>
      <w:r>
        <w:t xml:space="preserve">3. Sequence Diagrams</w:t>
      </w:r>
    </w:p>
    <w:p>
      <w:pPr>
        <w:spacing w:after="160"/>
      </w:pPr>
      <w:r>
        <w:t xml:space="preserve">Three primary flows cover the v1 functional scope (FR-001, FR-003–FR-007).</w:t>
      </w:r>
    </w:p>
    <w:p>
      <w:pPr>
        <w:pStyle w:val="Heading2"/>
        <w:spacing w:after="120" w:before="240"/>
      </w:pPr>
      <w:r>
        <w:t xml:space="preserve">3.1 Authentication</w:t>
      </w:r>
    </w:p>
    <w:p>
      <w:pPr>
        <w:spacing w:after="80" w:before="120"/>
        <w:jc w:val="center"/>
      </w:pPr>
      <w:r>
        <w:drawing>
          <wp:inline distT="0" distB="0" distL="0" distR="0">
            <wp:extent cx="3238500" cy="603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Registration / login (FR-001)</w:t>
      </w:r>
    </w:p>
    <w:p>
      <w:pPr>
        <w:pStyle w:val="Heading2"/>
        <w:spacing w:after="120" w:before="240"/>
      </w:pPr>
      <w:r>
        <w:t xml:space="preserve">3.2 Document Upload &amp; Indexing</w:t>
      </w:r>
    </w:p>
    <w:p>
      <w:pPr>
        <w:spacing w:after="80" w:before="120"/>
        <w:jc w:val="center"/>
      </w:pPr>
      <w:r>
        <w:drawing>
          <wp:inline distT="0" distB="0" distL="0" distR="0">
            <wp:extent cx="2571750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Upload through indexing (FR-003, FR-004)</w:t>
      </w:r>
    </w:p>
    <w:p>
      <w:pPr>
        <w:pStyle w:val="Heading2"/>
        <w:spacing w:after="120" w:before="240"/>
      </w:pPr>
      <w:r>
        <w:t xml:space="preserve">3.3 Conversational RAG Q&amp;A</w:t>
      </w:r>
    </w:p>
    <w:p>
      <w:pPr>
        <w:spacing w:after="80" w:before="120"/>
        <w:jc w:val="center"/>
      </w:pPr>
      <w:r>
        <w:drawing>
          <wp:inline distT="0" distB="0" distL="0" distR="0">
            <wp:extent cx="23336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 — Retrieval-augmented question answering (FR-005–FR-007)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API Layer Design (Provider-Agnostic)</w:t>
      </w:r>
    </w:p>
    <w:p>
      <w:pPr>
        <w:spacing w:after="160"/>
      </w:pPr>
      <w:r>
        <w:t xml:space="preserve">This is a resource-and-responsibility map, not a formal contract. Exact request/response schemas, error envelopes, and pagination conventions are deliberately left open until framework and provider decisions are finalized — this keeps the API layer swappable per SRS Section 6 (API Layer owns validation/translation only) and Section 11 (provider independence).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800"/>
        <w:gridCol w:w="1360"/>
      </w:tblGrid>
      <w:tr>
        <w:trPr>
          <w:tblHeader/>
        </w:trPr>
        <w:tc>
          <w:tcPr>
            <w:tcW w:type="dxa" w:w="32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14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Method(s)</w:t>
            </w:r>
          </w:p>
        </w:tc>
        <w:tc>
          <w:tcPr>
            <w:tcW w:type="dxa" w:w="38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3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/auth/register, /auth/login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account / issue JWT (FR-001)</w:t>
            </w:r>
          </w:p>
        </w:tc>
        <w:tc>
          <w:tcPr>
            <w:tcW w:type="dxa" w:w="13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/users/me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GET, PATCH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Read/update profile &amp; role (FR-002)</w:t>
            </w:r>
          </w:p>
        </w:tc>
        <w:tc>
          <w:tcPr>
            <w:tcW w:type="dxa" w:w="13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/documents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POST, GET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document; list owned/shared documents (FR-003)</w:t>
            </w:r>
          </w:p>
        </w:tc>
        <w:tc>
          <w:tcPr>
            <w:tcW w:type="dxa" w:w="13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/documents/{id}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GET, DELETE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status/metadata; delete + purge (FR-003, Sec.10)</w:t>
            </w:r>
          </w:p>
        </w:tc>
        <w:tc>
          <w:tcPr>
            <w:tcW w:type="dxa" w:w="13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Owner/Admin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/conversations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POST, GET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Create/list conversations (FR-008)</w:t>
            </w:r>
          </w:p>
        </w:tc>
        <w:tc>
          <w:tcPr>
            <w:tcW w:type="dxa" w:w="13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/conversations/{id}/messages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POST, GET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question; retrieve message + citation history (FR-006, FR-007, FR-008)</w:t>
            </w:r>
          </w:p>
        </w:tc>
        <w:tc>
          <w:tcPr>
            <w:tcW w:type="dxa" w:w="13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/admin/users, /admin/documents, /admin/settings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GET, PATCH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Administration (FR-009)</w:t>
            </w:r>
          </w:p>
        </w:tc>
        <w:tc>
          <w:tcPr>
            <w:tcW w:type="dxa" w:w="13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2"/>
        <w:spacing w:after="120" w:before="240"/>
      </w:pPr>
      <w:r>
        <w:t xml:space="preserve">Deferred to implementation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Formal OpenAPI/JSON Schema generation (auto-derivable from FastAPI + Pydantic models per SRS Section 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response envelope shape and error-code taxonomy (must cover the degraded-mode states in SRS Section 9).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Pagination, filtering, and sorting conventions for list endpoints.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Versioning strategy for the API layer (e.g., URL prefix vs. header-based).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Module / Service Design</w:t>
      </w:r>
    </w:p>
    <w:p>
      <w:pPr>
        <w:spacing w:after="160"/>
      </w:pPr>
      <w:r>
        <w:t xml:space="preserve">Expands SRS Section 8. Each service is framework-agnostic business logic (SRS Section 6) sitting behind the API layer and above the repository layer.</w:t>
      </w:r>
    </w:p>
    <w:p>
      <w:pPr>
        <w:pStyle w:val="Heading2"/>
        <w:spacing w:after="120" w:before="240"/>
      </w:pPr>
      <w:r>
        <w:t xml:space="preserve">5.1 Auth Service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9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Registration, credential verification, password hashing, JWT issuance/validation, role checks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Repository; secret store for signing key (NFR-004)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design points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 hashing via bcrypt/argon2; JWT short-lived access token (+ refresh strategy TBD); role checks enforced in API layer via dependency injection, not scattered per-route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Refresh token strategy; SSO/OAuth as a future provider-agnostic extension</w:t>
            </w:r>
          </w:p>
        </w:tc>
      </w:tr>
    </w:tbl>
    <w:p>
      <w:pPr>
        <w:pStyle w:val="Heading2"/>
        <w:spacing w:after="120" w:before="240"/>
      </w:pPr>
      <w:r>
        <w:t xml:space="preserve">5.2 Document Service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9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validation (type/size), storage, parsing, normalization, chunking, status tracking, deletion (Sec.10)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Document/Chunk Repository; AI Service (embeddings); object storage (location TBD)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design points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Chunking is a pluggable strategy behind an interface (token-range configurable per NFR admin control, FR-009); processing is async so upload returns immediately (202) while indexing completes within the FR-004 SLA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Object storage backend (local volume vs. S3-compatible); virus/malware scanning on upload</w:t>
            </w:r>
          </w:p>
        </w:tc>
      </w:tr>
    </w:tbl>
    <w:p>
      <w:pPr>
        <w:pStyle w:val="Heading2"/>
        <w:spacing w:after="120" w:before="240"/>
      </w:pPr>
      <w:r>
        <w:t xml:space="preserve">5.3 Vector Service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9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Query embedding, top-k similarity search scoped to authorized documents (FR-005)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Chunk Repository (pgvector); AI Service (embedding provider)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design points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Authorization scoping happens in the query itself (WHERE clause on accessible document IDs), not as a post-filter, to avoid leaking existence of unauthorized content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Index type/tuning for pgvector (IVFFlat vs. HNSW) at target document volume</w:t>
            </w:r>
          </w:p>
        </w:tc>
      </w:tr>
    </w:tbl>
    <w:p>
      <w:pPr>
        <w:pStyle w:val="Heading2"/>
        <w:spacing w:after="120" w:before="240"/>
      </w:pPr>
      <w:r>
        <w:t xml:space="preserve">5.4 Conversation Service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9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Conversation/message CRUD, history ordering, orchestrating retrieval + AI Service calls (FR-006, FR-008)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Conversation/Message Repository; Vector Service; AI Service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design points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Owns the "no relevant context above threshold" decision (FR-006) and the unsupported-answer flag (FR-007) before persisting a message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Similarity threshold value(s); whether threshold is global or per-document-type configurable</w:t>
            </w:r>
          </w:p>
        </w:tc>
      </w:tr>
    </w:tbl>
    <w:p>
      <w:pPr>
        <w:pStyle w:val="Heading2"/>
        <w:spacing w:after="120" w:before="240"/>
      </w:pPr>
      <w:r>
        <w:t xml:space="preserve">5.5 AI Service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96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Provider-abstracted embeddings + generation, prompt construction, citation assembly, fallback/retry on provider failure (NFR-005, Sec.9)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 adapters (OpenAI / Hugging Face / Ollama) behind a common interface; no other service calls a provider SDK directly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design points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single internal interface (e.g., generate(), embed()) is implemented per provider; Business Services and Conversation Service depend only on this interface, so provider swaps touch one layer (SRS Sec.6, Sec.11)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696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Interface method signatures and streaming-response support are intentionally not fixed yet — same rationale as the API layer being kept agnostic in Section 4</w:t>
            </w:r>
          </w:p>
        </w:tc>
      </w:tr>
    </w:tbl>
    <w:p>
      <w:pPr>
        <w:pStyle w:val="Heading1"/>
        <w:spacing w:after="150" w:before="300"/>
      </w:pPr>
      <w:r>
        <w:t xml:space="preserve">6. Summary of Deferred Decisions</w:t>
      </w:r>
    </w:p>
    <w:p>
      <w:pPr>
        <w:spacing w:after="160"/>
      </w:pPr>
      <w:r>
        <w:t xml:space="preserve">Carried forward from this design pass, to be resolved before or during implementation: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Formal API contract (OpenAPI) — deferred; resource map in Section 4 stands in for now.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Service internal interface signatures — deferred pending provider evaluation.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 storage backend for raw uploaded files.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Refresh-token / session strategy for Auth Service.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Similarity threshold(s) governing the "unsupported answer" behavior.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pgvector index tuning strategy.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b4a64d26efee4745c6d39aec2ad82c3ef94d95.png"/><Relationship Id="rId8" Type="http://schemas.openxmlformats.org/officeDocument/2006/relationships/image" Target="media/bba3c92c20413cedac741bae409e5441d0677271.png"/><Relationship Id="rId9" Type="http://schemas.openxmlformats.org/officeDocument/2006/relationships/image" Target="media/9026355ed5346176da473e1eb67f65b2d45fb47e.png"/><Relationship Id="rId10" Type="http://schemas.openxmlformats.org/officeDocument/2006/relationships/image" Target="media/3143bb07db4c365871df458bb4ba1145a6adf9f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2026-08-15T15:01:07.903Z</dcterms:created>
  <dcterms:modified xsi:type="dcterms:W3CDTF">2026-08-15T15:01:07.903Z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