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Uloom AI</w:t>
      </w:r>
    </w:p>
    <w:p>
      <w:pPr>
        <w:spacing w:after="200"/>
      </w:pPr>
      <w:r>
        <w:rPr>
          <w:color w:val="444444"/>
          <w:sz w:val="32"/>
          <w:szCs w:val="32"/>
        </w:rPr>
        <w:t xml:space="preserve">Detailed Design Document</w:t>
      </w:r>
    </w:p>
    <w:p>
      <w:pPr>
        <w:spacing w:after="160"/>
      </w:pPr>
      <w:r>
        <w:t xml:space="preserve">Version: 0.2 (Draft)</w:t>
      </w:r>
    </w:p>
    <w:p>
      <w:pPr>
        <w:spacing w:after="160"/>
      </w:pPr>
      <w:r>
        <w:t xml:space="preserve">Status: Working Draft — derived from SRS v1.1</w:t>
      </w:r>
    </w:p>
    <w:p>
      <w:pPr>
        <w:spacing w:after="160"/>
      </w:pPr>
      <w:r>
        <w:t xml:space="preserve">Author: Ricardo Mitchell</w:t>
      </w:r>
    </w:p>
    <w:p>
      <w:pPr>
        <w:spacing w:after="160"/>
      </w:pPr>
      <w:r>
        <w:t xml:space="preserve">Based on: Uloom AI SRS v1.1 (Final)</w:t>
      </w:r>
    </w:p>
    <w:p>
      <w:pPr>
        <w:spacing w:after="160"/>
      </w:pPr>
      <w:r>
        <w:t xml:space="preserve">Revision note: v0.2 sets Anthropic Claude API as the default generation provider and Voyage AI as the default embedding provider (Section 5.5), and adds provider-swappability guidelines (Section 5.6).</w:t>
      </w:r>
    </w:p>
    <w:p>
      <w:pPr>
        <w:pStyle w:val="Heading1"/>
        <w:spacing w:after="150" w:before="300"/>
      </w:pPr>
      <w:r>
        <w:t xml:space="preserve">1. Purpose</w:t>
      </w:r>
    </w:p>
    <w:p>
      <w:pPr>
        <w:spacing w:after="160"/>
      </w:pPr>
      <w:r>
        <w:t xml:space="preserve">This document translates the approved Software Requirements Specification (SRS v1.0) into concrete design artifacts: a data model (ERD), sequence diagrams for the primary flows, an API layer design, and per-service design notes. It is the detailed-design counterpart to SRS Sections 5 (Data Model), 6 (Architecture), and 8 (Initial Modules).</w:t>
      </w:r>
    </w:p>
    <w:p>
      <w:pPr>
        <w:spacing w:after="160"/>
      </w:pPr>
      <w:r>
        <w:t xml:space="preserve">Scope note: the API layer design in Section 4 is intentionally kept implementation-agnostic. A formal OpenAPI schema (exact request/response bodies, status codes, error envelopes) is deferred until the endpoint surface and framework choices are locked, consistent with the provider-independence constraint in SRS Section 11.</w:t>
      </w:r>
    </w:p>
    <w:p>
      <w:pPr>
        <w:pStyle w:val="Heading1"/>
        <w:spacing w:after="150" w:before="300"/>
      </w:pPr>
      <w:r>
        <w:t xml:space="preserve">2. Data Model / Entity-Relationship Diagram</w:t>
      </w:r>
    </w:p>
    <w:p>
      <w:pPr>
        <w:spacing w:after="160"/>
      </w:pPr>
      <w:r>
        <w:t xml:space="preserve">Expands SRS Section 5. Five core entities support the v1 scope: authentication, document ingestion, chunked/embedded content, and conversational history with citations.</w:t>
      </w:r>
    </w:p>
    <w:p>
      <w:pPr>
        <w:spacing w:after="80" w:before="120"/>
        <w:jc w:val="center"/>
      </w:pPr>
      <w:r>
        <w:drawing>
          <wp:inline distT="0" distB="0" distL="0" distR="0">
            <wp:extent cx="3619500" cy="636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6362700"/>
                    </a:xfrm>
                    <a:prstGeom prst="rect">
                      <a:avLst/>
                    </a:prstGeom>
                  </pic:spPr>
                </pic:pic>
              </a:graphicData>
            </a:graphic>
          </wp:inline>
        </w:drawing>
      </w:r>
    </w:p>
    <w:p>
      <w:pPr>
        <w:spacing w:after="240"/>
        <w:jc w:val="center"/>
      </w:pPr>
      <w:r>
        <w:rPr>
          <w:i/>
          <w:iCs/>
          <w:color w:val="555555"/>
          <w:sz w:val="18"/>
          <w:szCs w:val="18"/>
        </w:rPr>
        <w:t xml:space="preserve">Figure 1 — Entity relationships (solid = ownership/foreign key, dashed = citation reference)</w:t>
      </w:r>
    </w:p>
    <w:p>
      <w:pPr>
        <w:pStyle w:val="Heading2"/>
        <w:spacing w:after="120" w:before="240"/>
      </w:pPr>
      <w:r>
        <w:t xml:space="preserve">Notes</w:t>
      </w:r>
    </w:p>
    <w:p>
      <w:pPr>
        <w:pStyle w:val="ListParagraph"/>
        <w:numPr>
          <w:ilvl w:val="0"/>
          <w:numId w:val="1"/>
        </w:numPr>
        <w:spacing w:after="80"/>
      </w:pPr>
      <w:r>
        <w:t xml:space="preserve">Chunk.embedding_vector is stored via pgvector, co-located with relational data per SRS Section 7 (no separate vector database in v1).</w:t>
      </w:r>
    </w:p>
    <w:p>
      <w:pPr>
        <w:pStyle w:val="ListParagraph"/>
        <w:numPr>
          <w:ilvl w:val="0"/>
          <w:numId w:val="1"/>
        </w:numPr>
        <w:spacing w:after="80"/>
      </w:pPr>
      <w:r>
        <w:t xml:space="preserve">Message.citations is a JSON array of {chunk_id, document_id, source_location} references rather than a normalized join table, since citations are read together with the message and don't need independent querying in v1.</w:t>
      </w:r>
    </w:p>
    <w:p>
      <w:pPr>
        <w:pStyle w:val="ListParagraph"/>
        <w:numPr>
          <w:ilvl w:val="0"/>
          <w:numId w:val="1"/>
        </w:numPr>
        <w:spacing w:after="80"/>
      </w:pPr>
      <w:r>
        <w:t xml:space="preserve">Document.status and Chunk.source_location map directly to FR-004 acceptance criteria (processing SLA, source metadata).</w:t>
      </w:r>
    </w:p>
    <w:p>
      <w:pPr>
        <w:pStyle w:val="Heading1"/>
        <w:spacing w:after="150" w:before="300"/>
      </w:pPr>
      <w:r>
        <w:t xml:space="preserve">3. Sequence Diagrams</w:t>
      </w:r>
    </w:p>
    <w:p>
      <w:pPr>
        <w:spacing w:after="160"/>
      </w:pPr>
      <w:r>
        <w:t xml:space="preserve">Three primary flows cover the v1 functional scope (FR-001, FR-003–FR-007).</w:t>
      </w:r>
    </w:p>
    <w:p>
      <w:pPr>
        <w:pStyle w:val="Heading2"/>
        <w:spacing w:after="120" w:before="240"/>
      </w:pPr>
      <w:r>
        <w:t xml:space="preserve">3.1 Authentication</w:t>
      </w:r>
    </w:p>
    <w:p>
      <w:pPr>
        <w:spacing w:after="80" w:before="120"/>
        <w:jc w:val="center"/>
      </w:pPr>
      <w:r>
        <w:drawing>
          <wp:inline distT="0" distB="0" distL="0" distR="0">
            <wp:extent cx="323850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6038850"/>
                    </a:xfrm>
                    <a:prstGeom prst="rect">
                      <a:avLst/>
                    </a:prstGeom>
                  </pic:spPr>
                </pic:pic>
              </a:graphicData>
            </a:graphic>
          </wp:inline>
        </w:drawing>
      </w:r>
    </w:p>
    <w:p>
      <w:pPr>
        <w:spacing w:after="240"/>
        <w:jc w:val="center"/>
      </w:pPr>
      <w:r>
        <w:rPr>
          <w:i/>
          <w:iCs/>
          <w:color w:val="555555"/>
          <w:sz w:val="18"/>
          <w:szCs w:val="18"/>
        </w:rPr>
        <w:t xml:space="preserve">Figure 2 — Registration / login (FR-001)</w:t>
      </w:r>
    </w:p>
    <w:p>
      <w:pPr>
        <w:pStyle w:val="Heading2"/>
        <w:spacing w:after="120" w:before="240"/>
      </w:pPr>
      <w:r>
        <w:t xml:space="preserve">3.2 Document Upload &amp; Indexing</w:t>
      </w:r>
    </w:p>
    <w:p>
      <w:pPr>
        <w:spacing w:after="80" w:before="120"/>
        <w:jc w:val="center"/>
      </w:pPr>
      <w:r>
        <w:drawing>
          <wp:inline distT="0" distB="0" distL="0" distR="0">
            <wp:extent cx="257175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6200775"/>
                    </a:xfrm>
                    <a:prstGeom prst="rect">
                      <a:avLst/>
                    </a:prstGeom>
                  </pic:spPr>
                </pic:pic>
              </a:graphicData>
            </a:graphic>
          </wp:inline>
        </w:drawing>
      </w:r>
    </w:p>
    <w:p>
      <w:pPr>
        <w:spacing w:after="240"/>
        <w:jc w:val="center"/>
      </w:pPr>
      <w:r>
        <w:rPr>
          <w:i/>
          <w:iCs/>
          <w:color w:val="555555"/>
          <w:sz w:val="18"/>
          <w:szCs w:val="18"/>
        </w:rPr>
        <w:t xml:space="preserve">Figure 3 — Upload through indexing (FR-003, FR-004)</w:t>
      </w:r>
    </w:p>
    <w:p>
      <w:pPr>
        <w:pStyle w:val="Heading2"/>
        <w:spacing w:after="120" w:before="240"/>
      </w:pPr>
      <w:r>
        <w:t xml:space="preserve">3.3 Conversational RAG Q&amp;A</w:t>
      </w:r>
    </w:p>
    <w:p>
      <w:pPr>
        <w:spacing w:after="80" w:before="120"/>
        <w:jc w:val="center"/>
      </w:pPr>
      <w:r>
        <w:drawing>
          <wp:inline distT="0" distB="0" distL="0" distR="0">
            <wp:extent cx="233362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33625" cy="6191250"/>
                    </a:xfrm>
                    <a:prstGeom prst="rect">
                      <a:avLst/>
                    </a:prstGeom>
                  </pic:spPr>
                </pic:pic>
              </a:graphicData>
            </a:graphic>
          </wp:inline>
        </w:drawing>
      </w:r>
    </w:p>
    <w:p>
      <w:pPr>
        <w:spacing w:after="240"/>
        <w:jc w:val="center"/>
      </w:pPr>
      <w:r>
        <w:rPr>
          <w:i/>
          <w:iCs/>
          <w:color w:val="555555"/>
          <w:sz w:val="18"/>
          <w:szCs w:val="18"/>
        </w:rPr>
        <w:t xml:space="preserve">Figure 4 — Retrieval-augmented question answering (FR-005–FR-007)</w:t>
      </w:r>
    </w:p>
    <w:p>
      <w:r>
        <w:br w:type="page"/>
      </w:r>
    </w:p>
    <w:p>
      <w:pPr>
        <w:pStyle w:val="Heading1"/>
        <w:spacing w:after="150" w:before="300"/>
      </w:pPr>
      <w:r>
        <w:t xml:space="preserve">4. API Layer Design (Provider-Agnostic)</w:t>
      </w:r>
    </w:p>
    <w:p>
      <w:pPr>
        <w:spacing w:after="160"/>
      </w:pPr>
      <w:r>
        <w:t xml:space="preserve">This is a resource-and-responsibility map, not a formal contract. Exact request/response schemas, error envelopes, and pagination conventions are deliberately left open until framework and provider decisions are finalized — this keeps the API layer swappable per SRS Section 6 (API Layer owns validation/translation only) and Section 11 (provider independence).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800"/>
        <w:gridCol w:w="1360"/>
      </w:tblGrid>
      <w:tr>
        <w:trPr>
          <w:tblHeader/>
        </w:trPr>
        <w:tc>
          <w:tcPr>
            <w:tcW w:type="dxa" w:w="3200"/>
            <w:shd w:fill="2F5496" w:val="clear"/>
            <w:vAlign w:val="center"/>
          </w:tcPr>
          <w:p>
            <w:r>
              <w:rPr>
                <w:b/>
                <w:bCs/>
                <w:color w:val="FFFFFF"/>
                <w:sz w:val="19"/>
                <w:szCs w:val="19"/>
              </w:rPr>
              <w:t xml:space="preserve">Resource</w:t>
            </w:r>
          </w:p>
        </w:tc>
        <w:tc>
          <w:tcPr>
            <w:tcW w:type="dxa" w:w="1400"/>
            <w:shd w:fill="2F5496" w:val="clear"/>
            <w:vAlign w:val="center"/>
          </w:tcPr>
          <w:p>
            <w:r>
              <w:rPr>
                <w:b/>
                <w:bCs/>
                <w:color w:val="FFFFFF"/>
                <w:sz w:val="19"/>
                <w:szCs w:val="19"/>
              </w:rPr>
              <w:t xml:space="preserve">Method(s)</w:t>
            </w:r>
          </w:p>
        </w:tc>
        <w:tc>
          <w:tcPr>
            <w:tcW w:type="dxa" w:w="3800"/>
            <w:shd w:fill="2F5496" w:val="clear"/>
            <w:vAlign w:val="center"/>
          </w:tcPr>
          <w:p>
            <w:r>
              <w:rPr>
                <w:b/>
                <w:bCs/>
                <w:color w:val="FFFFFF"/>
                <w:sz w:val="19"/>
                <w:szCs w:val="19"/>
              </w:rPr>
              <w:t xml:space="preserve">Responsibility</w:t>
            </w:r>
          </w:p>
        </w:tc>
        <w:tc>
          <w:tcPr>
            <w:tcW w:type="dxa" w:w="1360"/>
            <w:shd w:fill="2F5496" w:val="clear"/>
            <w:vAlign w:val="center"/>
          </w:tcPr>
          <w:p>
            <w:r>
              <w:rPr>
                <w:b/>
                <w:bCs/>
                <w:color w:val="FFFFFF"/>
                <w:sz w:val="19"/>
                <w:szCs w:val="19"/>
              </w:rPr>
              <w:t xml:space="preserve">Auth</w:t>
            </w:r>
          </w:p>
        </w:tc>
      </w:tr>
      <w:tr>
        <w:tc>
          <w:tcPr>
            <w:tcW w:type="dxa" w:w="3200"/>
            <w:vAlign w:val="center"/>
          </w:tcPr>
          <w:p>
            <w:r>
              <w:rPr>
                <w:b w:val="false"/>
                <w:bCs w:val="false"/>
                <w:color w:val="000000"/>
                <w:sz w:val="19"/>
                <w:szCs w:val="19"/>
              </w:rPr>
              <w:t xml:space="preserve">/auth/register, /auth/login</w:t>
            </w:r>
          </w:p>
        </w:tc>
        <w:tc>
          <w:tcPr>
            <w:tcW w:type="dxa" w:w="1400"/>
            <w:vAlign w:val="center"/>
          </w:tcPr>
          <w:p>
            <w:r>
              <w:rPr>
                <w:b w:val="false"/>
                <w:bCs w:val="false"/>
                <w:color w:val="000000"/>
                <w:sz w:val="19"/>
                <w:szCs w:val="19"/>
              </w:rPr>
              <w:t xml:space="preserve">POST</w:t>
            </w:r>
          </w:p>
        </w:tc>
        <w:tc>
          <w:tcPr>
            <w:tcW w:type="dxa" w:w="3800"/>
            <w:vAlign w:val="center"/>
          </w:tcPr>
          <w:p>
            <w:r>
              <w:rPr>
                <w:b w:val="false"/>
                <w:bCs w:val="false"/>
                <w:color w:val="000000"/>
                <w:sz w:val="19"/>
                <w:szCs w:val="19"/>
              </w:rPr>
              <w:t xml:space="preserve">Create account / issue JWT (FR-001)</w:t>
            </w:r>
          </w:p>
        </w:tc>
        <w:tc>
          <w:tcPr>
            <w:tcW w:type="dxa" w:w="1360"/>
            <w:vAlign w:val="center"/>
          </w:tcPr>
          <w:p>
            <w:r>
              <w:rPr>
                <w:b w:val="false"/>
                <w:bCs w:val="false"/>
                <w:color w:val="000000"/>
                <w:sz w:val="19"/>
                <w:szCs w:val="19"/>
              </w:rPr>
              <w:t xml:space="preserve">Public</w:t>
            </w:r>
          </w:p>
        </w:tc>
      </w:tr>
      <w:tr>
        <w:tc>
          <w:tcPr>
            <w:tcW w:type="dxa" w:w="3200"/>
            <w:vAlign w:val="center"/>
          </w:tcPr>
          <w:p>
            <w:r>
              <w:rPr>
                <w:b w:val="false"/>
                <w:bCs w:val="false"/>
                <w:color w:val="000000"/>
                <w:sz w:val="19"/>
                <w:szCs w:val="19"/>
              </w:rPr>
              <w:t xml:space="preserve">/users/me</w:t>
            </w:r>
          </w:p>
        </w:tc>
        <w:tc>
          <w:tcPr>
            <w:tcW w:type="dxa" w:w="1400"/>
            <w:vAlign w:val="center"/>
          </w:tcPr>
          <w:p>
            <w:r>
              <w:rPr>
                <w:b w:val="false"/>
                <w:bCs w:val="false"/>
                <w:color w:val="000000"/>
                <w:sz w:val="19"/>
                <w:szCs w:val="19"/>
              </w:rPr>
              <w:t xml:space="preserve">GET, PATCH</w:t>
            </w:r>
          </w:p>
        </w:tc>
        <w:tc>
          <w:tcPr>
            <w:tcW w:type="dxa" w:w="3800"/>
            <w:vAlign w:val="center"/>
          </w:tcPr>
          <w:p>
            <w:r>
              <w:rPr>
                <w:b w:val="false"/>
                <w:bCs w:val="false"/>
                <w:color w:val="000000"/>
                <w:sz w:val="19"/>
                <w:szCs w:val="19"/>
              </w:rPr>
              <w:t xml:space="preserve">Read/update profile &amp; role (FR-002)</w:t>
            </w:r>
          </w:p>
        </w:tc>
        <w:tc>
          <w:tcPr>
            <w:tcW w:type="dxa" w:w="1360"/>
            <w:vAlign w:val="center"/>
          </w:tcPr>
          <w:p>
            <w:r>
              <w:rPr>
                <w:b w:val="false"/>
                <w:bCs w:val="false"/>
                <w:color w:val="000000"/>
                <w:sz w:val="19"/>
                <w:szCs w:val="19"/>
              </w:rPr>
              <w:t xml:space="preserve">User</w:t>
            </w:r>
          </w:p>
        </w:tc>
      </w:tr>
      <w:tr>
        <w:tc>
          <w:tcPr>
            <w:tcW w:type="dxa" w:w="3200"/>
            <w:vAlign w:val="center"/>
          </w:tcPr>
          <w:p>
            <w:r>
              <w:rPr>
                <w:b w:val="false"/>
                <w:bCs w:val="false"/>
                <w:color w:val="000000"/>
                <w:sz w:val="19"/>
                <w:szCs w:val="19"/>
              </w:rPr>
              <w:t xml:space="preserve">/documents</w:t>
            </w:r>
          </w:p>
        </w:tc>
        <w:tc>
          <w:tcPr>
            <w:tcW w:type="dxa" w:w="1400"/>
            <w:vAlign w:val="center"/>
          </w:tcPr>
          <w:p>
            <w:r>
              <w:rPr>
                <w:b w:val="false"/>
                <w:bCs w:val="false"/>
                <w:color w:val="000000"/>
                <w:sz w:val="19"/>
                <w:szCs w:val="19"/>
              </w:rPr>
              <w:t xml:space="preserve">POST, GET</w:t>
            </w:r>
          </w:p>
        </w:tc>
        <w:tc>
          <w:tcPr>
            <w:tcW w:type="dxa" w:w="3800"/>
            <w:vAlign w:val="center"/>
          </w:tcPr>
          <w:p>
            <w:r>
              <w:rPr>
                <w:b w:val="false"/>
                <w:bCs w:val="false"/>
                <w:color w:val="000000"/>
                <w:sz w:val="19"/>
                <w:szCs w:val="19"/>
              </w:rPr>
              <w:t xml:space="preserve">Upload document; list owned/shared documents (FR-003)</w:t>
            </w:r>
          </w:p>
        </w:tc>
        <w:tc>
          <w:tcPr>
            <w:tcW w:type="dxa" w:w="1360"/>
            <w:vAlign w:val="center"/>
          </w:tcPr>
          <w:p>
            <w:r>
              <w:rPr>
                <w:b w:val="false"/>
                <w:bCs w:val="false"/>
                <w:color w:val="000000"/>
                <w:sz w:val="19"/>
                <w:szCs w:val="19"/>
              </w:rPr>
              <w:t xml:space="preserve">User</w:t>
            </w:r>
          </w:p>
        </w:tc>
      </w:tr>
      <w:tr>
        <w:tc>
          <w:tcPr>
            <w:tcW w:type="dxa" w:w="3200"/>
            <w:vAlign w:val="center"/>
          </w:tcPr>
          <w:p>
            <w:r>
              <w:rPr>
                <w:b w:val="false"/>
                <w:bCs w:val="false"/>
                <w:color w:val="000000"/>
                <w:sz w:val="19"/>
                <w:szCs w:val="19"/>
              </w:rPr>
              <w:t xml:space="preserve">/documents/{id}</w:t>
            </w:r>
          </w:p>
        </w:tc>
        <w:tc>
          <w:tcPr>
            <w:tcW w:type="dxa" w:w="1400"/>
            <w:vAlign w:val="center"/>
          </w:tcPr>
          <w:p>
            <w:r>
              <w:rPr>
                <w:b w:val="false"/>
                <w:bCs w:val="false"/>
                <w:color w:val="000000"/>
                <w:sz w:val="19"/>
                <w:szCs w:val="19"/>
              </w:rPr>
              <w:t xml:space="preserve">GET, DELETE</w:t>
            </w:r>
          </w:p>
        </w:tc>
        <w:tc>
          <w:tcPr>
            <w:tcW w:type="dxa" w:w="3800"/>
            <w:vAlign w:val="center"/>
          </w:tcPr>
          <w:p>
            <w:r>
              <w:rPr>
                <w:b w:val="false"/>
                <w:bCs w:val="false"/>
                <w:color w:val="000000"/>
                <w:sz w:val="19"/>
                <w:szCs w:val="19"/>
              </w:rPr>
              <w:t xml:space="preserve">Document status/metadata; delete + purge (FR-003, Sec.10)</w:t>
            </w:r>
          </w:p>
        </w:tc>
        <w:tc>
          <w:tcPr>
            <w:tcW w:type="dxa" w:w="1360"/>
            <w:vAlign w:val="center"/>
          </w:tcPr>
          <w:p>
            <w:r>
              <w:rPr>
                <w:b w:val="false"/>
                <w:bCs w:val="false"/>
                <w:color w:val="000000"/>
                <w:sz w:val="19"/>
                <w:szCs w:val="19"/>
              </w:rPr>
              <w:t xml:space="preserve">Owner/Admin</w:t>
            </w:r>
          </w:p>
        </w:tc>
      </w:tr>
      <w:tr>
        <w:tc>
          <w:tcPr>
            <w:tcW w:type="dxa" w:w="3200"/>
            <w:vAlign w:val="center"/>
          </w:tcPr>
          <w:p>
            <w:r>
              <w:rPr>
                <w:b w:val="false"/>
                <w:bCs w:val="false"/>
                <w:color w:val="000000"/>
                <w:sz w:val="19"/>
                <w:szCs w:val="19"/>
              </w:rPr>
              <w:t xml:space="preserve">/conversations</w:t>
            </w:r>
          </w:p>
        </w:tc>
        <w:tc>
          <w:tcPr>
            <w:tcW w:type="dxa" w:w="1400"/>
            <w:vAlign w:val="center"/>
          </w:tcPr>
          <w:p>
            <w:r>
              <w:rPr>
                <w:b w:val="false"/>
                <w:bCs w:val="false"/>
                <w:color w:val="000000"/>
                <w:sz w:val="19"/>
                <w:szCs w:val="19"/>
              </w:rPr>
              <w:t xml:space="preserve">POST, GET</w:t>
            </w:r>
          </w:p>
        </w:tc>
        <w:tc>
          <w:tcPr>
            <w:tcW w:type="dxa" w:w="3800"/>
            <w:vAlign w:val="center"/>
          </w:tcPr>
          <w:p>
            <w:r>
              <w:rPr>
                <w:b w:val="false"/>
                <w:bCs w:val="false"/>
                <w:color w:val="000000"/>
                <w:sz w:val="19"/>
                <w:szCs w:val="19"/>
              </w:rPr>
              <w:t xml:space="preserve">Create/list conversations (FR-008)</w:t>
            </w:r>
          </w:p>
        </w:tc>
        <w:tc>
          <w:tcPr>
            <w:tcW w:type="dxa" w:w="1360"/>
            <w:vAlign w:val="center"/>
          </w:tcPr>
          <w:p>
            <w:r>
              <w:rPr>
                <w:b w:val="false"/>
                <w:bCs w:val="false"/>
                <w:color w:val="000000"/>
                <w:sz w:val="19"/>
                <w:szCs w:val="19"/>
              </w:rPr>
              <w:t xml:space="preserve">User</w:t>
            </w:r>
          </w:p>
        </w:tc>
      </w:tr>
      <w:tr>
        <w:tc>
          <w:tcPr>
            <w:tcW w:type="dxa" w:w="3200"/>
            <w:vAlign w:val="center"/>
          </w:tcPr>
          <w:p>
            <w:r>
              <w:rPr>
                <w:b w:val="false"/>
                <w:bCs w:val="false"/>
                <w:color w:val="000000"/>
                <w:sz w:val="19"/>
                <w:szCs w:val="19"/>
              </w:rPr>
              <w:t xml:space="preserve">/conversations/{id}/messages</w:t>
            </w:r>
          </w:p>
        </w:tc>
        <w:tc>
          <w:tcPr>
            <w:tcW w:type="dxa" w:w="1400"/>
            <w:vAlign w:val="center"/>
          </w:tcPr>
          <w:p>
            <w:r>
              <w:rPr>
                <w:b w:val="false"/>
                <w:bCs w:val="false"/>
                <w:color w:val="000000"/>
                <w:sz w:val="19"/>
                <w:szCs w:val="19"/>
              </w:rPr>
              <w:t xml:space="preserve">POST, GET</w:t>
            </w:r>
          </w:p>
        </w:tc>
        <w:tc>
          <w:tcPr>
            <w:tcW w:type="dxa" w:w="3800"/>
            <w:vAlign w:val="center"/>
          </w:tcPr>
          <w:p>
            <w:r>
              <w:rPr>
                <w:b w:val="false"/>
                <w:bCs w:val="false"/>
                <w:color w:val="000000"/>
                <w:sz w:val="19"/>
                <w:szCs w:val="19"/>
              </w:rPr>
              <w:t xml:space="preserve">Ask question; retrieve message + citation history (FR-006, FR-007, FR-008)</w:t>
            </w:r>
          </w:p>
        </w:tc>
        <w:tc>
          <w:tcPr>
            <w:tcW w:type="dxa" w:w="1360"/>
            <w:vAlign w:val="center"/>
          </w:tcPr>
          <w:p>
            <w:r>
              <w:rPr>
                <w:b w:val="false"/>
                <w:bCs w:val="false"/>
                <w:color w:val="000000"/>
                <w:sz w:val="19"/>
                <w:szCs w:val="19"/>
              </w:rPr>
              <w:t xml:space="preserve">User</w:t>
            </w:r>
          </w:p>
        </w:tc>
      </w:tr>
      <w:tr>
        <w:tc>
          <w:tcPr>
            <w:tcW w:type="dxa" w:w="3200"/>
            <w:vAlign w:val="center"/>
          </w:tcPr>
          <w:p>
            <w:r>
              <w:rPr>
                <w:b w:val="false"/>
                <w:bCs w:val="false"/>
                <w:color w:val="000000"/>
                <w:sz w:val="19"/>
                <w:szCs w:val="19"/>
              </w:rPr>
              <w:t xml:space="preserve">/admin/users, /admin/documents, /admin/settings</w:t>
            </w:r>
          </w:p>
        </w:tc>
        <w:tc>
          <w:tcPr>
            <w:tcW w:type="dxa" w:w="1400"/>
            <w:vAlign w:val="center"/>
          </w:tcPr>
          <w:p>
            <w:r>
              <w:rPr>
                <w:b w:val="false"/>
                <w:bCs w:val="false"/>
                <w:color w:val="000000"/>
                <w:sz w:val="19"/>
                <w:szCs w:val="19"/>
              </w:rPr>
              <w:t xml:space="preserve">GET, PATCH</w:t>
            </w:r>
          </w:p>
        </w:tc>
        <w:tc>
          <w:tcPr>
            <w:tcW w:type="dxa" w:w="3800"/>
            <w:vAlign w:val="center"/>
          </w:tcPr>
          <w:p>
            <w:r>
              <w:rPr>
                <w:b w:val="false"/>
                <w:bCs w:val="false"/>
                <w:color w:val="000000"/>
                <w:sz w:val="19"/>
                <w:szCs w:val="19"/>
              </w:rPr>
              <w:t xml:space="preserve">Administration (FR-009)</w:t>
            </w:r>
          </w:p>
        </w:tc>
        <w:tc>
          <w:tcPr>
            <w:tcW w:type="dxa" w:w="1360"/>
            <w:vAlign w:val="center"/>
          </w:tcPr>
          <w:p>
            <w:r>
              <w:rPr>
                <w:b w:val="false"/>
                <w:bCs w:val="false"/>
                <w:color w:val="000000"/>
                <w:sz w:val="19"/>
                <w:szCs w:val="19"/>
              </w:rPr>
              <w:t xml:space="preserve">Admin</w:t>
            </w:r>
          </w:p>
        </w:tc>
      </w:tr>
    </w:tbl>
    <w:p>
      <w:pPr>
        <w:pStyle w:val="Heading2"/>
        <w:spacing w:after="120" w:before="240"/>
      </w:pPr>
      <w:r>
        <w:t xml:space="preserve">Deferred to implementation phase</w:t>
      </w:r>
    </w:p>
    <w:p>
      <w:pPr>
        <w:pStyle w:val="ListParagraph"/>
        <w:numPr>
          <w:ilvl w:val="0"/>
          <w:numId w:val="1"/>
        </w:numPr>
        <w:spacing w:after="80"/>
      </w:pPr>
      <w:r>
        <w:t xml:space="preserve">Formal OpenAPI/JSON Schema generation (auto-derivable from FastAPI + Pydantic models per SRS Section 7).</w:t>
      </w:r>
    </w:p>
    <w:p>
      <w:pPr>
        <w:pStyle w:val="ListParagraph"/>
        <w:numPr>
          <w:ilvl w:val="0"/>
          <w:numId w:val="1"/>
        </w:numPr>
        <w:spacing w:after="80"/>
      </w:pPr>
      <w:r>
        <w:t xml:space="preserve">Error response envelope shape and error-code taxonomy (must cover the degraded-mode states in SRS Section 9).</w:t>
      </w:r>
    </w:p>
    <w:p>
      <w:pPr>
        <w:pStyle w:val="ListParagraph"/>
        <w:numPr>
          <w:ilvl w:val="0"/>
          <w:numId w:val="1"/>
        </w:numPr>
        <w:spacing w:after="80"/>
      </w:pPr>
      <w:r>
        <w:t xml:space="preserve">Pagination, filtering, and sorting conventions for list endpoints.</w:t>
      </w:r>
    </w:p>
    <w:p>
      <w:pPr>
        <w:pStyle w:val="ListParagraph"/>
        <w:numPr>
          <w:ilvl w:val="0"/>
          <w:numId w:val="1"/>
        </w:numPr>
        <w:spacing w:after="80"/>
      </w:pPr>
      <w:r>
        <w:t xml:space="preserve">Versioning strategy for the API layer (e.g., URL prefix vs. header-based).</w:t>
      </w:r>
    </w:p>
    <w:p>
      <w:r>
        <w:br w:type="page"/>
      </w:r>
    </w:p>
    <w:p>
      <w:pPr>
        <w:pStyle w:val="Heading1"/>
        <w:spacing w:after="150" w:before="300"/>
      </w:pPr>
      <w:r>
        <w:t xml:space="preserve">5. Module / Service Design</w:t>
      </w:r>
    </w:p>
    <w:p>
      <w:pPr>
        <w:spacing w:after="160"/>
      </w:pPr>
      <w:r>
        <w:t xml:space="preserve">Expands SRS Section 8. Each service is framework-agnostic business logic (SRS Section 6) sitting behind the API layer and above the repository layer.</w:t>
      </w:r>
    </w:p>
    <w:p>
      <w:pPr>
        <w:pStyle w:val="Heading2"/>
        <w:spacing w:after="120" w:before="240"/>
      </w:pPr>
      <w:r>
        <w:t xml:space="preserve">5.1 Auth Service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shd w:fill="2F5496" w:val="clear"/>
            <w:vAlign w:val="center"/>
          </w:tcPr>
          <w:p>
            <w:r>
              <w:rPr>
                <w:b/>
                <w:bCs/>
                <w:color w:val="FFFFFF"/>
                <w:sz w:val="19"/>
                <w:szCs w:val="19"/>
              </w:rPr>
              <w:t xml:space="preserve">Aspect</w:t>
            </w:r>
          </w:p>
        </w:tc>
        <w:tc>
          <w:tcPr>
            <w:tcW w:type="dxa" w:w="6960"/>
            <w:shd w:fill="2F5496" w:val="clear"/>
            <w:vAlign w:val="center"/>
          </w:tcPr>
          <w:p>
            <w:r>
              <w:rPr>
                <w:b/>
                <w:bCs/>
                <w:color w:val="FFFFFF"/>
                <w:sz w:val="19"/>
                <w:szCs w:val="19"/>
              </w:rPr>
              <w:t xml:space="preserve">Detail</w:t>
            </w:r>
          </w:p>
        </w:tc>
      </w:tr>
      <w:tr>
        <w:tc>
          <w:tcPr>
            <w:tcW w:type="dxa" w:w="2600"/>
            <w:vAlign w:val="center"/>
          </w:tcPr>
          <w:p>
            <w:r>
              <w:rPr>
                <w:b w:val="false"/>
                <w:bCs w:val="false"/>
                <w:color w:val="000000"/>
                <w:sz w:val="19"/>
                <w:szCs w:val="19"/>
              </w:rPr>
              <w:t xml:space="preserve">Responsibilities</w:t>
            </w:r>
          </w:p>
        </w:tc>
        <w:tc>
          <w:tcPr>
            <w:tcW w:type="dxa" w:w="6960"/>
            <w:vAlign w:val="center"/>
          </w:tcPr>
          <w:p>
            <w:r>
              <w:rPr>
                <w:b w:val="false"/>
                <w:bCs w:val="false"/>
                <w:color w:val="000000"/>
                <w:sz w:val="19"/>
                <w:szCs w:val="19"/>
              </w:rPr>
              <w:t xml:space="preserve">Registration, credential verification, password hashing, JWT issuance/validation, role checks</w:t>
            </w:r>
          </w:p>
        </w:tc>
      </w:tr>
      <w:tr>
        <w:tc>
          <w:tcPr>
            <w:tcW w:type="dxa" w:w="2600"/>
            <w:vAlign w:val="center"/>
          </w:tcPr>
          <w:p>
            <w:r>
              <w:rPr>
                <w:b w:val="false"/>
                <w:bCs w:val="false"/>
                <w:color w:val="000000"/>
                <w:sz w:val="19"/>
                <w:szCs w:val="19"/>
              </w:rPr>
              <w:t xml:space="preserve">Depends on</w:t>
            </w:r>
          </w:p>
        </w:tc>
        <w:tc>
          <w:tcPr>
            <w:tcW w:type="dxa" w:w="6960"/>
            <w:vAlign w:val="center"/>
          </w:tcPr>
          <w:p>
            <w:r>
              <w:rPr>
                <w:b w:val="false"/>
                <w:bCs w:val="false"/>
                <w:color w:val="000000"/>
                <w:sz w:val="19"/>
                <w:szCs w:val="19"/>
              </w:rPr>
              <w:t xml:space="preserve">User Repository; secret store for signing key (NFR-004)</w:t>
            </w:r>
          </w:p>
        </w:tc>
      </w:tr>
      <w:tr>
        <w:tc>
          <w:tcPr>
            <w:tcW w:type="dxa" w:w="2600"/>
            <w:vAlign w:val="center"/>
          </w:tcPr>
          <w:p>
            <w:r>
              <w:rPr>
                <w:b w:val="false"/>
                <w:bCs w:val="false"/>
                <w:color w:val="000000"/>
                <w:sz w:val="19"/>
                <w:szCs w:val="19"/>
              </w:rPr>
              <w:t xml:space="preserve">Key design points</w:t>
            </w:r>
          </w:p>
        </w:tc>
        <w:tc>
          <w:tcPr>
            <w:tcW w:type="dxa" w:w="6960"/>
            <w:vAlign w:val="center"/>
          </w:tcPr>
          <w:p>
            <w:r>
              <w:rPr>
                <w:b w:val="false"/>
                <w:bCs w:val="false"/>
                <w:color w:val="000000"/>
                <w:sz w:val="19"/>
                <w:szCs w:val="19"/>
              </w:rPr>
              <w:t xml:space="preserve">Password hashing via bcrypt/argon2; JWT short-lived access token (+ refresh strategy TBD); role checks enforced in API layer via dependency injection, not scattered per-route</w:t>
            </w:r>
          </w:p>
        </w:tc>
      </w:tr>
      <w:tr>
        <w:tc>
          <w:tcPr>
            <w:tcW w:type="dxa" w:w="2600"/>
            <w:vAlign w:val="center"/>
          </w:tcPr>
          <w:p>
            <w:r>
              <w:rPr>
                <w:b w:val="false"/>
                <w:bCs w:val="false"/>
                <w:color w:val="000000"/>
                <w:sz w:val="19"/>
                <w:szCs w:val="19"/>
              </w:rPr>
              <w:t xml:space="preserve">Open questions</w:t>
            </w:r>
          </w:p>
        </w:tc>
        <w:tc>
          <w:tcPr>
            <w:tcW w:type="dxa" w:w="6960"/>
            <w:vAlign w:val="center"/>
          </w:tcPr>
          <w:p>
            <w:r>
              <w:rPr>
                <w:b w:val="false"/>
                <w:bCs w:val="false"/>
                <w:color w:val="000000"/>
                <w:sz w:val="19"/>
                <w:szCs w:val="19"/>
              </w:rPr>
              <w:t xml:space="preserve">Refresh token strategy; SSO/OAuth as a future provider-agnostic extension</w:t>
            </w:r>
          </w:p>
        </w:tc>
      </w:tr>
    </w:tbl>
    <w:p>
      <w:pPr>
        <w:pStyle w:val="Heading2"/>
        <w:spacing w:after="120" w:before="240"/>
      </w:pPr>
      <w:r>
        <w:t xml:space="preserve">5.2 Document Service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shd w:fill="2F5496" w:val="clear"/>
            <w:vAlign w:val="center"/>
          </w:tcPr>
          <w:p>
            <w:r>
              <w:rPr>
                <w:b/>
                <w:bCs/>
                <w:color w:val="FFFFFF"/>
                <w:sz w:val="19"/>
                <w:szCs w:val="19"/>
              </w:rPr>
              <w:t xml:space="preserve">Aspect</w:t>
            </w:r>
          </w:p>
        </w:tc>
        <w:tc>
          <w:tcPr>
            <w:tcW w:type="dxa" w:w="6960"/>
            <w:shd w:fill="2F5496" w:val="clear"/>
            <w:vAlign w:val="center"/>
          </w:tcPr>
          <w:p>
            <w:r>
              <w:rPr>
                <w:b/>
                <w:bCs/>
                <w:color w:val="FFFFFF"/>
                <w:sz w:val="19"/>
                <w:szCs w:val="19"/>
              </w:rPr>
              <w:t xml:space="preserve">Detail</w:t>
            </w:r>
          </w:p>
        </w:tc>
      </w:tr>
      <w:tr>
        <w:tc>
          <w:tcPr>
            <w:tcW w:type="dxa" w:w="2600"/>
            <w:vAlign w:val="center"/>
          </w:tcPr>
          <w:p>
            <w:r>
              <w:rPr>
                <w:b w:val="false"/>
                <w:bCs w:val="false"/>
                <w:color w:val="000000"/>
                <w:sz w:val="19"/>
                <w:szCs w:val="19"/>
              </w:rPr>
              <w:t xml:space="preserve">Responsibilities</w:t>
            </w:r>
          </w:p>
        </w:tc>
        <w:tc>
          <w:tcPr>
            <w:tcW w:type="dxa" w:w="6960"/>
            <w:vAlign w:val="center"/>
          </w:tcPr>
          <w:p>
            <w:r>
              <w:rPr>
                <w:b w:val="false"/>
                <w:bCs w:val="false"/>
                <w:color w:val="000000"/>
                <w:sz w:val="19"/>
                <w:szCs w:val="19"/>
              </w:rPr>
              <w:t xml:space="preserve">Upload validation (type/size), storage, parsing, normalization, chunking, status tracking, deletion (Sec.10)</w:t>
            </w:r>
          </w:p>
        </w:tc>
      </w:tr>
      <w:tr>
        <w:tc>
          <w:tcPr>
            <w:tcW w:type="dxa" w:w="2600"/>
            <w:vAlign w:val="center"/>
          </w:tcPr>
          <w:p>
            <w:r>
              <w:rPr>
                <w:b w:val="false"/>
                <w:bCs w:val="false"/>
                <w:color w:val="000000"/>
                <w:sz w:val="19"/>
                <w:szCs w:val="19"/>
              </w:rPr>
              <w:t xml:space="preserve">Depends on</w:t>
            </w:r>
          </w:p>
        </w:tc>
        <w:tc>
          <w:tcPr>
            <w:tcW w:type="dxa" w:w="6960"/>
            <w:vAlign w:val="center"/>
          </w:tcPr>
          <w:p>
            <w:r>
              <w:rPr>
                <w:b w:val="false"/>
                <w:bCs w:val="false"/>
                <w:color w:val="000000"/>
                <w:sz w:val="19"/>
                <w:szCs w:val="19"/>
              </w:rPr>
              <w:t xml:space="preserve">Document/Chunk Repository; AI Service (embeddings); object storage (location TBD)</w:t>
            </w:r>
          </w:p>
        </w:tc>
      </w:tr>
      <w:tr>
        <w:tc>
          <w:tcPr>
            <w:tcW w:type="dxa" w:w="2600"/>
            <w:vAlign w:val="center"/>
          </w:tcPr>
          <w:p>
            <w:r>
              <w:rPr>
                <w:b w:val="false"/>
                <w:bCs w:val="false"/>
                <w:color w:val="000000"/>
                <w:sz w:val="19"/>
                <w:szCs w:val="19"/>
              </w:rPr>
              <w:t xml:space="preserve">Key design points</w:t>
            </w:r>
          </w:p>
        </w:tc>
        <w:tc>
          <w:tcPr>
            <w:tcW w:type="dxa" w:w="6960"/>
            <w:vAlign w:val="center"/>
          </w:tcPr>
          <w:p>
            <w:r>
              <w:rPr>
                <w:b w:val="false"/>
                <w:bCs w:val="false"/>
                <w:color w:val="000000"/>
                <w:sz w:val="19"/>
                <w:szCs w:val="19"/>
              </w:rPr>
              <w:t xml:space="preserve">Chunking is a pluggable strategy behind an interface (token-range configurable per NFR admin control, FR-009); processing is async so upload returns immediately (202) while indexing completes within the FR-004 SLA</w:t>
            </w:r>
          </w:p>
        </w:tc>
      </w:tr>
      <w:tr>
        <w:tc>
          <w:tcPr>
            <w:tcW w:type="dxa" w:w="2600"/>
            <w:vAlign w:val="center"/>
          </w:tcPr>
          <w:p>
            <w:r>
              <w:rPr>
                <w:b w:val="false"/>
                <w:bCs w:val="false"/>
                <w:color w:val="000000"/>
                <w:sz w:val="19"/>
                <w:szCs w:val="19"/>
              </w:rPr>
              <w:t xml:space="preserve">Open questions</w:t>
            </w:r>
          </w:p>
        </w:tc>
        <w:tc>
          <w:tcPr>
            <w:tcW w:type="dxa" w:w="6960"/>
            <w:vAlign w:val="center"/>
          </w:tcPr>
          <w:p>
            <w:r>
              <w:rPr>
                <w:b w:val="false"/>
                <w:bCs w:val="false"/>
                <w:color w:val="000000"/>
                <w:sz w:val="19"/>
                <w:szCs w:val="19"/>
              </w:rPr>
              <w:t xml:space="preserve">Object storage backend (local volume vs. S3-compatible); virus/malware scanning on upload</w:t>
            </w:r>
          </w:p>
        </w:tc>
      </w:tr>
    </w:tbl>
    <w:p>
      <w:pPr>
        <w:pStyle w:val="Heading2"/>
        <w:spacing w:after="120" w:before="240"/>
      </w:pPr>
      <w:r>
        <w:t xml:space="preserve">5.3 Vector Service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shd w:fill="2F5496" w:val="clear"/>
            <w:vAlign w:val="center"/>
          </w:tcPr>
          <w:p>
            <w:r>
              <w:rPr>
                <w:b/>
                <w:bCs/>
                <w:color w:val="FFFFFF"/>
                <w:sz w:val="19"/>
                <w:szCs w:val="19"/>
              </w:rPr>
              <w:t xml:space="preserve">Aspect</w:t>
            </w:r>
          </w:p>
        </w:tc>
        <w:tc>
          <w:tcPr>
            <w:tcW w:type="dxa" w:w="6960"/>
            <w:shd w:fill="2F5496" w:val="clear"/>
            <w:vAlign w:val="center"/>
          </w:tcPr>
          <w:p>
            <w:r>
              <w:rPr>
                <w:b/>
                <w:bCs/>
                <w:color w:val="FFFFFF"/>
                <w:sz w:val="19"/>
                <w:szCs w:val="19"/>
              </w:rPr>
              <w:t xml:space="preserve">Detail</w:t>
            </w:r>
          </w:p>
        </w:tc>
      </w:tr>
      <w:tr>
        <w:tc>
          <w:tcPr>
            <w:tcW w:type="dxa" w:w="2600"/>
            <w:vAlign w:val="center"/>
          </w:tcPr>
          <w:p>
            <w:r>
              <w:rPr>
                <w:b w:val="false"/>
                <w:bCs w:val="false"/>
                <w:color w:val="000000"/>
                <w:sz w:val="19"/>
                <w:szCs w:val="19"/>
              </w:rPr>
              <w:t xml:space="preserve">Responsibilities</w:t>
            </w:r>
          </w:p>
        </w:tc>
        <w:tc>
          <w:tcPr>
            <w:tcW w:type="dxa" w:w="6960"/>
            <w:vAlign w:val="center"/>
          </w:tcPr>
          <w:p>
            <w:r>
              <w:rPr>
                <w:b w:val="false"/>
                <w:bCs w:val="false"/>
                <w:color w:val="000000"/>
                <w:sz w:val="19"/>
                <w:szCs w:val="19"/>
              </w:rPr>
              <w:t xml:space="preserve">Query embedding, top-k similarity search scoped to authorized documents (FR-005)</w:t>
            </w:r>
          </w:p>
        </w:tc>
      </w:tr>
      <w:tr>
        <w:tc>
          <w:tcPr>
            <w:tcW w:type="dxa" w:w="2600"/>
            <w:vAlign w:val="center"/>
          </w:tcPr>
          <w:p>
            <w:r>
              <w:rPr>
                <w:b w:val="false"/>
                <w:bCs w:val="false"/>
                <w:color w:val="000000"/>
                <w:sz w:val="19"/>
                <w:szCs w:val="19"/>
              </w:rPr>
              <w:t xml:space="preserve">Depends on</w:t>
            </w:r>
          </w:p>
        </w:tc>
        <w:tc>
          <w:tcPr>
            <w:tcW w:type="dxa" w:w="6960"/>
            <w:vAlign w:val="center"/>
          </w:tcPr>
          <w:p>
            <w:r>
              <w:rPr>
                <w:b w:val="false"/>
                <w:bCs w:val="false"/>
                <w:color w:val="000000"/>
                <w:sz w:val="19"/>
                <w:szCs w:val="19"/>
              </w:rPr>
              <w:t xml:space="preserve">Chunk Repository (pgvector); AI Service (embedding provider)</w:t>
            </w:r>
          </w:p>
        </w:tc>
      </w:tr>
      <w:tr>
        <w:tc>
          <w:tcPr>
            <w:tcW w:type="dxa" w:w="2600"/>
            <w:vAlign w:val="center"/>
          </w:tcPr>
          <w:p>
            <w:r>
              <w:rPr>
                <w:b w:val="false"/>
                <w:bCs w:val="false"/>
                <w:color w:val="000000"/>
                <w:sz w:val="19"/>
                <w:szCs w:val="19"/>
              </w:rPr>
              <w:t xml:space="preserve">Key design points</w:t>
            </w:r>
          </w:p>
        </w:tc>
        <w:tc>
          <w:tcPr>
            <w:tcW w:type="dxa" w:w="6960"/>
            <w:vAlign w:val="center"/>
          </w:tcPr>
          <w:p>
            <w:r>
              <w:rPr>
                <w:b w:val="false"/>
                <w:bCs w:val="false"/>
                <w:color w:val="000000"/>
                <w:sz w:val="19"/>
                <w:szCs w:val="19"/>
              </w:rPr>
              <w:t xml:space="preserve">Authorization scoping happens in the query itself (WHERE clause on accessible document IDs), not as a post-filter, to avoid leaking existence of unauthorized content</w:t>
            </w:r>
          </w:p>
        </w:tc>
      </w:tr>
      <w:tr>
        <w:tc>
          <w:tcPr>
            <w:tcW w:type="dxa" w:w="2600"/>
            <w:vAlign w:val="center"/>
          </w:tcPr>
          <w:p>
            <w:r>
              <w:rPr>
                <w:b w:val="false"/>
                <w:bCs w:val="false"/>
                <w:color w:val="000000"/>
                <w:sz w:val="19"/>
                <w:szCs w:val="19"/>
              </w:rPr>
              <w:t xml:space="preserve">Open questions</w:t>
            </w:r>
          </w:p>
        </w:tc>
        <w:tc>
          <w:tcPr>
            <w:tcW w:type="dxa" w:w="6960"/>
            <w:vAlign w:val="center"/>
          </w:tcPr>
          <w:p>
            <w:r>
              <w:rPr>
                <w:b w:val="false"/>
                <w:bCs w:val="false"/>
                <w:color w:val="000000"/>
                <w:sz w:val="19"/>
                <w:szCs w:val="19"/>
              </w:rPr>
              <w:t xml:space="preserve">Index type/tuning for pgvector (IVFFlat vs. HNSW) at target document volume</w:t>
            </w:r>
          </w:p>
        </w:tc>
      </w:tr>
    </w:tbl>
    <w:p>
      <w:pPr>
        <w:pStyle w:val="Heading2"/>
        <w:spacing w:after="120" w:before="240"/>
      </w:pPr>
      <w:r>
        <w:t xml:space="preserve">5.4 Conversation Service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shd w:fill="2F5496" w:val="clear"/>
            <w:vAlign w:val="center"/>
          </w:tcPr>
          <w:p>
            <w:r>
              <w:rPr>
                <w:b/>
                <w:bCs/>
                <w:color w:val="FFFFFF"/>
                <w:sz w:val="19"/>
                <w:szCs w:val="19"/>
              </w:rPr>
              <w:t xml:space="preserve">Aspect</w:t>
            </w:r>
          </w:p>
        </w:tc>
        <w:tc>
          <w:tcPr>
            <w:tcW w:type="dxa" w:w="6960"/>
            <w:shd w:fill="2F5496" w:val="clear"/>
            <w:vAlign w:val="center"/>
          </w:tcPr>
          <w:p>
            <w:r>
              <w:rPr>
                <w:b/>
                <w:bCs/>
                <w:color w:val="FFFFFF"/>
                <w:sz w:val="19"/>
                <w:szCs w:val="19"/>
              </w:rPr>
              <w:t xml:space="preserve">Detail</w:t>
            </w:r>
          </w:p>
        </w:tc>
      </w:tr>
      <w:tr>
        <w:tc>
          <w:tcPr>
            <w:tcW w:type="dxa" w:w="2600"/>
            <w:vAlign w:val="center"/>
          </w:tcPr>
          <w:p>
            <w:r>
              <w:rPr>
                <w:b w:val="false"/>
                <w:bCs w:val="false"/>
                <w:color w:val="000000"/>
                <w:sz w:val="19"/>
                <w:szCs w:val="19"/>
              </w:rPr>
              <w:t xml:space="preserve">Responsibilities</w:t>
            </w:r>
          </w:p>
        </w:tc>
        <w:tc>
          <w:tcPr>
            <w:tcW w:type="dxa" w:w="6960"/>
            <w:vAlign w:val="center"/>
          </w:tcPr>
          <w:p>
            <w:r>
              <w:rPr>
                <w:b w:val="false"/>
                <w:bCs w:val="false"/>
                <w:color w:val="000000"/>
                <w:sz w:val="19"/>
                <w:szCs w:val="19"/>
              </w:rPr>
              <w:t xml:space="preserve">Conversation/message CRUD, history ordering, orchestrating retrieval + AI Service calls (FR-006, FR-008)</w:t>
            </w:r>
          </w:p>
        </w:tc>
      </w:tr>
      <w:tr>
        <w:tc>
          <w:tcPr>
            <w:tcW w:type="dxa" w:w="2600"/>
            <w:vAlign w:val="center"/>
          </w:tcPr>
          <w:p>
            <w:r>
              <w:rPr>
                <w:b w:val="false"/>
                <w:bCs w:val="false"/>
                <w:color w:val="000000"/>
                <w:sz w:val="19"/>
                <w:szCs w:val="19"/>
              </w:rPr>
              <w:t xml:space="preserve">Depends on</w:t>
            </w:r>
          </w:p>
        </w:tc>
        <w:tc>
          <w:tcPr>
            <w:tcW w:type="dxa" w:w="6960"/>
            <w:vAlign w:val="center"/>
          </w:tcPr>
          <w:p>
            <w:r>
              <w:rPr>
                <w:b w:val="false"/>
                <w:bCs w:val="false"/>
                <w:color w:val="000000"/>
                <w:sz w:val="19"/>
                <w:szCs w:val="19"/>
              </w:rPr>
              <w:t xml:space="preserve">Conversation/Message Repository; Vector Service; AI Service</w:t>
            </w:r>
          </w:p>
        </w:tc>
      </w:tr>
      <w:tr>
        <w:tc>
          <w:tcPr>
            <w:tcW w:type="dxa" w:w="2600"/>
            <w:vAlign w:val="center"/>
          </w:tcPr>
          <w:p>
            <w:r>
              <w:rPr>
                <w:b w:val="false"/>
                <w:bCs w:val="false"/>
                <w:color w:val="000000"/>
                <w:sz w:val="19"/>
                <w:szCs w:val="19"/>
              </w:rPr>
              <w:t xml:space="preserve">Key design points</w:t>
            </w:r>
          </w:p>
        </w:tc>
        <w:tc>
          <w:tcPr>
            <w:tcW w:type="dxa" w:w="6960"/>
            <w:vAlign w:val="center"/>
          </w:tcPr>
          <w:p>
            <w:r>
              <w:rPr>
                <w:b w:val="false"/>
                <w:bCs w:val="false"/>
                <w:color w:val="000000"/>
                <w:sz w:val="19"/>
                <w:szCs w:val="19"/>
              </w:rPr>
              <w:t xml:space="preserve">Owns the "no relevant context above threshold" decision (FR-006) and the unsupported-answer flag (FR-007) before persisting a message</w:t>
            </w:r>
          </w:p>
        </w:tc>
      </w:tr>
      <w:tr>
        <w:tc>
          <w:tcPr>
            <w:tcW w:type="dxa" w:w="2600"/>
            <w:vAlign w:val="center"/>
          </w:tcPr>
          <w:p>
            <w:r>
              <w:rPr>
                <w:b w:val="false"/>
                <w:bCs w:val="false"/>
                <w:color w:val="000000"/>
                <w:sz w:val="19"/>
                <w:szCs w:val="19"/>
              </w:rPr>
              <w:t xml:space="preserve">Open questions</w:t>
            </w:r>
          </w:p>
        </w:tc>
        <w:tc>
          <w:tcPr>
            <w:tcW w:type="dxa" w:w="6960"/>
            <w:vAlign w:val="center"/>
          </w:tcPr>
          <w:p>
            <w:r>
              <w:rPr>
                <w:b w:val="false"/>
                <w:bCs w:val="false"/>
                <w:color w:val="000000"/>
                <w:sz w:val="19"/>
                <w:szCs w:val="19"/>
              </w:rPr>
              <w:t xml:space="preserve">Similarity threshold value(s); whether threshold is global or per-document-type configurable</w:t>
            </w:r>
          </w:p>
        </w:tc>
      </w:tr>
    </w:tbl>
    <w:p>
      <w:pPr>
        <w:pStyle w:val="Heading2"/>
        <w:spacing w:after="120" w:before="240"/>
      </w:pPr>
      <w:r>
        <w:t xml:space="preserve">5.5 AI Service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shd w:fill="2F5496" w:val="clear"/>
            <w:vAlign w:val="center"/>
          </w:tcPr>
          <w:p>
            <w:r>
              <w:rPr>
                <w:b/>
                <w:bCs/>
                <w:color w:val="FFFFFF"/>
                <w:sz w:val="19"/>
                <w:szCs w:val="19"/>
              </w:rPr>
              <w:t xml:space="preserve">Aspect</w:t>
            </w:r>
          </w:p>
        </w:tc>
        <w:tc>
          <w:tcPr>
            <w:tcW w:type="dxa" w:w="6960"/>
            <w:shd w:fill="2F5496" w:val="clear"/>
            <w:vAlign w:val="center"/>
          </w:tcPr>
          <w:p>
            <w:r>
              <w:rPr>
                <w:b/>
                <w:bCs/>
                <w:color w:val="FFFFFF"/>
                <w:sz w:val="19"/>
                <w:szCs w:val="19"/>
              </w:rPr>
              <w:t xml:space="preserve">Detail</w:t>
            </w:r>
          </w:p>
        </w:tc>
      </w:tr>
      <w:tr>
        <w:tc>
          <w:tcPr>
            <w:tcW w:type="dxa" w:w="2600"/>
            <w:vAlign w:val="center"/>
          </w:tcPr>
          <w:p>
            <w:r>
              <w:rPr>
                <w:b w:val="false"/>
                <w:bCs w:val="false"/>
                <w:color w:val="000000"/>
                <w:sz w:val="19"/>
                <w:szCs w:val="19"/>
              </w:rPr>
              <w:t xml:space="preserve">Responsibilities</w:t>
            </w:r>
          </w:p>
        </w:tc>
        <w:tc>
          <w:tcPr>
            <w:tcW w:type="dxa" w:w="6960"/>
            <w:vAlign w:val="center"/>
          </w:tcPr>
          <w:p>
            <w:r>
              <w:rPr>
                <w:b w:val="false"/>
                <w:bCs w:val="false"/>
                <w:color w:val="000000"/>
                <w:sz w:val="19"/>
                <w:szCs w:val="19"/>
              </w:rPr>
              <w:t xml:space="preserve">Provider-abstracted embeddings + generation, prompt construction, citation assembly, fallback/retry on provider failure (NFR-005, Sec.9)</w:t>
            </w:r>
          </w:p>
        </w:tc>
      </w:tr>
      <w:tr>
        <w:tc>
          <w:tcPr>
            <w:tcW w:type="dxa" w:w="2600"/>
            <w:vAlign w:val="center"/>
          </w:tcPr>
          <w:p>
            <w:r>
              <w:rPr>
                <w:b w:val="false"/>
                <w:bCs w:val="false"/>
                <w:color w:val="000000"/>
                <w:sz w:val="19"/>
                <w:szCs w:val="19"/>
              </w:rPr>
              <w:t xml:space="preserve">Depends on</w:t>
            </w:r>
          </w:p>
        </w:tc>
        <w:tc>
          <w:tcPr>
            <w:tcW w:type="dxa" w:w="6960"/>
            <w:vAlign w:val="center"/>
          </w:tcPr>
          <w:p>
            <w:r>
              <w:rPr>
                <w:b w:val="false"/>
                <w:bCs w:val="false"/>
                <w:color w:val="000000"/>
                <w:sz w:val="19"/>
                <w:szCs w:val="19"/>
              </w:rPr>
              <w:t xml:space="preserve">Chat/generation: Anthropic Claude API (Messages API) — default for v1. Embeddings: Voyage AI — default for v1, since Claude has no native embeddings endpoint. Hugging Face, OpenAI, and Ollama remain available as alternate adapters behind the same interfaces (SRS Sec.7).</w:t>
            </w:r>
          </w:p>
        </w:tc>
      </w:tr>
      <w:tr>
        <w:tc>
          <w:tcPr>
            <w:tcW w:type="dxa" w:w="2600"/>
            <w:vAlign w:val="center"/>
          </w:tcPr>
          <w:p>
            <w:r>
              <w:rPr>
                <w:b w:val="false"/>
                <w:bCs w:val="false"/>
                <w:color w:val="000000"/>
                <w:sz w:val="19"/>
                <w:szCs w:val="19"/>
              </w:rPr>
              <w:t xml:space="preserve">Key design points</w:t>
            </w:r>
          </w:p>
        </w:tc>
        <w:tc>
          <w:tcPr>
            <w:tcW w:type="dxa" w:w="6960"/>
            <w:vAlign w:val="center"/>
          </w:tcPr>
          <w:p>
            <w:r>
              <w:rPr>
                <w:b w:val="false"/>
                <w:bCs w:val="false"/>
                <w:color w:val="000000"/>
                <w:sz w:val="19"/>
                <w:szCs w:val="19"/>
              </w:rPr>
              <w:t xml:space="preserve">Two capability interfaces, not one: ChatProvider (generate/stream) and EmbeddingProvider (embed), because a single vendor need not implement both — Claude covers ChatProvider only, Voyage covers EmbeddingProvider only. Business Services and Conversation Service depend only on these interfaces, never on a vendor SDK type, so provider swaps touch one adapter layer (SRS Sec.6, Sec.11).</w:t>
            </w:r>
          </w:p>
        </w:tc>
      </w:tr>
      <w:tr>
        <w:tc>
          <w:tcPr>
            <w:tcW w:type="dxa" w:w="2600"/>
            <w:vAlign w:val="center"/>
          </w:tcPr>
          <w:p>
            <w:r>
              <w:rPr>
                <w:b w:val="false"/>
                <w:bCs w:val="false"/>
                <w:color w:val="000000"/>
                <w:sz w:val="19"/>
                <w:szCs w:val="19"/>
              </w:rPr>
              <w:t xml:space="preserve">Open questions</w:t>
            </w:r>
          </w:p>
        </w:tc>
        <w:tc>
          <w:tcPr>
            <w:tcW w:type="dxa" w:w="6960"/>
            <w:vAlign w:val="center"/>
          </w:tcPr>
          <w:p>
            <w:r>
              <w:rPr>
                <w:b w:val="false"/>
                <w:bCs w:val="false"/>
                <w:color w:val="000000"/>
                <w:sz w:val="19"/>
                <w:szCs w:val="19"/>
              </w:rPr>
              <w:t xml:space="preserve">Exact interface method signatures and streaming-response support — principles fixed in Section 5.6, signatures TBD during implementation</w:t>
            </w:r>
          </w:p>
        </w:tc>
      </w:tr>
    </w:tbl>
    <w:p>
      <w:pPr>
        <w:pStyle w:val="Heading2"/>
        <w:spacing w:after="120" w:before="240"/>
      </w:pPr>
      <w:r>
        <w:t xml:space="preserve">5.6 Provider Abstraction &amp; Swappability Guidelines</w:t>
      </w:r>
    </w:p>
    <w:p>
      <w:pPr>
        <w:spacing w:after="160"/>
      </w:pPr>
      <w:r>
        <w:t xml:space="preserve">Claude (generation) and Voyage AI (embeddings) are the concrete defaults for v1 so there's no open gap at implementation time, but the AI Service is built so either can be replaced — or run alongside alternates — without touching Document Service, Vector Service, or Conversation Service. Six practices keep that true:</w:t>
      </w:r>
    </w:p>
    <w:p>
      <w:pPr>
        <w:pStyle w:val="ListParagraph"/>
        <w:numPr>
          <w:ilvl w:val="0"/>
          <w:numId w:val="1"/>
        </w:numPr>
        <w:spacing w:after="80"/>
      </w:pPr>
      <w:r>
        <w:t xml:space="preserve">Split the interface by capability, not by vendor. Define ChatProvider (generate, stream) and EmbeddingProvider (embed) as separate interfaces. No vendor is assumed to implement both — this is why Claude and Voyage AI can each own one side of the AI Service today without a workaround.</w:t>
      </w:r>
    </w:p>
    <w:p>
      <w:pPr>
        <w:pStyle w:val="ListParagraph"/>
        <w:numPr>
          <w:ilvl w:val="0"/>
          <w:numId w:val="1"/>
        </w:numPr>
        <w:spacing w:after="80"/>
      </w:pPr>
      <w:r>
        <w:t xml:space="preserve">Adapter per provider, interface-only elsewhere. One adapter class implements ChatProvider for Claude (ClaudeChatAdapter) and one implements EmbeddingProvider for Voyage AI (VoyageEmbeddingAdapter). Document Service, Vector Service, and Conversation Service import only the interface type, never anthropic or voyageai SDK types directly.</w:t>
      </w:r>
    </w:p>
    <w:p>
      <w:pPr>
        <w:pStyle w:val="ListParagraph"/>
        <w:numPr>
          <w:ilvl w:val="0"/>
          <w:numId w:val="1"/>
        </w:numPr>
        <w:spacing w:after="80"/>
      </w:pPr>
      <w:r>
        <w:t xml:space="preserve">Config-driven selection via a factory. Which adapter is active is chosen by config/environment (e.g., AI_CHAT_PROVIDER=anthropic, AI_EMBEDDING_PROVIDER=voyage), resolved once at startup by a factory/DI container. Adding OpenAI as a second ChatProvider later is a new adapter class plus a config value — no changes to calling code.</w:t>
      </w:r>
    </w:p>
    <w:p>
      <w:pPr>
        <w:pStyle w:val="ListParagraph"/>
        <w:numPr>
          <w:ilvl w:val="0"/>
          <w:numId w:val="1"/>
        </w:numPr>
        <w:spacing w:after="80"/>
      </w:pPr>
      <w:r>
        <w:t xml:space="preserve">Normalize the wire format at the boundary. Internal DTOs (ChatRequest/ChatResponse, EmbedRequest/EmbedResponse) are vendor-neutral; each adapter translates to/from the provider's native shape (e.g., Claude's system-prompt-plus-messages format) inside the adapter, not in business logic.</w:t>
      </w:r>
    </w:p>
    <w:p>
      <w:pPr>
        <w:pStyle w:val="ListParagraph"/>
        <w:numPr>
          <w:ilvl w:val="0"/>
          <w:numId w:val="1"/>
        </w:numPr>
        <w:spacing w:after="80"/>
      </w:pPr>
      <w:r>
        <w:t xml:space="preserve">Normalize errors, not just requests. Map provider-specific failures (rate limit, content policy, timeout, auth) to a small set of internal exception types, so the retry/fallback behavior required by NFR-005 and SRS Section 9 is written once against the interface, not once per vendor.</w:t>
      </w:r>
    </w:p>
    <w:p>
      <w:pPr>
        <w:pStyle w:val="ListParagraph"/>
        <w:numPr>
          <w:ilvl w:val="0"/>
          <w:numId w:val="1"/>
        </w:numPr>
        <w:spacing w:after="80"/>
      </w:pPr>
      <w:r>
        <w:t xml:space="preserve">Treat advanced features as advertised capabilities. Things like prompt caching, extended thinking, or vision support vary by provider and model. An adapter exposes what it supports via a capability flag the caller checks, rather than the codebase assuming every provider behind ChatProvider can do everything Claude can.</w:t>
      </w:r>
    </w:p>
    <w:p>
      <w:pPr>
        <w:pStyle w:val="Heading1"/>
        <w:spacing w:after="150" w:before="300"/>
      </w:pPr>
      <w:r>
        <w:t xml:space="preserve">6. Summary of Deferred Decisions</w:t>
      </w:r>
    </w:p>
    <w:p>
      <w:pPr>
        <w:spacing w:after="160"/>
      </w:pPr>
      <w:r>
        <w:t xml:space="preserve">Carried forward from this design pass, to be resolved before or during implementation:</w:t>
      </w:r>
    </w:p>
    <w:p>
      <w:pPr>
        <w:pStyle w:val="ListParagraph"/>
        <w:numPr>
          <w:ilvl w:val="0"/>
          <w:numId w:val="1"/>
        </w:numPr>
        <w:spacing w:after="80"/>
      </w:pPr>
      <w:r>
        <w:t xml:space="preserve">Formal API contract (OpenAPI) — deferred; resource map in Section 4 stands in for now.</w:t>
      </w:r>
    </w:p>
    <w:p>
      <w:pPr>
        <w:pStyle w:val="ListParagraph"/>
        <w:numPr>
          <w:ilvl w:val="0"/>
          <w:numId w:val="1"/>
        </w:numPr>
        <w:spacing w:after="80"/>
      </w:pPr>
      <w:r>
        <w:t xml:space="preserve">AI Service interface method signatures (exact ChatProvider/EmbeddingProvider shape) and streaming support — principles fixed in Section 5.6, signatures TBD.</w:t>
      </w:r>
    </w:p>
    <w:p>
      <w:pPr>
        <w:pStyle w:val="ListParagraph"/>
        <w:numPr>
          <w:ilvl w:val="0"/>
          <w:numId w:val="1"/>
        </w:numPr>
        <w:spacing w:after="80"/>
      </w:pPr>
      <w:r>
        <w:t xml:space="preserve">Object storage backend for raw uploaded files.</w:t>
      </w:r>
    </w:p>
    <w:p>
      <w:pPr>
        <w:pStyle w:val="ListParagraph"/>
        <w:numPr>
          <w:ilvl w:val="0"/>
          <w:numId w:val="1"/>
        </w:numPr>
        <w:spacing w:after="80"/>
      </w:pPr>
      <w:r>
        <w:t xml:space="preserve">Refresh-token / session strategy for Auth Service.</w:t>
      </w:r>
    </w:p>
    <w:p>
      <w:pPr>
        <w:pStyle w:val="ListParagraph"/>
        <w:numPr>
          <w:ilvl w:val="0"/>
          <w:numId w:val="1"/>
        </w:numPr>
        <w:spacing w:after="80"/>
      </w:pPr>
      <w:r>
        <w:t xml:space="preserve">Similarity threshold(s) governing the "unsupported answer" behavior.</w:t>
      </w:r>
    </w:p>
    <w:p>
      <w:pPr>
        <w:pStyle w:val="ListParagraph"/>
        <w:numPr>
          <w:ilvl w:val="0"/>
          <w:numId w:val="1"/>
        </w:numPr>
        <w:spacing w:after="80"/>
      </w:pPr>
      <w:r>
        <w:t xml:space="preserve">pgvector index tuning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b4a64d26efee4745c6d39aec2ad82c3ef94d95.png"/><Relationship Id="rId8" Type="http://schemas.openxmlformats.org/officeDocument/2006/relationships/image" Target="media/bba3c92c20413cedac741bae409e5441d0677271.png"/><Relationship Id="rId9" Type="http://schemas.openxmlformats.org/officeDocument/2006/relationships/image" Target="media/9026355ed5346176da473e1eb67f65b2d45fb47e.png"/><Relationship Id="rId10" Type="http://schemas.openxmlformats.org/officeDocument/2006/relationships/image" Target="media/3143bb07db4c365871df458bb4ba1145a6adf9f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2026-08-15T15:30:00.245Z</dcterms:created>
  <dcterms:modified xsi:type="dcterms:W3CDTF">2026-08-15T15:30:00.245Z</dcterms:modified>
</cp:coreProperties>
</file>

<file path=docProps/custom.xml><?xml version="1.0" encoding="utf-8"?>
<Properties xmlns="http://schemas.openxmlformats.org/officeDocument/2006/custom-properties" xmlns:vt="http://schemas.openxmlformats.org/officeDocument/2006/docPropsVTypes"/>
</file>