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II  ·  ISLAMABAD HIGH COURT  ·  CIVIL JUDGE-CUM-MAGISTRATE EXAMINATION 2026</w:t>
            </w:r>
          </w:p>
          <w:p>
            <w:pPr>
              <w:spacing w:after="160"/>
            </w:pPr>
            <w:r>
              <w:rPr>
                <w:b/>
                <w:bCs/>
                <w:color w:val="FFFFFF"/>
                <w:sz w:val="52"/>
                <w:szCs w:val="52"/>
              </w:rPr>
              <w:t xml:space="preserve">Topic 2 · Muslim Law of Property</w:t>
            </w:r>
          </w:p>
          <w:p>
            <w:pPr>
              <w:spacing w:after="120"/>
            </w:pPr>
            <w:r>
              <w:rPr>
                <w:color w:val="E2E8F0"/>
                <w:sz w:val="28"/>
                <w:szCs w:val="28"/>
              </w:rPr>
              <w:t xml:space="preserve">Inheritance (Hanafi and Shia) · administration of the estate · wills · gifts (hiba) · waqf · pre-emption (shufa)</w:t>
            </w:r>
          </w:p>
          <w:p>
            <w:r>
              <w:rPr>
                <w:i/>
                <w:iCs/>
                <w:color w:val="A7F3D0"/>
                <w:sz w:val="24"/>
                <w:szCs w:val="24"/>
              </w:rPr>
              <w:t xml:space="preserve">Knowledge Base — every concept in simple words, with worked examples, rationale, cases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Law-II — Tuesday, 27 October 2026, 2:00 PM to 5:00 PM (reporting 1:30 PM)</w:t>
      </w:r>
    </w:p>
    <w:p>
      <w:pPr>
        <w:spacing w:after="90"/>
      </w:pPr>
      <w:r>
        <w:rPr>
          <w:b/>
          <w:bCs/>
          <w:color w:val="1F4E79"/>
          <w:sz w:val="22"/>
          <w:szCs w:val="22"/>
        </w:rPr>
        <w:t xml:space="preserve">This volume:  </w:t>
      </w:r>
      <w:r>
        <w:rPr>
          <w:sz w:val="22"/>
          <w:szCs w:val="22"/>
        </w:rPr>
        <w:t xml:space="preserve">Topic 2 of 4 — Muslim law of inheritance, wills, gifts, waqf and pre-emption</w:t>
      </w:r>
    </w:p>
    <w:p>
      <w:pPr>
        <w:spacing w:after="90"/>
      </w:pPr>
      <w:r>
        <w:rPr>
          <w:b/>
          <w:bCs/>
          <w:color w:val="1F4E79"/>
          <w:sz w:val="22"/>
          <w:szCs w:val="22"/>
        </w:rPr>
        <w:t xml:space="preserve">Companion volumes:  </w:t>
      </w:r>
      <w:r>
        <w:rPr>
          <w:sz w:val="22"/>
          <w:szCs w:val="22"/>
        </w:rPr>
        <w:t xml:space="preserve">Topic 1 — Muslim family law · Topic 3 — Limitation Act 1908 · Topic 4 — Specific Relief Act 1877 and Registration Act 1908</w:t>
      </w:r>
    </w:p>
    <w:p>
      <w:pPr>
        <w:spacing w:after="90"/>
      </w:pPr>
      <w:r>
        <w:rPr>
          <w:b/>
          <w:bCs/>
          <w:color w:val="1F4E79"/>
          <w:sz w:val="22"/>
          <w:szCs w:val="22"/>
        </w:rPr>
        <w:t xml:space="preserve">Statutes used:  </w:t>
      </w:r>
      <w:r>
        <w:rPr>
          <w:sz w:val="22"/>
          <w:szCs w:val="22"/>
        </w:rPr>
        <w:t xml:space="preserve">MFLO 1961 s. 4 (with the 2021 amendments); Shariat Application Act 1962; Mussalman Wakf Validating Act 1913; ICT Waqf Properties Act 2020; Letters of Administration and Succession Certificates Act 2020; Transfer of Property Act 1882 s. 129; Limitation Act Art. 10</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2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How the exam asks this part</w:t>
        </w:r>
        <w:r>
          <w:rPr>
            <w:b w:val="false"/>
            <w:bCs w:val="false"/>
            <w:color w:val="1F2937"/>
            <w:sz w:val="20"/>
            <w:szCs w:val="20"/>
          </w:rPr>
          <w:t xml:space="preserve">	4</w:t>
        </w:r>
      </w:hyperlink>
    </w:p>
    <w:p>
      <w:pPr>
        <w:tabs>
          <w:tab w:val="right" w:pos="9026" w:leader="dot"/>
        </w:tabs>
        <w:spacing w:after="40" w:before="120"/>
        <w:ind w:left="0"/>
      </w:pPr>
      <w:hyperlink w:history="1" w:anchor="_h3">
        <w:r>
          <w:rPr>
            <w:b/>
            <w:bCs/>
            <w:color w:val="1F4E79"/>
            <w:sz w:val="22"/>
            <w:szCs w:val="22"/>
          </w:rPr>
          <w:t xml:space="preserve">Chapter 1 · General principles of inheritance</w:t>
        </w:r>
        <w:r>
          <w:rPr>
            <w:b/>
            <w:bCs/>
            <w:color w:val="1F4E79"/>
            <w:sz w:val="22"/>
            <w:szCs w:val="22"/>
          </w:rPr>
          <w:t xml:space="preserve">	6</w:t>
        </w:r>
      </w:hyperlink>
    </w:p>
    <w:p>
      <w:pPr>
        <w:tabs>
          <w:tab w:val="right" w:pos="9026" w:leader="dot"/>
        </w:tabs>
        <w:spacing w:after="20" w:before="0"/>
        <w:ind w:left="360"/>
      </w:pPr>
      <w:hyperlink w:history="1" w:anchor="_h4">
        <w:r>
          <w:rPr>
            <w:b w:val="false"/>
            <w:bCs w:val="false"/>
            <w:color w:val="1F2937"/>
            <w:sz w:val="20"/>
            <w:szCs w:val="20"/>
          </w:rPr>
          <w:t xml:space="preserve">1.1 Basis</w:t>
        </w:r>
        <w:r>
          <w:rPr>
            <w:b w:val="false"/>
            <w:bCs w:val="false"/>
            <w:color w:val="1F2937"/>
            <w:sz w:val="20"/>
            <w:szCs w:val="20"/>
          </w:rPr>
          <w:t xml:space="preserve">	6</w:t>
        </w:r>
      </w:hyperlink>
    </w:p>
    <w:p>
      <w:pPr>
        <w:tabs>
          <w:tab w:val="right" w:pos="9026" w:leader="dot"/>
        </w:tabs>
        <w:spacing w:after="20" w:before="0"/>
        <w:ind w:left="360"/>
      </w:pPr>
      <w:hyperlink w:history="1" w:anchor="_h5">
        <w:r>
          <w:rPr>
            <w:b w:val="false"/>
            <w:bCs w:val="false"/>
            <w:color w:val="1F2937"/>
            <w:sz w:val="20"/>
            <w:szCs w:val="20"/>
          </w:rPr>
          <w:t xml:space="preserve">1.2 The basic rules</w:t>
        </w:r>
        <w:r>
          <w:rPr>
            <w:b w:val="false"/>
            <w:bCs w:val="false"/>
            <w:color w:val="1F2937"/>
            <w:sz w:val="20"/>
            <w:szCs w:val="20"/>
          </w:rPr>
          <w:t xml:space="preserve">	6</w:t>
        </w:r>
      </w:hyperlink>
    </w:p>
    <w:p>
      <w:pPr>
        <w:tabs>
          <w:tab w:val="right" w:pos="9026" w:leader="dot"/>
        </w:tabs>
        <w:spacing w:after="20" w:before="0"/>
        <w:ind w:left="360"/>
      </w:pPr>
      <w:hyperlink w:history="1" w:anchor="_h6">
        <w:r>
          <w:rPr>
            <w:b w:val="false"/>
            <w:bCs w:val="false"/>
            <w:color w:val="1F2937"/>
            <w:sz w:val="20"/>
            <w:szCs w:val="20"/>
          </w:rPr>
          <w:t xml:space="preserve">1.3 Impediments to inheritance</w:t>
        </w:r>
        <w:r>
          <w:rPr>
            <w:b w:val="false"/>
            <w:bCs w:val="false"/>
            <w:color w:val="1F2937"/>
            <w:sz w:val="20"/>
            <w:szCs w:val="20"/>
          </w:rPr>
          <w:t xml:space="preserve">	6</w:t>
        </w:r>
      </w:hyperlink>
    </w:p>
    <w:p>
      <w:pPr>
        <w:tabs>
          <w:tab w:val="right" w:pos="9026" w:leader="dot"/>
        </w:tabs>
        <w:spacing w:after="20" w:before="0"/>
        <w:ind w:left="360"/>
      </w:pPr>
      <w:hyperlink w:history="1" w:anchor="_h7">
        <w:r>
          <w:rPr>
            <w:b w:val="false"/>
            <w:bCs w:val="false"/>
            <w:color w:val="1F2937"/>
            <w:sz w:val="20"/>
            <w:szCs w:val="20"/>
          </w:rPr>
          <w:t xml:space="preserve">1.4 The order of priority (Hanafi)</w:t>
        </w:r>
        <w:r>
          <w:rPr>
            <w:b w:val="false"/>
            <w:bCs w:val="false"/>
            <w:color w:val="1F2937"/>
            <w:sz w:val="20"/>
            <w:szCs w:val="20"/>
          </w:rPr>
          <w:t xml:space="preserve">	7</w:t>
        </w:r>
      </w:hyperlink>
    </w:p>
    <w:p>
      <w:pPr>
        <w:tabs>
          <w:tab w:val="right" w:pos="9026" w:leader="dot"/>
        </w:tabs>
        <w:spacing w:after="40" w:before="120"/>
        <w:ind w:left="0"/>
      </w:pPr>
      <w:hyperlink w:history="1" w:anchor="_h8">
        <w:r>
          <w:rPr>
            <w:b/>
            <w:bCs/>
            <w:color w:val="1F4E79"/>
            <w:sz w:val="22"/>
            <w:szCs w:val="22"/>
          </w:rPr>
          <w:t xml:space="preserve">Chapter 2 · Administration of the estate and protection of heirs</w:t>
        </w:r>
        <w:r>
          <w:rPr>
            <w:b/>
            <w:bCs/>
            <w:color w:val="1F4E79"/>
            <w:sz w:val="22"/>
            <w:szCs w:val="22"/>
          </w:rPr>
          <w:t xml:space="preserve">	8</w:t>
        </w:r>
      </w:hyperlink>
    </w:p>
    <w:p>
      <w:pPr>
        <w:tabs>
          <w:tab w:val="right" w:pos="9026" w:leader="dot"/>
        </w:tabs>
        <w:spacing w:after="20" w:before="0"/>
        <w:ind w:left="360"/>
      </w:pPr>
      <w:hyperlink w:history="1" w:anchor="_h9">
        <w:r>
          <w:rPr>
            <w:b w:val="false"/>
            <w:bCs w:val="false"/>
            <w:color w:val="1F2937"/>
            <w:sz w:val="20"/>
            <w:szCs w:val="20"/>
          </w:rPr>
          <w:t xml:space="preserve">2.1 Order of application of the estate</w:t>
        </w:r>
        <w:r>
          <w:rPr>
            <w:b w:val="false"/>
            <w:bCs w:val="false"/>
            <w:color w:val="1F2937"/>
            <w:sz w:val="20"/>
            <w:szCs w:val="20"/>
          </w:rPr>
          <w:t xml:space="preserve">	8</w:t>
        </w:r>
      </w:hyperlink>
    </w:p>
    <w:p>
      <w:pPr>
        <w:tabs>
          <w:tab w:val="right" w:pos="9026" w:leader="dot"/>
        </w:tabs>
        <w:spacing w:after="20" w:before="0"/>
        <w:ind w:left="360"/>
      </w:pPr>
      <w:hyperlink w:history="1" w:anchor="_h10">
        <w:r>
          <w:rPr>
            <w:b w:val="false"/>
            <w:bCs w:val="false"/>
            <w:color w:val="1F2937"/>
            <w:sz w:val="20"/>
            <w:szCs w:val="20"/>
          </w:rPr>
          <w:t xml:space="preserve">2.2 Succession certificates and letters of administration</w:t>
        </w:r>
        <w:r>
          <w:rPr>
            <w:b w:val="false"/>
            <w:bCs w:val="false"/>
            <w:color w:val="1F2937"/>
            <w:sz w:val="20"/>
            <w:szCs w:val="20"/>
          </w:rPr>
          <w:t xml:space="preserve">	8</w:t>
        </w:r>
      </w:hyperlink>
    </w:p>
    <w:p>
      <w:pPr>
        <w:tabs>
          <w:tab w:val="right" w:pos="9026" w:leader="dot"/>
        </w:tabs>
        <w:spacing w:after="20" w:before="0"/>
        <w:ind w:left="360"/>
      </w:pPr>
      <w:hyperlink w:history="1" w:anchor="_h11">
        <w:r>
          <w:rPr>
            <w:b w:val="false"/>
            <w:bCs w:val="false"/>
            <w:color w:val="1F2937"/>
            <w:sz w:val="20"/>
            <w:szCs w:val="20"/>
          </w:rPr>
          <w:t xml:space="preserve">2.3 Protection of women's inheritance</w:t>
        </w:r>
        <w:r>
          <w:rPr>
            <w:b w:val="false"/>
            <w:bCs w:val="false"/>
            <w:color w:val="1F2937"/>
            <w:sz w:val="20"/>
            <w:szCs w:val="20"/>
          </w:rPr>
          <w:t xml:space="preserve">	8</w:t>
        </w:r>
      </w:hyperlink>
    </w:p>
    <w:p>
      <w:pPr>
        <w:tabs>
          <w:tab w:val="right" w:pos="9026" w:leader="dot"/>
        </w:tabs>
        <w:spacing w:after="40" w:before="120"/>
        <w:ind w:left="0"/>
      </w:pPr>
      <w:hyperlink w:history="1" w:anchor="_h12">
        <w:r>
          <w:rPr>
            <w:b/>
            <w:bCs/>
            <w:color w:val="1F4E79"/>
            <w:sz w:val="22"/>
            <w:szCs w:val="22"/>
          </w:rPr>
          <w:t xml:space="preserve">Chapter 3 · The Hanafi scheme — sharers and residuaries</w:t>
        </w:r>
        <w:r>
          <w:rPr>
            <w:b/>
            <w:bCs/>
            <w:color w:val="1F4E79"/>
            <w:sz w:val="22"/>
            <w:szCs w:val="22"/>
          </w:rPr>
          <w:t xml:space="preserve">	9</w:t>
        </w:r>
      </w:hyperlink>
    </w:p>
    <w:p>
      <w:pPr>
        <w:tabs>
          <w:tab w:val="right" w:pos="9026" w:leader="dot"/>
        </w:tabs>
        <w:spacing w:after="20" w:before="0"/>
        <w:ind w:left="360"/>
      </w:pPr>
      <w:hyperlink w:history="1" w:anchor="_h13">
        <w:r>
          <w:rPr>
            <w:b w:val="false"/>
            <w:bCs w:val="false"/>
            <w:color w:val="1F2937"/>
            <w:sz w:val="20"/>
            <w:szCs w:val="20"/>
          </w:rPr>
          <w:t xml:space="preserve">3.1 The twelve sharers and their shares</w:t>
        </w:r>
        <w:r>
          <w:rPr>
            <w:b w:val="false"/>
            <w:bCs w:val="false"/>
            <w:color w:val="1F2937"/>
            <w:sz w:val="20"/>
            <w:szCs w:val="20"/>
          </w:rPr>
          <w:t xml:space="preserve">	9</w:t>
        </w:r>
      </w:hyperlink>
    </w:p>
    <w:p>
      <w:pPr>
        <w:tabs>
          <w:tab w:val="right" w:pos="9026" w:leader="dot"/>
        </w:tabs>
        <w:spacing w:after="20" w:before="0"/>
        <w:ind w:left="360"/>
      </w:pPr>
      <w:hyperlink w:history="1" w:anchor="_h14">
        <w:r>
          <w:rPr>
            <w:b w:val="false"/>
            <w:bCs w:val="false"/>
            <w:color w:val="1F2937"/>
            <w:sz w:val="20"/>
            <w:szCs w:val="20"/>
          </w:rPr>
          <w:t xml:space="preserve">3.2 Residuaries (asabat)</w:t>
        </w:r>
        <w:r>
          <w:rPr>
            <w:b w:val="false"/>
            <w:bCs w:val="false"/>
            <w:color w:val="1F2937"/>
            <w:sz w:val="20"/>
            <w:szCs w:val="20"/>
          </w:rPr>
          <w:t xml:space="preserve">	10</w:t>
        </w:r>
      </w:hyperlink>
    </w:p>
    <w:p>
      <w:pPr>
        <w:tabs>
          <w:tab w:val="right" w:pos="9026" w:leader="dot"/>
        </w:tabs>
        <w:spacing w:after="20" w:before="0"/>
        <w:ind w:left="360"/>
      </w:pPr>
      <w:hyperlink w:history="1" w:anchor="_h15">
        <w:r>
          <w:rPr>
            <w:b w:val="false"/>
            <w:bCs w:val="false"/>
            <w:color w:val="1F2937"/>
            <w:sz w:val="20"/>
            <w:szCs w:val="20"/>
          </w:rPr>
          <w:t xml:space="preserve">3.3 Distant kindred (zawi-ul-arham)</w:t>
        </w:r>
        <w:r>
          <w:rPr>
            <w:b w:val="false"/>
            <w:bCs w:val="false"/>
            <w:color w:val="1F2937"/>
            <w:sz w:val="20"/>
            <w:szCs w:val="20"/>
          </w:rPr>
          <w:t xml:space="preserve">	11</w:t>
        </w:r>
      </w:hyperlink>
    </w:p>
    <w:p>
      <w:pPr>
        <w:tabs>
          <w:tab w:val="right" w:pos="9026" w:leader="dot"/>
        </w:tabs>
        <w:spacing w:after="20" w:before="0"/>
        <w:ind w:left="360"/>
      </w:pPr>
      <w:hyperlink w:history="1" w:anchor="_h16">
        <w:r>
          <w:rPr>
            <w:b w:val="false"/>
            <w:bCs w:val="false"/>
            <w:color w:val="1F2937"/>
            <w:sz w:val="20"/>
            <w:szCs w:val="20"/>
          </w:rPr>
          <w:t xml:space="preserve">3.4 Exclusion (hajb)</w:t>
        </w:r>
        <w:r>
          <w:rPr>
            <w:b w:val="false"/>
            <w:bCs w:val="false"/>
            <w:color w:val="1F2937"/>
            <w:sz w:val="20"/>
            <w:szCs w:val="20"/>
          </w:rPr>
          <w:t xml:space="preserve">	11</w:t>
        </w:r>
      </w:hyperlink>
    </w:p>
    <w:p>
      <w:pPr>
        <w:tabs>
          <w:tab w:val="right" w:pos="9026" w:leader="dot"/>
        </w:tabs>
        <w:spacing w:after="40" w:before="120"/>
        <w:ind w:left="0"/>
      </w:pPr>
      <w:hyperlink w:history="1" w:anchor="_h17">
        <w:r>
          <w:rPr>
            <w:b/>
            <w:bCs/>
            <w:color w:val="1F4E79"/>
            <w:sz w:val="22"/>
            <w:szCs w:val="22"/>
          </w:rPr>
          <w:t xml:space="preserve">Chapter 4 · Aul and radd, and worked examples</w:t>
        </w:r>
        <w:r>
          <w:rPr>
            <w:b/>
            <w:bCs/>
            <w:color w:val="1F4E79"/>
            <w:sz w:val="22"/>
            <w:szCs w:val="22"/>
          </w:rPr>
          <w:t xml:space="preserve">	12</w:t>
        </w:r>
      </w:hyperlink>
    </w:p>
    <w:p>
      <w:pPr>
        <w:tabs>
          <w:tab w:val="right" w:pos="9026" w:leader="dot"/>
        </w:tabs>
        <w:spacing w:after="20" w:before="0"/>
        <w:ind w:left="360"/>
      </w:pPr>
      <w:hyperlink w:history="1" w:anchor="_h18">
        <w:r>
          <w:rPr>
            <w:b w:val="false"/>
            <w:bCs w:val="false"/>
            <w:color w:val="1F2937"/>
            <w:sz w:val="20"/>
            <w:szCs w:val="20"/>
          </w:rPr>
          <w:t xml:space="preserve">4.1 Aul (increase) — when shares exceed the estate</w:t>
        </w:r>
        <w:r>
          <w:rPr>
            <w:b w:val="false"/>
            <w:bCs w:val="false"/>
            <w:color w:val="1F2937"/>
            <w:sz w:val="20"/>
            <w:szCs w:val="20"/>
          </w:rPr>
          <w:t xml:space="preserve">	12</w:t>
        </w:r>
      </w:hyperlink>
    </w:p>
    <w:p>
      <w:pPr>
        <w:tabs>
          <w:tab w:val="right" w:pos="9026" w:leader="dot"/>
        </w:tabs>
        <w:spacing w:after="20" w:before="0"/>
        <w:ind w:left="360"/>
      </w:pPr>
      <w:hyperlink w:history="1" w:anchor="_h19">
        <w:r>
          <w:rPr>
            <w:b w:val="false"/>
            <w:bCs w:val="false"/>
            <w:color w:val="1F2937"/>
            <w:sz w:val="20"/>
            <w:szCs w:val="20"/>
          </w:rPr>
          <w:t xml:space="preserve">4.2 Radd (return) — when shares fall short and there is no residuary</w:t>
        </w:r>
        <w:r>
          <w:rPr>
            <w:b w:val="false"/>
            <w:bCs w:val="false"/>
            <w:color w:val="1F2937"/>
            <w:sz w:val="20"/>
            <w:szCs w:val="20"/>
          </w:rPr>
          <w:t xml:space="preserve">	12</w:t>
        </w:r>
      </w:hyperlink>
    </w:p>
    <w:p>
      <w:pPr>
        <w:tabs>
          <w:tab w:val="right" w:pos="9026" w:leader="dot"/>
        </w:tabs>
        <w:spacing w:after="20" w:before="0"/>
        <w:ind w:left="360"/>
      </w:pPr>
      <w:hyperlink w:history="1" w:anchor="_h20">
        <w:r>
          <w:rPr>
            <w:b w:val="false"/>
            <w:bCs w:val="false"/>
            <w:color w:val="1F2937"/>
            <w:sz w:val="20"/>
            <w:szCs w:val="20"/>
          </w:rPr>
          <w:t xml:space="preserve">4.3 The Umariyyatan (the two "Umar" cases)</w:t>
        </w:r>
        <w:r>
          <w:rPr>
            <w:b w:val="false"/>
            <w:bCs w:val="false"/>
            <w:color w:val="1F2937"/>
            <w:sz w:val="20"/>
            <w:szCs w:val="20"/>
          </w:rPr>
          <w:t xml:space="preserve">	12</w:t>
        </w:r>
      </w:hyperlink>
    </w:p>
    <w:p>
      <w:pPr>
        <w:tabs>
          <w:tab w:val="right" w:pos="9026" w:leader="dot"/>
        </w:tabs>
        <w:spacing w:after="20" w:before="0"/>
        <w:ind w:left="360"/>
      </w:pPr>
      <w:hyperlink w:history="1" w:anchor="_h21">
        <w:r>
          <w:rPr>
            <w:b w:val="false"/>
            <w:bCs w:val="false"/>
            <w:color w:val="1F2937"/>
            <w:sz w:val="20"/>
            <w:szCs w:val="20"/>
          </w:rPr>
          <w:t xml:space="preserve">4.4 More worked examples (Hanafi)</w:t>
        </w:r>
        <w:r>
          <w:rPr>
            <w:b w:val="false"/>
            <w:bCs w:val="false"/>
            <w:color w:val="1F2937"/>
            <w:sz w:val="20"/>
            <w:szCs w:val="20"/>
          </w:rPr>
          <w:t xml:space="preserve">	12</w:t>
        </w:r>
      </w:hyperlink>
    </w:p>
    <w:p>
      <w:pPr>
        <w:tabs>
          <w:tab w:val="right" w:pos="9026" w:leader="dot"/>
        </w:tabs>
        <w:spacing w:after="40" w:before="120"/>
        <w:ind w:left="0"/>
      </w:pPr>
      <w:hyperlink w:history="1" w:anchor="_h22">
        <w:r>
          <w:rPr>
            <w:b/>
            <w:bCs/>
            <w:color w:val="1F4E79"/>
            <w:sz w:val="22"/>
            <w:szCs w:val="22"/>
          </w:rPr>
          <w:t xml:space="preserve">Chapter 5 · MFLO s. 4 — orphaned grandchildren — and the Shia scheme</w:t>
        </w:r>
        <w:r>
          <w:rPr>
            <w:b/>
            <w:bCs/>
            <w:color w:val="1F4E79"/>
            <w:sz w:val="22"/>
            <w:szCs w:val="22"/>
          </w:rPr>
          <w:t xml:space="preserve">	14</w:t>
        </w:r>
      </w:hyperlink>
    </w:p>
    <w:p>
      <w:pPr>
        <w:tabs>
          <w:tab w:val="right" w:pos="9026" w:leader="dot"/>
        </w:tabs>
        <w:spacing w:after="20" w:before="0"/>
        <w:ind w:left="360"/>
      </w:pPr>
      <w:hyperlink w:history="1" w:anchor="_h23">
        <w:r>
          <w:rPr>
            <w:b w:val="false"/>
            <w:bCs w:val="false"/>
            <w:color w:val="1F2937"/>
            <w:sz w:val="20"/>
            <w:szCs w:val="20"/>
          </w:rPr>
          <w:t xml:space="preserve">5.1 Section 4</w:t>
        </w:r>
        <w:r>
          <w:rPr>
            <w:b w:val="false"/>
            <w:bCs w:val="false"/>
            <w:color w:val="1F2937"/>
            <w:sz w:val="20"/>
            <w:szCs w:val="20"/>
          </w:rPr>
          <w:t xml:space="preserve">	14</w:t>
        </w:r>
      </w:hyperlink>
    </w:p>
    <w:p>
      <w:pPr>
        <w:tabs>
          <w:tab w:val="right" w:pos="9026" w:leader="dot"/>
        </w:tabs>
        <w:spacing w:after="20" w:before="0"/>
        <w:ind w:left="360"/>
      </w:pPr>
      <w:hyperlink w:history="1" w:anchor="_h24">
        <w:r>
          <w:rPr>
            <w:b w:val="false"/>
            <w:bCs w:val="false"/>
            <w:color w:val="1F2937"/>
            <w:sz w:val="20"/>
            <w:szCs w:val="20"/>
          </w:rPr>
          <w:t xml:space="preserve">5.2 The Fiqh-e-Jafria provisions (Act XXVIII of 2021)</w:t>
        </w:r>
        <w:r>
          <w:rPr>
            <w:b w:val="false"/>
            <w:bCs w:val="false"/>
            <w:color w:val="1F2937"/>
            <w:sz w:val="20"/>
            <w:szCs w:val="20"/>
          </w:rPr>
          <w:t xml:space="preserve">	14</w:t>
        </w:r>
      </w:hyperlink>
    </w:p>
    <w:p>
      <w:pPr>
        <w:tabs>
          <w:tab w:val="right" w:pos="9026" w:leader="dot"/>
        </w:tabs>
        <w:spacing w:after="20" w:before="0"/>
        <w:ind w:left="360"/>
      </w:pPr>
      <w:hyperlink w:history="1" w:anchor="_h25">
        <w:r>
          <w:rPr>
            <w:b w:val="false"/>
            <w:bCs w:val="false"/>
            <w:color w:val="1F2937"/>
            <w:sz w:val="20"/>
            <w:szCs w:val="20"/>
          </w:rPr>
          <w:t xml:space="preserve">5.3 The Shia (Ithna Ashari) scheme — in outline</w:t>
        </w:r>
        <w:r>
          <w:rPr>
            <w:b w:val="false"/>
            <w:bCs w:val="false"/>
            <w:color w:val="1F2937"/>
            <w:sz w:val="20"/>
            <w:szCs w:val="20"/>
          </w:rPr>
          <w:t xml:space="preserve">	14</w:t>
        </w:r>
      </w:hyperlink>
    </w:p>
    <w:p>
      <w:pPr>
        <w:tabs>
          <w:tab w:val="right" w:pos="9026" w:leader="dot"/>
        </w:tabs>
        <w:spacing w:after="40" w:before="120"/>
        <w:ind w:left="0"/>
      </w:pPr>
      <w:hyperlink w:history="1" w:anchor="_h26">
        <w:r>
          <w:rPr>
            <w:b/>
            <w:bCs/>
            <w:color w:val="1F4E79"/>
            <w:sz w:val="22"/>
            <w:szCs w:val="22"/>
          </w:rPr>
          <w:t xml:space="preserve">Chapter 6 · Wills (wasiyyat)</w:t>
        </w:r>
        <w:r>
          <w:rPr>
            <w:b/>
            <w:bCs/>
            <w:color w:val="1F4E79"/>
            <w:sz w:val="22"/>
            <w:szCs w:val="22"/>
          </w:rPr>
          <w:t xml:space="preserve">	16</w:t>
        </w:r>
      </w:hyperlink>
    </w:p>
    <w:p>
      <w:pPr>
        <w:tabs>
          <w:tab w:val="right" w:pos="9026" w:leader="dot"/>
        </w:tabs>
        <w:spacing w:after="20" w:before="0"/>
        <w:ind w:left="360"/>
      </w:pPr>
      <w:hyperlink w:history="1" w:anchor="_h27">
        <w:r>
          <w:rPr>
            <w:b w:val="false"/>
            <w:bCs w:val="false"/>
            <w:color w:val="1F2937"/>
            <w:sz w:val="20"/>
            <w:szCs w:val="20"/>
          </w:rPr>
          <w:t xml:space="preserve">6.1 Meaning and capacity</w:t>
        </w:r>
        <w:r>
          <w:rPr>
            <w:b w:val="false"/>
            <w:bCs w:val="false"/>
            <w:color w:val="1F2937"/>
            <w:sz w:val="20"/>
            <w:szCs w:val="20"/>
          </w:rPr>
          <w:t xml:space="preserve">	16</w:t>
        </w:r>
      </w:hyperlink>
    </w:p>
    <w:p>
      <w:pPr>
        <w:tabs>
          <w:tab w:val="right" w:pos="9026" w:leader="dot"/>
        </w:tabs>
        <w:spacing w:after="20" w:before="0"/>
        <w:ind w:left="360"/>
      </w:pPr>
      <w:hyperlink w:history="1" w:anchor="_h28">
        <w:r>
          <w:rPr>
            <w:b w:val="false"/>
            <w:bCs w:val="false"/>
            <w:color w:val="1F2937"/>
            <w:sz w:val="20"/>
            <w:szCs w:val="20"/>
          </w:rPr>
          <w:t xml:space="preserve">6.2 The one-third rule</w:t>
        </w:r>
        <w:r>
          <w:rPr>
            <w:b w:val="false"/>
            <w:bCs w:val="false"/>
            <w:color w:val="1F2937"/>
            <w:sz w:val="20"/>
            <w:szCs w:val="20"/>
          </w:rPr>
          <w:t xml:space="preserve">	16</w:t>
        </w:r>
      </w:hyperlink>
    </w:p>
    <w:p>
      <w:pPr>
        <w:tabs>
          <w:tab w:val="right" w:pos="9026" w:leader="dot"/>
        </w:tabs>
        <w:spacing w:after="20" w:before="0"/>
        <w:ind w:left="360"/>
      </w:pPr>
      <w:hyperlink w:history="1" w:anchor="_h29">
        <w:r>
          <w:rPr>
            <w:b w:val="false"/>
            <w:bCs w:val="false"/>
            <w:color w:val="1F2937"/>
            <w:sz w:val="20"/>
            <w:szCs w:val="20"/>
          </w:rPr>
          <w:t xml:space="preserve">6.3 Bequest to an heir</w:t>
        </w:r>
        <w:r>
          <w:rPr>
            <w:b w:val="false"/>
            <w:bCs w:val="false"/>
            <w:color w:val="1F2937"/>
            <w:sz w:val="20"/>
            <w:szCs w:val="20"/>
          </w:rPr>
          <w:t xml:space="preserve">	16</w:t>
        </w:r>
      </w:hyperlink>
    </w:p>
    <w:p>
      <w:pPr>
        <w:tabs>
          <w:tab w:val="right" w:pos="9026" w:leader="dot"/>
        </w:tabs>
        <w:spacing w:after="20" w:before="0"/>
        <w:ind w:left="360"/>
      </w:pPr>
      <w:hyperlink w:history="1" w:anchor="_h30">
        <w:r>
          <w:rPr>
            <w:b w:val="false"/>
            <w:bCs w:val="false"/>
            <w:color w:val="1F2937"/>
            <w:sz w:val="20"/>
            <w:szCs w:val="20"/>
          </w:rPr>
          <w:t xml:space="preserve">6.4 Other rules</w:t>
        </w:r>
        <w:r>
          <w:rPr>
            <w:b w:val="false"/>
            <w:bCs w:val="false"/>
            <w:color w:val="1F2937"/>
            <w:sz w:val="20"/>
            <w:szCs w:val="20"/>
          </w:rPr>
          <w:t xml:space="preserve">	16</w:t>
        </w:r>
      </w:hyperlink>
    </w:p>
    <w:p>
      <w:pPr>
        <w:tabs>
          <w:tab w:val="right" w:pos="9026" w:leader="dot"/>
        </w:tabs>
        <w:spacing w:after="20" w:before="0"/>
        <w:ind w:left="360"/>
      </w:pPr>
      <w:hyperlink w:history="1" w:anchor="_h31">
        <w:r>
          <w:rPr>
            <w:b w:val="false"/>
            <w:bCs w:val="false"/>
            <w:color w:val="1F2937"/>
            <w:sz w:val="20"/>
            <w:szCs w:val="20"/>
          </w:rPr>
          <w:t xml:space="preserve">6.5 Death-bed transactions (marz-ul-maut)</w:t>
        </w:r>
        <w:r>
          <w:rPr>
            <w:b w:val="false"/>
            <w:bCs w:val="false"/>
            <w:color w:val="1F2937"/>
            <w:sz w:val="20"/>
            <w:szCs w:val="20"/>
          </w:rPr>
          <w:t xml:space="preserve">	16</w:t>
        </w:r>
      </w:hyperlink>
    </w:p>
    <w:p>
      <w:pPr>
        <w:tabs>
          <w:tab w:val="right" w:pos="9026" w:leader="dot"/>
        </w:tabs>
        <w:spacing w:after="40" w:before="120"/>
        <w:ind w:left="0"/>
      </w:pPr>
      <w:hyperlink w:history="1" w:anchor="_h32">
        <w:r>
          <w:rPr>
            <w:b/>
            <w:bCs/>
            <w:color w:val="1F4E79"/>
            <w:sz w:val="22"/>
            <w:szCs w:val="22"/>
          </w:rPr>
          <w:t xml:space="preserve">Chapter 7 · Gifts (hiba)</w:t>
        </w:r>
        <w:r>
          <w:rPr>
            <w:b/>
            <w:bCs/>
            <w:color w:val="1F4E79"/>
            <w:sz w:val="22"/>
            <w:szCs w:val="22"/>
          </w:rPr>
          <w:t xml:space="preserve">	17</w:t>
        </w:r>
      </w:hyperlink>
    </w:p>
    <w:p>
      <w:pPr>
        <w:tabs>
          <w:tab w:val="right" w:pos="9026" w:leader="dot"/>
        </w:tabs>
        <w:spacing w:after="20" w:before="0"/>
        <w:ind w:left="360"/>
      </w:pPr>
      <w:hyperlink w:history="1" w:anchor="_h33">
        <w:r>
          <w:rPr>
            <w:b w:val="false"/>
            <w:bCs w:val="false"/>
            <w:color w:val="1F2937"/>
            <w:sz w:val="20"/>
            <w:szCs w:val="20"/>
          </w:rPr>
          <w:t xml:space="preserve">7.1 Meaning and essentials</w:t>
        </w:r>
        <w:r>
          <w:rPr>
            <w:b w:val="false"/>
            <w:bCs w:val="false"/>
            <w:color w:val="1F2937"/>
            <w:sz w:val="20"/>
            <w:szCs w:val="20"/>
          </w:rPr>
          <w:t xml:space="preserve">	17</w:t>
        </w:r>
      </w:hyperlink>
    </w:p>
    <w:p>
      <w:pPr>
        <w:tabs>
          <w:tab w:val="right" w:pos="9026" w:leader="dot"/>
        </w:tabs>
        <w:spacing w:after="20" w:before="0"/>
        <w:ind w:left="360"/>
      </w:pPr>
      <w:hyperlink w:history="1" w:anchor="_h34">
        <w:r>
          <w:rPr>
            <w:b w:val="false"/>
            <w:bCs w:val="false"/>
            <w:color w:val="1F2937"/>
            <w:sz w:val="20"/>
            <w:szCs w:val="20"/>
          </w:rPr>
          <w:t xml:space="preserve">7.2 Delivery of possession</w:t>
        </w:r>
        <w:r>
          <w:rPr>
            <w:b w:val="false"/>
            <w:bCs w:val="false"/>
            <w:color w:val="1F2937"/>
            <w:sz w:val="20"/>
            <w:szCs w:val="20"/>
          </w:rPr>
          <w:t xml:space="preserve">	17</w:t>
        </w:r>
      </w:hyperlink>
    </w:p>
    <w:p>
      <w:pPr>
        <w:tabs>
          <w:tab w:val="right" w:pos="9026" w:leader="dot"/>
        </w:tabs>
        <w:spacing w:after="20" w:before="0"/>
        <w:ind w:left="360"/>
      </w:pPr>
      <w:hyperlink w:history="1" w:anchor="_h35">
        <w:r>
          <w:rPr>
            <w:b w:val="false"/>
            <w:bCs w:val="false"/>
            <w:color w:val="1F2937"/>
            <w:sz w:val="20"/>
            <w:szCs w:val="20"/>
          </w:rPr>
          <w:t xml:space="preserve">7.3 Gift of musha (undivided share)</w:t>
        </w:r>
        <w:r>
          <w:rPr>
            <w:b w:val="false"/>
            <w:bCs w:val="false"/>
            <w:color w:val="1F2937"/>
            <w:sz w:val="20"/>
            <w:szCs w:val="20"/>
          </w:rPr>
          <w:t xml:space="preserve">	17</w:t>
        </w:r>
      </w:hyperlink>
    </w:p>
    <w:p>
      <w:pPr>
        <w:tabs>
          <w:tab w:val="right" w:pos="9026" w:leader="dot"/>
        </w:tabs>
        <w:spacing w:after="20" w:before="0"/>
        <w:ind w:left="360"/>
      </w:pPr>
      <w:hyperlink w:history="1" w:anchor="_h36">
        <w:r>
          <w:rPr>
            <w:b w:val="false"/>
            <w:bCs w:val="false"/>
            <w:color w:val="1F2937"/>
            <w:sz w:val="20"/>
            <w:szCs w:val="20"/>
          </w:rPr>
          <w:t xml:space="preserve">7.4 Registration and proof of gifts in Pakistan</w:t>
        </w:r>
        <w:r>
          <w:rPr>
            <w:b w:val="false"/>
            <w:bCs w:val="false"/>
            <w:color w:val="1F2937"/>
            <w:sz w:val="20"/>
            <w:szCs w:val="20"/>
          </w:rPr>
          <w:t xml:space="preserve">	17</w:t>
        </w:r>
      </w:hyperlink>
    </w:p>
    <w:p>
      <w:pPr>
        <w:tabs>
          <w:tab w:val="right" w:pos="9026" w:leader="dot"/>
        </w:tabs>
        <w:spacing w:after="20" w:before="0"/>
        <w:ind w:left="360"/>
      </w:pPr>
      <w:hyperlink w:history="1" w:anchor="_h37">
        <w:r>
          <w:rPr>
            <w:b w:val="false"/>
            <w:bCs w:val="false"/>
            <w:color w:val="1F2937"/>
            <w:sz w:val="20"/>
            <w:szCs w:val="20"/>
          </w:rPr>
          <w:t xml:space="preserve">7.5 Kinds of gift</w:t>
        </w:r>
        <w:r>
          <w:rPr>
            <w:b w:val="false"/>
            <w:bCs w:val="false"/>
            <w:color w:val="1F2937"/>
            <w:sz w:val="20"/>
            <w:szCs w:val="20"/>
          </w:rPr>
          <w:t xml:space="preserve">	18</w:t>
        </w:r>
      </w:hyperlink>
    </w:p>
    <w:p>
      <w:pPr>
        <w:tabs>
          <w:tab w:val="right" w:pos="9026" w:leader="dot"/>
        </w:tabs>
        <w:spacing w:after="20" w:before="0"/>
        <w:ind w:left="360"/>
      </w:pPr>
      <w:hyperlink w:history="1" w:anchor="_h38">
        <w:r>
          <w:rPr>
            <w:b w:val="false"/>
            <w:bCs w:val="false"/>
            <w:color w:val="1F2937"/>
            <w:sz w:val="20"/>
            <w:szCs w:val="20"/>
          </w:rPr>
          <w:t xml:space="preserve">7.6 Revocation of gifts (Hanafi)</w:t>
        </w:r>
        <w:r>
          <w:rPr>
            <w:b w:val="false"/>
            <w:bCs w:val="false"/>
            <w:color w:val="1F2937"/>
            <w:sz w:val="20"/>
            <w:szCs w:val="20"/>
          </w:rPr>
          <w:t xml:space="preserve">	18</w:t>
        </w:r>
      </w:hyperlink>
    </w:p>
    <w:p>
      <w:pPr>
        <w:tabs>
          <w:tab w:val="right" w:pos="9026" w:leader="dot"/>
        </w:tabs>
        <w:spacing w:after="20" w:before="0"/>
        <w:ind w:left="360"/>
      </w:pPr>
      <w:hyperlink w:history="1" w:anchor="_h39">
        <w:r>
          <w:rPr>
            <w:b w:val="false"/>
            <w:bCs w:val="false"/>
            <w:color w:val="1F2937"/>
            <w:sz w:val="20"/>
            <w:szCs w:val="20"/>
          </w:rPr>
          <w:t xml:space="preserve">7.7 Conditions and life interests</w:t>
        </w:r>
        <w:r>
          <w:rPr>
            <w:b w:val="false"/>
            <w:bCs w:val="false"/>
            <w:color w:val="1F2937"/>
            <w:sz w:val="20"/>
            <w:szCs w:val="20"/>
          </w:rPr>
          <w:t xml:space="preserve">	18</w:t>
        </w:r>
      </w:hyperlink>
    </w:p>
    <w:p>
      <w:pPr>
        <w:tabs>
          <w:tab w:val="right" w:pos="9026" w:leader="dot"/>
        </w:tabs>
        <w:spacing w:after="40" w:before="120"/>
        <w:ind w:left="0"/>
      </w:pPr>
      <w:hyperlink w:history="1" w:anchor="_h40">
        <w:r>
          <w:rPr>
            <w:b/>
            <w:bCs/>
            <w:color w:val="1F4E79"/>
            <w:sz w:val="22"/>
            <w:szCs w:val="22"/>
          </w:rPr>
          <w:t xml:space="preserve">Chapter 8 · Waqf</w:t>
        </w:r>
        <w:r>
          <w:rPr>
            <w:b/>
            <w:bCs/>
            <w:color w:val="1F4E79"/>
            <w:sz w:val="22"/>
            <w:szCs w:val="22"/>
          </w:rPr>
          <w:t xml:space="preserve">	20</w:t>
        </w:r>
      </w:hyperlink>
    </w:p>
    <w:p>
      <w:pPr>
        <w:tabs>
          <w:tab w:val="right" w:pos="9026" w:leader="dot"/>
        </w:tabs>
        <w:spacing w:after="20" w:before="0"/>
        <w:ind w:left="360"/>
      </w:pPr>
      <w:hyperlink w:history="1" w:anchor="_h41">
        <w:r>
          <w:rPr>
            <w:b w:val="false"/>
            <w:bCs w:val="false"/>
            <w:color w:val="1F2937"/>
            <w:sz w:val="20"/>
            <w:szCs w:val="20"/>
          </w:rPr>
          <w:t xml:space="preserve">8.1 Meaning</w:t>
        </w:r>
        <w:r>
          <w:rPr>
            <w:b w:val="false"/>
            <w:bCs w:val="false"/>
            <w:color w:val="1F2937"/>
            <w:sz w:val="20"/>
            <w:szCs w:val="20"/>
          </w:rPr>
          <w:t xml:space="preserve">	20</w:t>
        </w:r>
      </w:hyperlink>
    </w:p>
    <w:p>
      <w:pPr>
        <w:tabs>
          <w:tab w:val="right" w:pos="9026" w:leader="dot"/>
        </w:tabs>
        <w:spacing w:after="20" w:before="0"/>
        <w:ind w:left="360"/>
      </w:pPr>
      <w:hyperlink w:history="1" w:anchor="_h42">
        <w:r>
          <w:rPr>
            <w:b w:val="false"/>
            <w:bCs w:val="false"/>
            <w:color w:val="1F2937"/>
            <w:sz w:val="20"/>
            <w:szCs w:val="20"/>
          </w:rPr>
          <w:t xml:space="preserve">8.2 Essentials</w:t>
        </w:r>
        <w:r>
          <w:rPr>
            <w:b w:val="false"/>
            <w:bCs w:val="false"/>
            <w:color w:val="1F2937"/>
            <w:sz w:val="20"/>
            <w:szCs w:val="20"/>
          </w:rPr>
          <w:t xml:space="preserve">	20</w:t>
        </w:r>
      </w:hyperlink>
    </w:p>
    <w:p>
      <w:pPr>
        <w:tabs>
          <w:tab w:val="right" w:pos="9026" w:leader="dot"/>
        </w:tabs>
        <w:spacing w:after="20" w:before="0"/>
        <w:ind w:left="360"/>
      </w:pPr>
      <w:hyperlink w:history="1" w:anchor="_h43">
        <w:r>
          <w:rPr>
            <w:b w:val="false"/>
            <w:bCs w:val="false"/>
            <w:color w:val="1F2937"/>
            <w:sz w:val="20"/>
            <w:szCs w:val="20"/>
          </w:rPr>
          <w:t xml:space="preserve">8.3 Family waqf (waqf-alal-aulad)</w:t>
        </w:r>
        <w:r>
          <w:rPr>
            <w:b w:val="false"/>
            <w:bCs w:val="false"/>
            <w:color w:val="1F2937"/>
            <w:sz w:val="20"/>
            <w:szCs w:val="20"/>
          </w:rPr>
          <w:t xml:space="preserve">	20</w:t>
        </w:r>
      </w:hyperlink>
    </w:p>
    <w:p>
      <w:pPr>
        <w:tabs>
          <w:tab w:val="right" w:pos="9026" w:leader="dot"/>
        </w:tabs>
        <w:spacing w:after="20" w:before="0"/>
        <w:ind w:left="360"/>
      </w:pPr>
      <w:hyperlink w:history="1" w:anchor="_h44">
        <w:r>
          <w:rPr>
            <w:b w:val="false"/>
            <w:bCs w:val="false"/>
            <w:color w:val="1F2937"/>
            <w:sz w:val="20"/>
            <w:szCs w:val="20"/>
          </w:rPr>
          <w:t xml:space="preserve">8.4 The mutawalli</w:t>
        </w:r>
        <w:r>
          <w:rPr>
            <w:b w:val="false"/>
            <w:bCs w:val="false"/>
            <w:color w:val="1F2937"/>
            <w:sz w:val="20"/>
            <w:szCs w:val="20"/>
          </w:rPr>
          <w:t xml:space="preserve">	21</w:t>
        </w:r>
      </w:hyperlink>
    </w:p>
    <w:p>
      <w:pPr>
        <w:tabs>
          <w:tab w:val="right" w:pos="9026" w:leader="dot"/>
        </w:tabs>
        <w:spacing w:after="20" w:before="0"/>
        <w:ind w:left="360"/>
      </w:pPr>
      <w:hyperlink w:history="1" w:anchor="_h45">
        <w:r>
          <w:rPr>
            <w:b w:val="false"/>
            <w:bCs w:val="false"/>
            <w:color w:val="1F2937"/>
            <w:sz w:val="20"/>
            <w:szCs w:val="20"/>
          </w:rPr>
          <w:t xml:space="preserve">8.5 The ICT Waqf Properties Act 2020</w:t>
        </w:r>
        <w:r>
          <w:rPr>
            <w:b w:val="false"/>
            <w:bCs w:val="false"/>
            <w:color w:val="1F2937"/>
            <w:sz w:val="20"/>
            <w:szCs w:val="20"/>
          </w:rPr>
          <w:t xml:space="preserve">	21</w:t>
        </w:r>
      </w:hyperlink>
    </w:p>
    <w:p>
      <w:pPr>
        <w:tabs>
          <w:tab w:val="right" w:pos="9026" w:leader="dot"/>
        </w:tabs>
        <w:spacing w:after="20" w:before="0"/>
        <w:ind w:left="360"/>
      </w:pPr>
      <w:hyperlink w:history="1" w:anchor="_h46">
        <w:r>
          <w:rPr>
            <w:b w:val="false"/>
            <w:bCs w:val="false"/>
            <w:color w:val="1F2937"/>
            <w:sz w:val="20"/>
            <w:szCs w:val="20"/>
          </w:rPr>
          <w:t xml:space="preserve">8.6 Cy-pres</w:t>
        </w:r>
        <w:r>
          <w:rPr>
            <w:b w:val="false"/>
            <w:bCs w:val="false"/>
            <w:color w:val="1F2937"/>
            <w:sz w:val="20"/>
            <w:szCs w:val="20"/>
          </w:rPr>
          <w:t xml:space="preserve">	21</w:t>
        </w:r>
      </w:hyperlink>
    </w:p>
    <w:p>
      <w:pPr>
        <w:tabs>
          <w:tab w:val="right" w:pos="9026" w:leader="dot"/>
        </w:tabs>
        <w:spacing w:after="40" w:before="120"/>
        <w:ind w:left="0"/>
      </w:pPr>
      <w:hyperlink w:history="1" w:anchor="_h47">
        <w:r>
          <w:rPr>
            <w:b/>
            <w:bCs/>
            <w:color w:val="1F4E79"/>
            <w:sz w:val="22"/>
            <w:szCs w:val="22"/>
          </w:rPr>
          <w:t xml:space="preserve">Chapter 9 · Pre-emption (shufa)</w:t>
        </w:r>
        <w:r>
          <w:rPr>
            <w:b/>
            <w:bCs/>
            <w:color w:val="1F4E79"/>
            <w:sz w:val="22"/>
            <w:szCs w:val="22"/>
          </w:rPr>
          <w:t xml:space="preserve">	22</w:t>
        </w:r>
      </w:hyperlink>
    </w:p>
    <w:p>
      <w:pPr>
        <w:tabs>
          <w:tab w:val="right" w:pos="9026" w:leader="dot"/>
        </w:tabs>
        <w:spacing w:after="20" w:before="0"/>
        <w:ind w:left="360"/>
      </w:pPr>
      <w:hyperlink w:history="1" w:anchor="_h48">
        <w:r>
          <w:rPr>
            <w:b w:val="false"/>
            <w:bCs w:val="false"/>
            <w:color w:val="1F2937"/>
            <w:sz w:val="20"/>
            <w:szCs w:val="20"/>
          </w:rPr>
          <w:t xml:space="preserve">9.1 Meaning and nature</w:t>
        </w:r>
        <w:r>
          <w:rPr>
            <w:b w:val="false"/>
            <w:bCs w:val="false"/>
            <w:color w:val="1F2937"/>
            <w:sz w:val="20"/>
            <w:szCs w:val="20"/>
          </w:rPr>
          <w:t xml:space="preserve">	22</w:t>
        </w:r>
      </w:hyperlink>
    </w:p>
    <w:p>
      <w:pPr>
        <w:tabs>
          <w:tab w:val="right" w:pos="9026" w:leader="dot"/>
        </w:tabs>
        <w:spacing w:after="20" w:before="0"/>
        <w:ind w:left="360"/>
      </w:pPr>
      <w:hyperlink w:history="1" w:anchor="_h49">
        <w:r>
          <w:rPr>
            <w:b w:val="false"/>
            <w:bCs w:val="false"/>
            <w:color w:val="1F2937"/>
            <w:sz w:val="20"/>
            <w:szCs w:val="20"/>
          </w:rPr>
          <w:t xml:space="preserve">9.2 Who may pre-empt — the three classes (Hanafi)</w:t>
        </w:r>
        <w:r>
          <w:rPr>
            <w:b w:val="false"/>
            <w:bCs w:val="false"/>
            <w:color w:val="1F2937"/>
            <w:sz w:val="20"/>
            <w:szCs w:val="20"/>
          </w:rPr>
          <w:t xml:space="preserve">	22</w:t>
        </w:r>
      </w:hyperlink>
    </w:p>
    <w:p>
      <w:pPr>
        <w:tabs>
          <w:tab w:val="right" w:pos="9026" w:leader="dot"/>
        </w:tabs>
        <w:spacing w:after="20" w:before="0"/>
        <w:ind w:left="360"/>
      </w:pPr>
      <w:hyperlink w:history="1" w:anchor="_h50">
        <w:r>
          <w:rPr>
            <w:b w:val="false"/>
            <w:bCs w:val="false"/>
            <w:color w:val="1F2937"/>
            <w:sz w:val="20"/>
            <w:szCs w:val="20"/>
          </w:rPr>
          <w:t xml:space="preserve">9.3 The three demands (talbs)</w:t>
        </w:r>
        <w:r>
          <w:rPr>
            <w:b w:val="false"/>
            <w:bCs w:val="false"/>
            <w:color w:val="1F2937"/>
            <w:sz w:val="20"/>
            <w:szCs w:val="20"/>
          </w:rPr>
          <w:t xml:space="preserve">	22</w:t>
        </w:r>
      </w:hyperlink>
    </w:p>
    <w:p>
      <w:pPr>
        <w:tabs>
          <w:tab w:val="right" w:pos="9026" w:leader="dot"/>
        </w:tabs>
        <w:spacing w:after="20" w:before="0"/>
        <w:ind w:left="360"/>
      </w:pPr>
      <w:hyperlink w:history="1" w:anchor="_h51">
        <w:r>
          <w:rPr>
            <w:b w:val="false"/>
            <w:bCs w:val="false"/>
            <w:color w:val="1F2937"/>
            <w:sz w:val="20"/>
            <w:szCs w:val="20"/>
          </w:rPr>
          <w:t xml:space="preserve">9.4 The law applied in Islamabad</w:t>
        </w:r>
        <w:r>
          <w:rPr>
            <w:b w:val="false"/>
            <w:bCs w:val="false"/>
            <w:color w:val="1F2937"/>
            <w:sz w:val="20"/>
            <w:szCs w:val="20"/>
          </w:rPr>
          <w:t xml:space="preserve">	23</w:t>
        </w:r>
      </w:hyperlink>
    </w:p>
    <w:p>
      <w:pPr>
        <w:tabs>
          <w:tab w:val="right" w:pos="9026" w:leader="dot"/>
        </w:tabs>
        <w:spacing w:after="20" w:before="0"/>
        <w:ind w:left="360"/>
      </w:pPr>
      <w:hyperlink w:history="1" w:anchor="_h52">
        <w:r>
          <w:rPr>
            <w:b w:val="false"/>
            <w:bCs w:val="false"/>
            <w:color w:val="1F2937"/>
            <w:sz w:val="20"/>
            <w:szCs w:val="20"/>
          </w:rPr>
          <w:t xml:space="preserve">9.5 Other rules</w:t>
        </w:r>
        <w:r>
          <w:rPr>
            <w:b w:val="false"/>
            <w:bCs w:val="false"/>
            <w:color w:val="1F2937"/>
            <w:sz w:val="20"/>
            <w:szCs w:val="20"/>
          </w:rPr>
          <w:t xml:space="preserve">	23</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2 covers</w:t>
      </w:r>
      <w:bookmarkEnd w:id="102"/>
    </w:p>
    <w:p>
      <w:pPr>
        <w:pStyle w:val="ListParagraph"/>
        <w:numPr>
          <w:ilvl w:val="0"/>
          <w:numId w:val="2"/>
        </w:numPr>
        <w:spacing w:after="60" w:line="276"/>
      </w:pPr>
      <w:r>
        <w:rPr>
          <w:b/>
          <w:bCs/>
          <w:color w:val="2E7D32"/>
        </w:rPr>
        <w:t xml:space="preserve">Inheritance</w:t>
      </w:r>
      <w:r>
        <w:t xml:space="preserve"> — the general principles, the impediments, the </w:t>
      </w:r>
      <w:r>
        <w:rPr>
          <w:b/>
          <w:bCs/>
          <w:color w:val="2E7D32"/>
        </w:rPr>
        <w:t xml:space="preserve">Hanafi</w:t>
      </w:r>
      <w:r>
        <w:t xml:space="preserve"> scheme of sharers, residuaries and distant kindred, exclusion, </w:t>
      </w:r>
      <w:r>
        <w:rPr>
          <w:b/>
          <w:bCs/>
          <w:color w:val="2E7D32"/>
        </w:rPr>
        <w:t xml:space="preserve">aul</w:t>
      </w:r>
      <w:r>
        <w:t xml:space="preserve"> and </w:t>
      </w:r>
      <w:r>
        <w:rPr>
          <w:b/>
          <w:bCs/>
          <w:color w:val="2E7D32"/>
        </w:rPr>
        <w:t xml:space="preserve">radd</w:t>
      </w:r>
      <w:r>
        <w:t xml:space="preserve">, the </w:t>
      </w:r>
      <w:r>
        <w:rPr>
          <w:b/>
          <w:bCs/>
          <w:color w:val="2E7D32"/>
        </w:rPr>
        <w:t xml:space="preserve">Shia</w:t>
      </w:r>
      <w:r>
        <w:t xml:space="preserve"> scheme, and the </w:t>
      </w:r>
      <w:r>
        <w:rPr>
          <w:b/>
          <w:bCs/>
          <w:color w:val="2E7D32"/>
        </w:rPr>
        <w:t xml:space="preserve">MFLO s. 4</w:t>
      </w:r>
      <w:r>
        <w:t xml:space="preserve"> rule for orphaned grandchildren (with the 2021 Fiqh-e-Jafria provisions).</w:t>
      </w:r>
    </w:p>
    <w:p>
      <w:pPr>
        <w:pStyle w:val="ListParagraph"/>
        <w:numPr>
          <w:ilvl w:val="0"/>
          <w:numId w:val="2"/>
        </w:numPr>
        <w:spacing w:after="60" w:line="276"/>
      </w:pPr>
      <w:r>
        <w:rPr>
          <w:b/>
          <w:bCs/>
          <w:color w:val="2E7D32"/>
        </w:rPr>
        <w:t xml:space="preserve">Administration of the estate</w:t>
      </w:r>
      <w:r>
        <w:t xml:space="preserve"> — funeral expenses, debts (including dower), legacies, then shares; succession certificates (including NADRA under the 2020 Act); protection of women's inheritance.</w:t>
      </w:r>
    </w:p>
    <w:p>
      <w:pPr>
        <w:pStyle w:val="ListParagraph"/>
        <w:numPr>
          <w:ilvl w:val="0"/>
          <w:numId w:val="2"/>
        </w:numPr>
        <w:spacing w:after="60" w:line="276"/>
      </w:pPr>
      <w:r>
        <w:rPr>
          <w:b/>
          <w:bCs/>
          <w:color w:val="2E7D32"/>
        </w:rPr>
        <w:t xml:space="preserve">Wills (wasiyyat)</w:t>
      </w:r>
      <w:r>
        <w:t xml:space="preserve"> — capacity, the one-third rule, bequests to heirs, revocation; death-bed (</w:t>
      </w:r>
      <w:r>
        <w:rPr>
          <w:i/>
          <w:iCs/>
        </w:rPr>
        <w:t xml:space="preserve">marz-ul-maut</w:t>
      </w:r>
      <w:r>
        <w:t xml:space="preserve">) transactions.</w:t>
      </w:r>
    </w:p>
    <w:p>
      <w:pPr>
        <w:pStyle w:val="ListParagraph"/>
        <w:numPr>
          <w:ilvl w:val="0"/>
          <w:numId w:val="2"/>
        </w:numPr>
        <w:spacing w:after="60" w:line="276"/>
      </w:pPr>
      <w:r>
        <w:rPr>
          <w:b/>
          <w:bCs/>
          <w:color w:val="2E7D32"/>
        </w:rPr>
        <w:t xml:space="preserve">Gifts (hiba)</w:t>
      </w:r>
      <w:r>
        <w:t xml:space="preserve"> — declaration, acceptance and delivery of possession; </w:t>
      </w:r>
      <w:r>
        <w:rPr>
          <w:i/>
          <w:iCs/>
        </w:rPr>
        <w:t xml:space="preserve">musha</w:t>
      </w:r>
      <w:r>
        <w:t xml:space="preserve">; revocation; </w:t>
      </w:r>
      <w:r>
        <w:rPr>
          <w:i/>
          <w:iCs/>
        </w:rPr>
        <w:t xml:space="preserve">hiba-bil-iwaz</w:t>
      </w:r>
      <w:r>
        <w:t xml:space="preserve">; registration of gifts in Pakistan.</w:t>
      </w:r>
    </w:p>
    <w:p>
      <w:pPr>
        <w:pStyle w:val="ListParagraph"/>
        <w:numPr>
          <w:ilvl w:val="0"/>
          <w:numId w:val="2"/>
        </w:numPr>
        <w:spacing w:after="60" w:line="276"/>
      </w:pPr>
      <w:r>
        <w:rPr>
          <w:b/>
          <w:bCs/>
          <w:color w:val="2E7D32"/>
        </w:rPr>
        <w:t xml:space="preserve">Waqf</w:t>
      </w:r>
      <w:r>
        <w:t xml:space="preserve"> — essentials, family waqf and the 1913 Act, the mutawalli, and the </w:t>
      </w:r>
      <w:r>
        <w:rPr>
          <w:b/>
          <w:bCs/>
          <w:color w:val="2E7D32"/>
        </w:rPr>
        <w:t xml:space="preserve">ICT Waqf Properties Act 2020</w:t>
      </w:r>
      <w:r>
        <w:t xml:space="preserve">.</w:t>
      </w:r>
    </w:p>
    <w:p>
      <w:pPr>
        <w:pStyle w:val="ListParagraph"/>
        <w:numPr>
          <w:ilvl w:val="0"/>
          <w:numId w:val="2"/>
        </w:numPr>
        <w:spacing w:after="60" w:line="276"/>
      </w:pPr>
      <w:r>
        <w:rPr>
          <w:b/>
          <w:bCs/>
          <w:color w:val="2E7D32"/>
        </w:rPr>
        <w:t xml:space="preserve">Pre-emption (shufa)</w:t>
      </w:r>
      <w:r>
        <w:t xml:space="preserve"> — who may pre-empt, the three </w:t>
      </w:r>
      <w:r>
        <w:rPr>
          <w:b/>
          <w:bCs/>
          <w:color w:val="2E7D32"/>
        </w:rPr>
        <w:t xml:space="preserve">talbs</w:t>
      </w:r>
      <w:r>
        <w:t xml:space="preserve">, the law applied in Islamabad.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No bare Act for Muslim law</w:t>
            </w:r>
          </w:p>
          <w:p>
            <w:pPr>
              <w:spacing w:after="90" w:line="276"/>
            </w:pPr>
            <w:r>
              <w:t xml:space="preserve">As in Topic 1, the bare Act is not allowed for Muhammadan Law. Learn the </w:t>
            </w:r>
            <w:r>
              <w:rPr>
                <w:b/>
                <w:bCs/>
                <w:color w:val="2E7D32"/>
              </w:rPr>
              <w:t xml:space="preserve">shares table</w:t>
            </w:r>
            <w:r>
              <w:t xml:space="preserve"> (Chapter 3) by heart and practise the </w:t>
            </w:r>
            <w:r>
              <w:rPr>
                <w:b/>
                <w:bCs/>
                <w:color w:val="2E7D32"/>
              </w:rPr>
              <w:t xml:space="preserve">worked examples</w:t>
            </w:r>
            <w:r>
              <w:t xml:space="preserve"> — an inheritance calculation is a favourite way of testing "practical ability".</w:t>
            </w:r>
          </w:p>
        </w:tc>
      </w:tr>
    </w:tbl>
    <w:p>
      <w:pPr>
        <w:spacing w:after="80"/>
      </w:pPr>
    </w:p>
    <w:p>
      <w:pPr>
        <w:pStyle w:val="Heading2"/>
        <w:keepNext/>
      </w:pPr>
      <w:bookmarkStart w:name="_h2" w:id="103"/>
      <w:r>
        <w:t xml:space="preserve">How the exam asks this part</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Typical question</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answered</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Distribute the estate of a deceased Muslim among the given heirs (with reasons)</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Chapters 2–5</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Explain the doctrines of </w:t>
            </w:r>
            <w:r>
              <w:rPr>
                <w:b/>
                <w:bCs/>
                <w:color w:val="2E7D32"/>
                <w:sz w:val="20"/>
                <w:szCs w:val="20"/>
              </w:rPr>
              <w:t xml:space="preserve">aul</w:t>
            </w:r>
            <w:r>
              <w:rPr>
                <w:sz w:val="20"/>
                <w:szCs w:val="20"/>
              </w:rPr>
              <w:t xml:space="preserve"> and </w:t>
            </w:r>
            <w:r>
              <w:rPr>
                <w:b/>
                <w:bCs/>
                <w:color w:val="2E7D32"/>
                <w:sz w:val="20"/>
                <w:szCs w:val="20"/>
              </w:rPr>
              <w:t xml:space="preserve">radd</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Chapter 4</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 of </w:t>
            </w:r>
            <w:r>
              <w:rPr>
                <w:b/>
                <w:bCs/>
                <w:color w:val="2E7D32"/>
                <w:sz w:val="20"/>
                <w:szCs w:val="20"/>
              </w:rPr>
              <w:t xml:space="preserve">MFLO s. 4</w:t>
            </w:r>
            <w:r>
              <w:rPr>
                <w:sz w:val="20"/>
                <w:szCs w:val="20"/>
              </w:rPr>
              <w:t xml:space="preserve"> on the rights of orphaned grandchildren; its validity (</w:t>
            </w:r>
            <w:r>
              <w:rPr>
                <w:i/>
                <w:iCs/>
                <w:sz w:val="20"/>
                <w:szCs w:val="20"/>
              </w:rPr>
              <w:t xml:space="preserve">Allah Rakha</w:t>
            </w:r>
            <w:r>
              <w:rPr>
                <w:sz w:val="20"/>
                <w:szCs w:val="20"/>
              </w:rPr>
              <w:t xml:space="preserv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Chapter 5</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Essentials of a valid </w:t>
            </w:r>
            <w:r>
              <w:rPr>
                <w:b/>
                <w:bCs/>
                <w:color w:val="2E7D32"/>
                <w:sz w:val="20"/>
                <w:szCs w:val="20"/>
              </w:rPr>
              <w:t xml:space="preserve">gift</w:t>
            </w:r>
            <w:r>
              <w:rPr>
                <w:sz w:val="20"/>
                <w:szCs w:val="20"/>
              </w:rPr>
              <w:t xml:space="preserve">; gift of </w:t>
            </w:r>
            <w:r>
              <w:rPr>
                <w:i/>
                <w:iCs/>
                <w:sz w:val="20"/>
                <w:szCs w:val="20"/>
              </w:rPr>
              <w:t xml:space="preserve">musha</w:t>
            </w:r>
            <w:r>
              <w:rPr>
                <w:sz w:val="20"/>
                <w:szCs w:val="20"/>
              </w:rPr>
              <w:t xml:space="preserve">; gift without possession; revocation</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Chapter 7</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Limits on a Muslim's power of </w:t>
            </w:r>
            <w:r>
              <w:rPr>
                <w:b/>
                <w:bCs/>
                <w:color w:val="2E7D32"/>
                <w:sz w:val="20"/>
                <w:szCs w:val="20"/>
              </w:rPr>
              <w:t xml:space="preserve">testamentary</w:t>
            </w:r>
            <w:r>
              <w:rPr>
                <w:sz w:val="20"/>
                <w:szCs w:val="20"/>
              </w:rPr>
              <w:t xml:space="preserve"> disposition; bequest to an heir</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Chapter 6</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Essentials of </w:t>
            </w:r>
            <w:r>
              <w:rPr>
                <w:b/>
                <w:bCs/>
                <w:color w:val="2E7D32"/>
                <w:sz w:val="20"/>
                <w:szCs w:val="20"/>
              </w:rPr>
              <w:t xml:space="preserve">waqf</w:t>
            </w:r>
            <w:r>
              <w:rPr>
                <w:sz w:val="20"/>
                <w:szCs w:val="20"/>
              </w:rPr>
              <w:t xml:space="preserve">; family waqf; powers of the mutawalli</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Chapter 8</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Pre-emption</w:t>
            </w:r>
            <w:r>
              <w:rPr>
                <w:sz w:val="20"/>
                <w:szCs w:val="20"/>
              </w:rPr>
              <w:t xml:space="preserve"> — who may claim, the talbs, limitation, exemptions (LHC ASJ 2020)</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Chapter 9</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Deprivation of </w:t>
            </w:r>
            <w:r>
              <w:rPr>
                <w:b/>
                <w:bCs/>
                <w:color w:val="2E7D32"/>
                <w:sz w:val="20"/>
                <w:szCs w:val="20"/>
              </w:rPr>
              <w:t xml:space="preserve">women's inheritance</w:t>
            </w:r>
            <w:r>
              <w:rPr>
                <w:sz w:val="20"/>
                <w:szCs w:val="20"/>
              </w:rPr>
              <w:t xml:space="preserve"> — remedies</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Chapter 2</w:t>
            </w:r>
          </w:p>
        </w:tc>
      </w:tr>
    </w:tbl>
    <w:p>
      <w:pPr>
        <w:spacing w:after="100"/>
      </w:pPr>
    </w:p>
    <w:p>
      <w:pPr>
        <w:pStyle w:val="Heading1"/>
        <w:keepNext/>
        <w:pageBreakBefore/>
      </w:pPr>
      <w:bookmarkStart w:name="_h3" w:id="104"/>
      <w:r>
        <w:t xml:space="preserve">Chapter 1 · General principles of inheritance</w:t>
      </w:r>
      <w:bookmarkEnd w:id="104"/>
    </w:p>
    <w:p>
      <w:pPr>
        <w:pStyle w:val="Heading2"/>
        <w:keepNext/>
      </w:pPr>
      <w:bookmarkStart w:name="_h4" w:id="105"/>
      <w:r>
        <w:t xml:space="preserve">1.1 Basis</w:t>
      </w:r>
      <w:bookmarkEnd w:id="105"/>
    </w:p>
    <w:p>
      <w:pPr>
        <w:spacing w:after="120" w:line="288"/>
      </w:pPr>
      <w:r>
        <w:t xml:space="preserve">The Muslim law of inheritance rests chiefly on three verses of the Quran — </w:t>
      </w:r>
      <w:r>
        <w:rPr>
          <w:b/>
          <w:bCs/>
          <w:color w:val="2E7D32"/>
        </w:rPr>
        <w:t xml:space="preserve">4:11, 4:12 and 4:176</w:t>
      </w:r>
      <w:r>
        <w:t xml:space="preserve"> ("Allah commands you as regards your children's inheritance: to the male, a portion equal to that of two females …"). It replaced the pre-Islamic custom under which only male agnates able to bear arms inherited. Its reforms: (1) </w:t>
      </w:r>
      <w:r>
        <w:rPr>
          <w:b/>
          <w:bCs/>
          <w:color w:val="2E7D32"/>
        </w:rPr>
        <w:t xml:space="preserve">women and cognates</w:t>
      </w:r>
      <w:r>
        <w:t xml:space="preserve"> became heirs; (2) </w:t>
      </w:r>
      <w:r>
        <w:rPr>
          <w:b/>
          <w:bCs/>
          <w:color w:val="2E7D32"/>
        </w:rPr>
        <w:t xml:space="preserve">parents</w:t>
      </w:r>
      <w:r>
        <w:t xml:space="preserve"> and </w:t>
      </w:r>
      <w:r>
        <w:rPr>
          <w:b/>
          <w:bCs/>
          <w:color w:val="2E7D32"/>
        </w:rPr>
        <w:t xml:space="preserve">spouses</w:t>
      </w:r>
      <w:r>
        <w:t xml:space="preserve"> became heirs; (3) </w:t>
      </w:r>
      <w:r>
        <w:rPr>
          <w:b/>
          <w:bCs/>
          <w:color w:val="2E7D32"/>
        </w:rPr>
        <w:t xml:space="preserve">females</w:t>
      </w:r>
      <w:r>
        <w:t xml:space="preserve"> generally take </w:t>
      </w:r>
      <w:r>
        <w:rPr>
          <w:b/>
          <w:bCs/>
          <w:color w:val="2E7D32"/>
        </w:rPr>
        <w:t xml:space="preserve">half</w:t>
      </w:r>
      <w:r>
        <w:t xml:space="preserve"> the share of males of the same degree (because men bear the financial duties of dower and maintenance); (4) shares are </w:t>
      </w:r>
      <w:r>
        <w:rPr>
          <w:b/>
          <w:bCs/>
          <w:color w:val="2E7D32"/>
        </w:rPr>
        <w:t xml:space="preserve">fixed by Allah</w:t>
      </w:r>
      <w:r>
        <w:t xml:space="preserve"> and cannot be varied by will beyond one-third.</w:t>
      </w:r>
    </w:p>
    <w:p>
      <w:pPr>
        <w:pStyle w:val="Heading2"/>
        <w:keepNext/>
      </w:pPr>
      <w:bookmarkStart w:name="_h5" w:id="106"/>
      <w:r>
        <w:t xml:space="preserve">1.2 The basic rules</w:t>
      </w:r>
      <w:bookmarkEnd w:id="106"/>
    </w:p>
    <w:p>
      <w:pPr>
        <w:pStyle w:val="ListParagraph"/>
        <w:numPr>
          <w:ilvl w:val="0"/>
          <w:numId w:val="3"/>
        </w:numPr>
        <w:spacing w:after="60" w:line="276"/>
      </w:pPr>
      <w:r>
        <w:rPr>
          <w:b/>
          <w:bCs/>
          <w:color w:val="2E7D32"/>
        </w:rPr>
        <w:t xml:space="preserve">Succession opens on death.</w:t>
      </w:r>
      <w:r>
        <w:t xml:space="preserve"> No one is an heir to a living person (</w:t>
      </w:r>
      <w:r>
        <w:rPr>
          <w:i/>
          <w:iCs/>
        </w:rPr>
        <w:t xml:space="preserve">nemo est heres viventis</w:t>
      </w:r>
      <w:r>
        <w:t xml:space="preserve">). A "transfer" or relinquishment of an </w:t>
      </w:r>
      <w:r>
        <w:rPr>
          <w:b/>
          <w:bCs/>
          <w:color w:val="2E7D32"/>
        </w:rPr>
        <w:t xml:space="preserve">expectancy</w:t>
      </w:r>
      <w:r>
        <w:t xml:space="preserve"> (</w:t>
      </w:r>
      <w:r>
        <w:rPr>
          <w:i/>
          <w:iCs/>
        </w:rPr>
        <w:t xml:space="preserve">spes successionis</w:t>
      </w:r>
      <w:r>
        <w:t xml:space="preserve">) by a prospective heir </w:t>
      </w:r>
      <w:r>
        <w:rPr>
          <w:b/>
          <w:bCs/>
          <w:color w:val="2E7D32"/>
        </w:rPr>
        <w:t xml:space="preserve">during the lifetime</w:t>
      </w:r>
      <w:r>
        <w:t xml:space="preserve"> of the owner is </w:t>
      </w:r>
      <w:r>
        <w:rPr>
          <w:b/>
          <w:bCs/>
          <w:color w:val="2E7D32"/>
        </w:rPr>
        <w:t xml:space="preserve">void</w:t>
      </w:r>
      <w:r>
        <w:t xml:space="preserve"> (</w:t>
      </w:r>
      <w:r>
        <w:rPr>
          <w:i/>
          <w:iCs/>
        </w:rPr>
        <w:t xml:space="preserve">Ghulam Ali v. Mst. Ghulam Sarwar Naqvi</w:t>
      </w:r>
      <w:r>
        <w:t xml:space="preserve">, PLD 1990 SC 1 — a sister's relinquishment of her expected share in favour of her brother was held of no effect).</w:t>
      </w:r>
    </w:p>
    <w:p>
      <w:pPr>
        <w:pStyle w:val="ListParagraph"/>
        <w:numPr>
          <w:ilvl w:val="0"/>
          <w:numId w:val="3"/>
        </w:numPr>
        <w:spacing w:after="60" w:line="276"/>
      </w:pPr>
      <w:r>
        <w:rPr>
          <w:b/>
          <w:bCs/>
          <w:color w:val="2E7D32"/>
        </w:rPr>
        <w:t xml:space="preserve">Heirs are determined at the moment of death.</w:t>
      </w:r>
      <w:r>
        <w:t xml:space="preserve"> A person who survives the deceased even for a moment inherits; his share then passes to his own heirs.</w:t>
      </w:r>
    </w:p>
    <w:p>
      <w:pPr>
        <w:pStyle w:val="ListParagraph"/>
        <w:numPr>
          <w:ilvl w:val="0"/>
          <w:numId w:val="3"/>
        </w:numPr>
        <w:spacing w:after="60" w:line="276"/>
      </w:pPr>
      <w:r>
        <w:rPr>
          <w:b/>
          <w:bCs/>
          <w:color w:val="2E7D32"/>
        </w:rPr>
        <w:t xml:space="preserve">No distinction between movable and immovable</w:t>
      </w:r>
      <w:r>
        <w:t xml:space="preserve"> property, or between ancestral and self-acquired property.</w:t>
      </w:r>
    </w:p>
    <w:p>
      <w:pPr>
        <w:pStyle w:val="ListParagraph"/>
        <w:numPr>
          <w:ilvl w:val="0"/>
          <w:numId w:val="3"/>
        </w:numPr>
        <w:spacing w:after="60" w:line="276"/>
      </w:pPr>
      <w:r>
        <w:rPr>
          <w:b/>
          <w:bCs/>
          <w:color w:val="2E7D32"/>
        </w:rPr>
        <w:t xml:space="preserve">No birthright</w:t>
      </w:r>
      <w:r>
        <w:t xml:space="preserve"> — a child acquires no interest in the father's property during the father's life.</w:t>
      </w:r>
    </w:p>
    <w:p>
      <w:pPr>
        <w:pStyle w:val="ListParagraph"/>
        <w:numPr>
          <w:ilvl w:val="0"/>
          <w:numId w:val="3"/>
        </w:numPr>
        <w:spacing w:after="60" w:line="276"/>
      </w:pPr>
      <w:r>
        <w:rPr>
          <w:b/>
          <w:bCs/>
          <w:color w:val="2E7D32"/>
        </w:rPr>
        <w:t xml:space="preserve">Heirs take as tenants-in-common</w:t>
      </w:r>
      <w:r>
        <w:t xml:space="preserve">, in definite shares, not as joint tenants.</w:t>
      </w:r>
    </w:p>
    <w:p>
      <w:pPr>
        <w:pStyle w:val="ListParagraph"/>
        <w:numPr>
          <w:ilvl w:val="0"/>
          <w:numId w:val="3"/>
        </w:numPr>
        <w:spacing w:after="60" w:line="276"/>
      </w:pPr>
      <w:r>
        <w:rPr>
          <w:b/>
          <w:bCs/>
          <w:color w:val="2E7D32"/>
        </w:rPr>
        <w:t xml:space="preserve">No representation</w:t>
      </w:r>
      <w:r>
        <w:t xml:space="preserve"> in classical law — the nearer heir excludes the remoter (the son excludes the son's son). </w:t>
      </w:r>
      <w:r>
        <w:rPr>
          <w:b/>
          <w:bCs/>
          <w:color w:val="2E7D32"/>
        </w:rPr>
        <w:t xml:space="preserve">MFLO s. 4</w:t>
      </w:r>
      <w:r>
        <w:t xml:space="preserve"> changes this for </w:t>
      </w:r>
      <w:r>
        <w:rPr>
          <w:b/>
          <w:bCs/>
          <w:color w:val="2E7D32"/>
        </w:rPr>
        <w:t xml:space="preserve">orphaned grandchildren</w:t>
      </w:r>
      <w:r>
        <w:t xml:space="preserve"> (Chapter 5).</w:t>
      </w:r>
    </w:p>
    <w:p>
      <w:pPr>
        <w:pStyle w:val="ListParagraph"/>
        <w:numPr>
          <w:ilvl w:val="0"/>
          <w:numId w:val="3"/>
        </w:numPr>
        <w:spacing w:after="60" w:line="276"/>
      </w:pPr>
      <w:r>
        <w:rPr>
          <w:b/>
          <w:bCs/>
          <w:color w:val="2E7D32"/>
        </w:rPr>
        <w:t xml:space="preserve">Estate vests in the heirs immediately</w:t>
      </w:r>
      <w:r>
        <w:t xml:space="preserve"> on death, subject to the payment of </w:t>
      </w:r>
      <w:r>
        <w:rPr>
          <w:b/>
          <w:bCs/>
          <w:color w:val="2E7D32"/>
        </w:rPr>
        <w:t xml:space="preserve">debts</w:t>
      </w:r>
      <w:r>
        <w:t xml:space="preserve"> (Chapter 2). An heir may sue for his share without a succession certificate (except for recovery of debts due to the deceased, where the Succession Act 1925 requires one).</w:t>
      </w:r>
    </w:p>
    <w:p>
      <w:pPr>
        <w:pStyle w:val="ListParagraph"/>
        <w:numPr>
          <w:ilvl w:val="0"/>
          <w:numId w:val="3"/>
        </w:numPr>
        <w:spacing w:after="60" w:line="276"/>
      </w:pPr>
      <w:r>
        <w:rPr>
          <w:b/>
          <w:bCs/>
          <w:color w:val="2E7D32"/>
        </w:rPr>
        <w:t xml:space="preserve">Females' rights are full rights</w:t>
      </w:r>
      <w:r>
        <w:t xml:space="preserve"> — the </w:t>
      </w:r>
      <w:r>
        <w:rPr>
          <w:b/>
          <w:bCs/>
          <w:color w:val="2E7D32"/>
        </w:rPr>
        <w:t xml:space="preserve">Shariat Application Act 1962, s. 3</w:t>
      </w:r>
      <w:r>
        <w:t xml:space="preserve"> terminated the limited estates of Muslim females under customary law.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Al-aqrab fal-aqrab — the nearer excludes the more remote</w:t>
            </w:r>
          </w:p>
          <w:p>
            <w:pPr>
              <w:spacing w:after="90" w:line="276"/>
            </w:pPr>
            <w:r>
              <w:t xml:space="preserve">The basic rule of priority among heirs of the same class: a nearer relation excludes a more distant one of the same kind (son excludes son's son; father excludes grandfather). It is this rule that MFLO s. 4 modifies for orphaned grandchildren.</w:t>
            </w:r>
          </w:p>
        </w:tc>
      </w:tr>
    </w:tbl>
    <w:p>
      <w:pPr>
        <w:spacing w:after="80"/>
      </w:pPr>
    </w:p>
    <w:p>
      <w:pPr>
        <w:pStyle w:val="Heading2"/>
        <w:keepNext/>
      </w:pPr>
      <w:bookmarkStart w:name="_h6" w:id="107"/>
      <w:r>
        <w:t xml:space="preserve">1.3 Impediments to inheritance</w:t>
      </w:r>
      <w:bookmarkEnd w:id="107"/>
    </w:p>
    <w:p>
      <w:pPr>
        <w:pStyle w:val="ListParagraph"/>
        <w:numPr>
          <w:ilvl w:val="0"/>
          <w:numId w:val="4"/>
        </w:numPr>
        <w:spacing w:after="60" w:line="276"/>
      </w:pPr>
      <w:r>
        <w:rPr>
          <w:b/>
          <w:bCs/>
          <w:color w:val="2E7D32"/>
        </w:rPr>
        <w:t xml:space="preserve">Homicide</w:t>
      </w:r>
      <w:r>
        <w:t xml:space="preserve"> — a person who causes the death of the deceased (Hanafi: unlawfully, whether intentionally or by mistake; Shia: only intentional) is </w:t>
      </w:r>
      <w:r>
        <w:rPr>
          <w:b/>
          <w:bCs/>
          <w:color w:val="2E7D32"/>
        </w:rPr>
        <w:t xml:space="preserve">excluded</w:t>
      </w:r>
      <w:r>
        <w:t xml:space="preserve"> (Hadith: "the killer shall not inherit"). See also s. 317 PPC — a person who commits </w:t>
      </w:r>
      <w:r>
        <w:rPr>
          <w:b/>
          <w:bCs/>
          <w:color w:val="2E7D32"/>
        </w:rPr>
        <w:t xml:space="preserve">qatl</w:t>
      </w:r>
      <w:r>
        <w:t xml:space="preserve"> is excluded from inheriting from the victim.</w:t>
      </w:r>
    </w:p>
    <w:p>
      <w:pPr>
        <w:pStyle w:val="ListParagraph"/>
        <w:numPr>
          <w:ilvl w:val="0"/>
          <w:numId w:val="4"/>
        </w:numPr>
        <w:spacing w:after="60" w:line="276"/>
      </w:pPr>
      <w:r>
        <w:rPr>
          <w:b/>
          <w:bCs/>
          <w:color w:val="2E7D32"/>
        </w:rPr>
        <w:t xml:space="preserve">Difference of religion</w:t>
      </w:r>
      <w:r>
        <w:t xml:space="preserve"> — a </w:t>
      </w:r>
      <w:r>
        <w:rPr>
          <w:b/>
          <w:bCs/>
          <w:color w:val="2E7D32"/>
        </w:rPr>
        <w:t xml:space="preserve">non-Muslim</w:t>
      </w:r>
      <w:r>
        <w:t xml:space="preserve"> cannot inherit from a Muslim, nor a Muslim from a non-Muslim (classical rule).</w:t>
      </w:r>
    </w:p>
    <w:p>
      <w:pPr>
        <w:pStyle w:val="ListParagraph"/>
        <w:numPr>
          <w:ilvl w:val="0"/>
          <w:numId w:val="4"/>
        </w:numPr>
        <w:spacing w:after="60" w:line="276"/>
      </w:pPr>
      <w:r>
        <w:rPr>
          <w:b/>
          <w:bCs/>
          <w:color w:val="2E7D32"/>
        </w:rPr>
        <w:t xml:space="preserve">Illegitimacy</w:t>
      </w:r>
      <w:r>
        <w:t xml:space="preserve"> — an illegitimate child does </w:t>
      </w:r>
      <w:r>
        <w:rPr>
          <w:b/>
          <w:bCs/>
          <w:color w:val="2E7D32"/>
        </w:rPr>
        <w:t xml:space="preserve">not</w:t>
      </w:r>
      <w:r>
        <w:t xml:space="preserve"> inherit from the </w:t>
      </w:r>
      <w:r>
        <w:rPr>
          <w:b/>
          <w:bCs/>
          <w:color w:val="2E7D32"/>
        </w:rPr>
        <w:t xml:space="preserve">father</w:t>
      </w:r>
      <w:r>
        <w:t xml:space="preserve"> (Hanafi), but inherits from the </w:t>
      </w:r>
      <w:r>
        <w:rPr>
          <w:b/>
          <w:bCs/>
          <w:color w:val="2E7D32"/>
        </w:rPr>
        <w:t xml:space="preserve">mother</w:t>
      </w:r>
      <w:r>
        <w:t xml:space="preserve"> and her relations; under Shia law, he inherits from neither.</w:t>
      </w:r>
    </w:p>
    <w:p>
      <w:pPr>
        <w:pStyle w:val="ListParagraph"/>
        <w:numPr>
          <w:ilvl w:val="0"/>
          <w:numId w:val="4"/>
        </w:numPr>
        <w:spacing w:after="60" w:line="276"/>
      </w:pPr>
      <w:r>
        <w:rPr>
          <w:b/>
          <w:bCs/>
          <w:color w:val="2E7D32"/>
        </w:rPr>
        <w:t xml:space="preserve">Slavery</w:t>
      </w:r>
      <w:r>
        <w:t xml:space="preserve"> — obsolete.</w:t>
      </w:r>
    </w:p>
    <w:p>
      <w:pPr>
        <w:spacing w:after="120" w:line="288"/>
      </w:pPr>
      <w:r>
        <w:rPr>
          <w:b/>
          <w:bCs/>
          <w:color w:val="2E7D32"/>
        </w:rPr>
        <w:t xml:space="preserve">Not impediments:</w:t>
      </w:r>
      <w:r>
        <w:t xml:space="preserve"> unchastity, minority, insanity, physical defects, or being a </w:t>
      </w:r>
      <w:r>
        <w:rPr>
          <w:b/>
          <w:bCs/>
          <w:color w:val="2E7D32"/>
        </w:rPr>
        <w:t xml:space="preserve">widow who remarries</w:t>
      </w:r>
      <w:r>
        <w:t xml:space="preserve"> (her inheritance from her first husband is not affected).</w:t>
      </w:r>
    </w:p>
    <w:p>
      <w:pPr>
        <w:pStyle w:val="Heading2"/>
        <w:keepNext/>
      </w:pPr>
      <w:bookmarkStart w:name="_h7" w:id="108"/>
      <w:r>
        <w:t xml:space="preserve">1.4 The order of priority (Hanafi)</w:t>
      </w:r>
      <w:bookmarkEnd w:id="108"/>
    </w:p>
    <w:p>
      <w:pPr>
        <w:keepNext/>
        <w:spacing w:after="60" w:before="12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4748B"/>
          <w:sz w:val="19"/>
          <w:szCs w:val="19"/>
        </w:rPr>
        <w:t xml:space="preserve">Figure 1 · The order in which the estate of a deceased Muslim is applied</w:t>
      </w:r>
    </w:p>
    <w:p>
      <w:pPr>
        <w:spacing w:after="120" w:line="288"/>
      </w:pPr>
      <w:r>
        <w:rPr>
          <w:b/>
          <w:bCs/>
          <w:color w:val="2E7D32"/>
        </w:rPr>
        <w:t xml:space="preserve">After</w:t>
      </w:r>
      <w:r>
        <w:t xml:space="preserve"> funeral expenses, debts and legacies (Chapter 2), the estate goes to:</w:t>
      </w:r>
    </w:p>
    <w:p>
      <w:pPr>
        <w:pStyle w:val="ListParagraph"/>
        <w:numPr>
          <w:ilvl w:val="0"/>
          <w:numId w:val="5"/>
        </w:numPr>
        <w:spacing w:after="60" w:line="276"/>
      </w:pPr>
      <w:r>
        <w:rPr>
          <w:b/>
          <w:bCs/>
          <w:color w:val="2E7D32"/>
        </w:rPr>
        <w:t xml:space="preserve">Sharers</w:t>
      </w:r>
      <w:r>
        <w:t xml:space="preserve"> (</w:t>
      </w:r>
      <w:r>
        <w:rPr>
          <w:i/>
          <w:iCs/>
        </w:rPr>
        <w:t xml:space="preserve">ashab-ul-furud</w:t>
      </w:r>
      <w:r>
        <w:t xml:space="preserve"> / Quranic heirs) — twelve classes with fixed fractions;</w:t>
      </w:r>
    </w:p>
    <w:p>
      <w:pPr>
        <w:pStyle w:val="ListParagraph"/>
        <w:numPr>
          <w:ilvl w:val="0"/>
          <w:numId w:val="5"/>
        </w:numPr>
        <w:spacing w:after="60" w:line="276"/>
      </w:pPr>
      <w:r>
        <w:rPr>
          <w:b/>
          <w:bCs/>
          <w:color w:val="2E7D32"/>
        </w:rPr>
        <w:t xml:space="preserve">Residuaries</w:t>
      </w:r>
      <w:r>
        <w:t xml:space="preserve"> (</w:t>
      </w:r>
      <w:r>
        <w:rPr>
          <w:i/>
          <w:iCs/>
        </w:rPr>
        <w:t xml:space="preserve">asabat</w:t>
      </w:r>
      <w:r>
        <w:t xml:space="preserve">) — agnates who take what remains;</w:t>
      </w:r>
    </w:p>
    <w:p>
      <w:pPr>
        <w:pStyle w:val="ListParagraph"/>
        <w:numPr>
          <w:ilvl w:val="0"/>
          <w:numId w:val="5"/>
        </w:numPr>
        <w:spacing w:after="60" w:line="276"/>
      </w:pPr>
      <w:r>
        <w:rPr>
          <w:b/>
          <w:bCs/>
          <w:color w:val="2E7D32"/>
        </w:rPr>
        <w:t xml:space="preserve">Distant kindred</w:t>
      </w:r>
      <w:r>
        <w:t xml:space="preserve"> (</w:t>
      </w:r>
      <w:r>
        <w:rPr>
          <w:i/>
          <w:iCs/>
        </w:rPr>
        <w:t xml:space="preserve">zawi-ul-arham</w:t>
      </w:r>
      <w:r>
        <w:t xml:space="preserve">) — cognates who are neither sharers nor residuaries;</w:t>
      </w:r>
    </w:p>
    <w:p>
      <w:pPr>
        <w:pStyle w:val="ListParagraph"/>
        <w:numPr>
          <w:ilvl w:val="0"/>
          <w:numId w:val="5"/>
        </w:numPr>
        <w:spacing w:after="60" w:line="276"/>
      </w:pPr>
      <w:r>
        <w:t xml:space="preserve">(then the </w:t>
      </w:r>
      <w:r>
        <w:rPr>
          <w:b/>
          <w:bCs/>
          <w:color w:val="2E7D32"/>
        </w:rPr>
        <w:t xml:space="preserve">successor by contract</w:t>
      </w:r>
      <w:r>
        <w:t xml:space="preserve">, the </w:t>
      </w:r>
      <w:r>
        <w:rPr>
          <w:b/>
          <w:bCs/>
          <w:color w:val="2E7D32"/>
        </w:rPr>
        <w:t xml:space="preserve">acknowledged kinsman</w:t>
      </w:r>
      <w:r>
        <w:t xml:space="preserve">, the </w:t>
      </w:r>
      <w:r>
        <w:rPr>
          <w:b/>
          <w:bCs/>
          <w:color w:val="2E7D32"/>
        </w:rPr>
        <w:t xml:space="preserve">universal legatee</w:t>
      </w:r>
      <w:r>
        <w:t xml:space="preserve">, and finally the </w:t>
      </w:r>
      <w:r>
        <w:rPr>
          <w:b/>
          <w:bCs/>
          <w:color w:val="2E7D32"/>
        </w:rPr>
        <w:t xml:space="preserve">State</w:t>
      </w:r>
      <w:r>
        <w:t xml:space="preserve"> — </w:t>
      </w:r>
      <w:r>
        <w:rPr>
          <w:i/>
          <w:iCs/>
        </w:rPr>
        <w:t xml:space="preserve">bait-ul-mal</w:t>
      </w:r>
      <w:r>
        <w:t xml:space="preserve">).</w:t>
      </w:r>
    </w:p>
    <w:p>
      <w:pPr>
        <w:spacing w:after="120" w:line="288"/>
      </w:pPr>
      <w:r>
        <w:t xml:space="preserve">If sharers exhaust the estate, residuaries take nothing; if there are no residuaries, the surplus </w:t>
      </w:r>
      <w:r>
        <w:rPr>
          <w:b/>
          <w:bCs/>
          <w:color w:val="2E7D32"/>
        </w:rPr>
        <w:t xml:space="preserve">returns</w:t>
      </w:r>
      <w:r>
        <w:t xml:space="preserve"> (</w:t>
      </w:r>
      <w:r>
        <w:rPr>
          <w:i/>
          <w:iCs/>
        </w:rPr>
        <w:t xml:space="preserve">radd</w:t>
      </w:r>
      <w:r>
        <w:t xml:space="preserve">) to the sharers (except the spouses — Chapter 4).</w:t>
      </w:r>
    </w:p>
    <w:p>
      <w:pPr>
        <w:pStyle w:val="Heading1"/>
        <w:keepNext/>
        <w:pageBreakBefore/>
      </w:pPr>
      <w:bookmarkStart w:name="_h8" w:id="109"/>
      <w:r>
        <w:t xml:space="preserve">Chapter 2 · Administration of the estate and protection of heirs</w:t>
      </w:r>
      <w:bookmarkEnd w:id="109"/>
    </w:p>
    <w:p>
      <w:pPr>
        <w:pStyle w:val="Heading2"/>
        <w:keepNext/>
      </w:pPr>
      <w:bookmarkStart w:name="_h9" w:id="110"/>
      <w:r>
        <w:t xml:space="preserve">2.1 Order of application of the estate</w:t>
      </w:r>
      <w:bookmarkEnd w:id="110"/>
    </w:p>
    <w:p>
      <w:pPr>
        <w:pStyle w:val="ListParagraph"/>
        <w:numPr>
          <w:ilvl w:val="0"/>
          <w:numId w:val="6"/>
        </w:numPr>
        <w:spacing w:after="60" w:line="276"/>
      </w:pPr>
      <w:r>
        <w:rPr>
          <w:b/>
          <w:bCs/>
          <w:color w:val="2E7D32"/>
        </w:rPr>
        <w:t xml:space="preserve">Funeral and burial expenses</w:t>
      </w:r>
      <w:r>
        <w:t xml:space="preserve">, and expenses of the last illness, in a reasonable amount;</w:t>
      </w:r>
    </w:p>
    <w:p>
      <w:pPr>
        <w:pStyle w:val="ListParagraph"/>
        <w:numPr>
          <w:ilvl w:val="0"/>
          <w:numId w:val="6"/>
        </w:numPr>
        <w:spacing w:after="60" w:line="276"/>
      </w:pPr>
      <w:r>
        <w:rPr>
          <w:b/>
          <w:bCs/>
          <w:color w:val="2E7D32"/>
        </w:rPr>
        <w:t xml:space="preserve">Debts</w:t>
      </w:r>
      <w:r>
        <w:t xml:space="preserve"> — including the widow's unpaid </w:t>
      </w:r>
      <w:r>
        <w:rPr>
          <w:b/>
          <w:bCs/>
          <w:color w:val="2E7D32"/>
        </w:rPr>
        <w:t xml:space="preserve">dower</w:t>
      </w:r>
      <w:r>
        <w:t xml:space="preserve"> (an unsecured debt ranking with other debts — Topic 1) — paid from the whole estate before any distribution;</w:t>
      </w:r>
    </w:p>
    <w:p>
      <w:pPr>
        <w:pStyle w:val="ListParagraph"/>
        <w:numPr>
          <w:ilvl w:val="0"/>
          <w:numId w:val="6"/>
        </w:numPr>
        <w:spacing w:after="60" w:line="276"/>
      </w:pPr>
      <w:r>
        <w:rPr>
          <w:b/>
          <w:bCs/>
          <w:color w:val="2E7D32"/>
        </w:rPr>
        <w:t xml:space="preserve">Legacies</w:t>
      </w:r>
      <w:r>
        <w:t xml:space="preserve"> — up to </w:t>
      </w:r>
      <w:r>
        <w:rPr>
          <w:b/>
          <w:bCs/>
          <w:color w:val="2E7D32"/>
        </w:rPr>
        <w:t xml:space="preserve">one-third</w:t>
      </w:r>
      <w:r>
        <w:t xml:space="preserve"> of what remains after debts (Chapter 6);</w:t>
      </w:r>
    </w:p>
    <w:p>
      <w:pPr>
        <w:pStyle w:val="ListParagraph"/>
        <w:numPr>
          <w:ilvl w:val="0"/>
          <w:numId w:val="6"/>
        </w:numPr>
        <w:spacing w:after="60" w:line="276"/>
      </w:pPr>
      <w:r>
        <w:t xml:space="preserve">The </w:t>
      </w:r>
      <w:r>
        <w:rPr>
          <w:b/>
          <w:bCs/>
          <w:color w:val="2E7D32"/>
        </w:rPr>
        <w:t xml:space="preserve">residue</w:t>
      </w:r>
      <w:r>
        <w:t xml:space="preserve"> — to the </w:t>
      </w:r>
      <w:r>
        <w:rPr>
          <w:b/>
          <w:bCs/>
          <w:color w:val="2E7D32"/>
        </w:rPr>
        <w:t xml:space="preserve">heirs</w:t>
      </w:r>
      <w:r>
        <w:t xml:space="preserve"> according to their shares.</w:t>
      </w:r>
    </w:p>
    <w:p>
      <w:pPr>
        <w:spacing w:after="120" w:line="288"/>
      </w:pPr>
      <w:r>
        <w:t xml:space="preserve">The heirs are </w:t>
      </w:r>
      <w:r>
        <w:rPr>
          <w:b/>
          <w:bCs/>
          <w:color w:val="2E7D32"/>
        </w:rPr>
        <w:t xml:space="preserve">not personally liable</w:t>
      </w:r>
      <w:r>
        <w:t xml:space="preserve"> for the deceased's debts beyond the estate. Each heir is liable only to the extent of the property received.</w:t>
      </w:r>
    </w:p>
    <w:p>
      <w:pPr>
        <w:pStyle w:val="Heading2"/>
        <w:keepNext/>
      </w:pPr>
      <w:bookmarkStart w:name="_h10" w:id="111"/>
      <w:r>
        <w:t xml:space="preserve">2.2 Succession certificates and letters of administration</w:t>
      </w:r>
      <w:bookmarkEnd w:id="111"/>
    </w:p>
    <w:p>
      <w:pPr>
        <w:pStyle w:val="ListParagraph"/>
        <w:numPr>
          <w:ilvl w:val="0"/>
          <w:numId w:val="7"/>
        </w:numPr>
        <w:spacing w:after="60" w:line="276"/>
      </w:pPr>
      <w:r>
        <w:rPr>
          <w:b/>
          <w:bCs/>
          <w:color w:val="2E7D32"/>
        </w:rPr>
        <w:t xml:space="preserve">Succession Act 1925, Part X</w:t>
      </w:r>
      <w:r>
        <w:t xml:space="preserve"> — a </w:t>
      </w:r>
      <w:r>
        <w:rPr>
          <w:b/>
          <w:bCs/>
          <w:color w:val="2E7D32"/>
        </w:rPr>
        <w:t xml:space="preserve">succession certificate</w:t>
      </w:r>
      <w:r>
        <w:t xml:space="preserve"> is needed to recover </w:t>
      </w:r>
      <w:r>
        <w:rPr>
          <w:b/>
          <w:bCs/>
          <w:color w:val="2E7D32"/>
        </w:rPr>
        <w:t xml:space="preserve">debts and securities</w:t>
      </w:r>
      <w:r>
        <w:t xml:space="preserve"> due to the deceased; Muslims do not need probate or letters of administration to inherit, since the estate vests in them on death.</w:t>
      </w:r>
    </w:p>
    <w:p>
      <w:pPr>
        <w:pStyle w:val="ListParagraph"/>
        <w:numPr>
          <w:ilvl w:val="0"/>
          <w:numId w:val="7"/>
        </w:numPr>
        <w:spacing w:after="60" w:line="276"/>
      </w:pPr>
      <w:r>
        <w:rPr>
          <w:b/>
          <w:bCs/>
          <w:color w:val="2E7D32"/>
        </w:rPr>
        <w:t xml:space="preserve">Letters of Administration and Succession Certificates Act 2020</w:t>
      </w:r>
      <w:r>
        <w:t xml:space="preserve"> (extends to the </w:t>
      </w:r>
      <w:r>
        <w:rPr>
          <w:b/>
          <w:bCs/>
          <w:color w:val="2E7D32"/>
        </w:rPr>
        <w:t xml:space="preserve">ICT</w:t>
      </w:r>
      <w:r>
        <w:t xml:space="preserve">): </w:t>
      </w:r>
      <w:r>
        <w:rPr>
          <w:b/>
          <w:bCs/>
          <w:color w:val="2E7D32"/>
        </w:rPr>
        <w:t xml:space="preserve">NADRA</w:t>
      </w:r>
      <w:r>
        <w:t xml:space="preserve"> (through a </w:t>
      </w:r>
      <w:r>
        <w:rPr>
          <w:b/>
          <w:bCs/>
          <w:color w:val="2E7D32"/>
        </w:rPr>
        <w:t xml:space="preserve">Succession Facilitation Unit</w:t>
      </w:r>
      <w:r>
        <w:t xml:space="preserve">) may issue letters of administration or succession certificates to legal heirs "in accordance with the Family Registration Certificate" (s. 3). The application is published, and if no objection is received within </w:t>
      </w:r>
      <w:r>
        <w:rPr>
          <w:b/>
          <w:bCs/>
          <w:color w:val="2E7D32"/>
        </w:rPr>
        <w:t xml:space="preserve">14 days</w:t>
      </w:r>
      <w:r>
        <w:t xml:space="preserve">, biometric verification of all heirs follows (s. 6(4)–(5)); the certificate states their shares </w:t>
      </w:r>
      <w:r>
        <w:rPr>
          <w:b/>
          <w:bCs/>
          <w:color w:val="2E7D32"/>
        </w:rPr>
        <w:t xml:space="preserve">under their personal law</w:t>
      </w:r>
      <w:r>
        <w:t xml:space="preserve"> (s. 6(6)) and has the same effect as one under the Succession Act (s. 6(7)). Where there is a </w:t>
      </w:r>
      <w:r>
        <w:rPr>
          <w:b/>
          <w:bCs/>
          <w:color w:val="2E7D32"/>
        </w:rPr>
        <w:t xml:space="preserve">factual controversy</w:t>
      </w:r>
      <w:r>
        <w:t xml:space="preserve"> — objections, disputes about identity, or a </w:t>
      </w:r>
      <w:r>
        <w:rPr>
          <w:b/>
          <w:bCs/>
          <w:color w:val="2E7D32"/>
        </w:rPr>
        <w:t xml:space="preserve">minor</w:t>
      </w:r>
      <w:r>
        <w:t xml:space="preserve"> heir — NADRA declines and the matter goes to the </w:t>
      </w:r>
      <w:r>
        <w:rPr>
          <w:b/>
          <w:bCs/>
          <w:color w:val="2E7D32"/>
        </w:rPr>
        <w:t xml:space="preserve">court</w:t>
      </w:r>
      <w:r>
        <w:t xml:space="preserve"> (s. 5(b)); </w:t>
      </w:r>
      <w:r>
        <w:rPr>
          <w:b/>
          <w:bCs/>
          <w:color w:val="2E7D32"/>
        </w:rPr>
        <w:t xml:space="preserve">no court</w:t>
      </w:r>
      <w:r>
        <w:t xml:space="preserve"> shall exercise jurisdiction until NADRA declines to process the application (s. 10).</w:t>
      </w:r>
    </w:p>
    <w:p>
      <w:pPr>
        <w:pStyle w:val="Heading2"/>
        <w:keepNext/>
      </w:pPr>
      <w:bookmarkStart w:name="_h11" w:id="112"/>
      <w:r>
        <w:t xml:space="preserve">2.3 Protection of women's inheritance</w:t>
      </w:r>
      <w:bookmarkEnd w:id="112"/>
    </w:p>
    <w:p>
      <w:pPr>
        <w:pStyle w:val="ListParagraph"/>
        <w:numPr>
          <w:ilvl w:val="0"/>
          <w:numId w:val="8"/>
        </w:numPr>
        <w:spacing w:after="60" w:line="276"/>
      </w:pPr>
      <w:r>
        <w:rPr>
          <w:b/>
          <w:bCs/>
          <w:color w:val="2E7D32"/>
        </w:rPr>
        <w:t xml:space="preserve">Constitutional guarantee</w:t>
      </w:r>
      <w:r>
        <w:t xml:space="preserve"> — Art. 23 (right to property), Art. 25 (equality).</w:t>
      </w:r>
    </w:p>
    <w:p>
      <w:pPr>
        <w:pStyle w:val="ListParagraph"/>
        <w:numPr>
          <w:ilvl w:val="0"/>
          <w:numId w:val="8"/>
        </w:numPr>
        <w:spacing w:after="60" w:line="276"/>
      </w:pPr>
      <w:r>
        <w:rPr>
          <w:b/>
          <w:bCs/>
          <w:color w:val="2E7D32"/>
        </w:rPr>
        <w:t xml:space="preserve">PPC s. 498A</w:t>
      </w:r>
      <w:r>
        <w:t xml:space="preserve"> (Prevention of Anti-Women Practices, 2011) — whoever by deceitful or illegal means </w:t>
      </w:r>
      <w:r>
        <w:rPr>
          <w:b/>
          <w:bCs/>
          <w:color w:val="2E7D32"/>
        </w:rPr>
        <w:t xml:space="preserve">deprives a woman of her inheritance</w:t>
      </w:r>
      <w:r>
        <w:t xml:space="preserve"> is punishable with imprisonment of </w:t>
      </w:r>
      <w:r>
        <w:rPr>
          <w:b/>
          <w:bCs/>
          <w:color w:val="2E7D32"/>
        </w:rPr>
        <w:t xml:space="preserve">five to ten years</w:t>
      </w:r>
      <w:r>
        <w:t xml:space="preserve"> or a fine of one million rupees, or both.</w:t>
      </w:r>
    </w:p>
    <w:p>
      <w:pPr>
        <w:pStyle w:val="ListParagraph"/>
        <w:numPr>
          <w:ilvl w:val="0"/>
          <w:numId w:val="8"/>
        </w:numPr>
        <w:spacing w:after="60" w:line="276"/>
      </w:pPr>
      <w:r>
        <w:rPr>
          <w:b/>
          <w:bCs/>
          <w:color w:val="2E7D32"/>
        </w:rPr>
        <w:t xml:space="preserve">Enforcement of Women's Property Rights Act 2020</w:t>
      </w:r>
      <w:r>
        <w:t xml:space="preserve"> (ICT) — a woman deprived of possession or ownership of property may complain to the </w:t>
      </w:r>
      <w:r>
        <w:rPr>
          <w:b/>
          <w:bCs/>
          <w:color w:val="2E7D32"/>
        </w:rPr>
        <w:t xml:space="preserve">Ombudsperson</w:t>
      </w:r>
      <w:r>
        <w:t xml:space="preserve">, who may direct the Deputy Commissioner to restore possession, or refer the matter to the court.</w:t>
      </w:r>
    </w:p>
    <w:p>
      <w:pPr>
        <w:pStyle w:val="ListParagraph"/>
        <w:numPr>
          <w:ilvl w:val="0"/>
          <w:numId w:val="8"/>
        </w:numPr>
        <w:spacing w:after="60" w:line="276"/>
      </w:pPr>
      <w:r>
        <w:rPr>
          <w:b/>
          <w:bCs/>
          <w:color w:val="2E7D32"/>
        </w:rPr>
        <w:t xml:space="preserve">Courts' scrutiny</w:t>
      </w:r>
      <w:r>
        <w:t xml:space="preserve"> — transactions by which a woman is said to have </w:t>
      </w:r>
      <w:r>
        <w:rPr>
          <w:b/>
          <w:bCs/>
          <w:color w:val="2E7D32"/>
        </w:rPr>
        <w:t xml:space="preserve">relinquished</w:t>
      </w:r>
      <w:r>
        <w:t xml:space="preserve"> or </w:t>
      </w:r>
      <w:r>
        <w:rPr>
          <w:b/>
          <w:bCs/>
          <w:color w:val="2E7D32"/>
        </w:rPr>
        <w:t xml:space="preserve">gifted</w:t>
      </w:r>
      <w:r>
        <w:t xml:space="preserve"> her inheritance to male relatives are scrutinised strictly; the beneficiary must prove that she acted freely, with knowledge and independent advice (</w:t>
      </w:r>
      <w:r>
        <w:rPr>
          <w:i/>
          <w:iCs/>
        </w:rPr>
        <w:t xml:space="preserve">Ghulam Ali v. Mst. Ghulam Sarwar Naqvi</w:t>
      </w:r>
      <w:r>
        <w:t xml:space="preserve">, PLD 1990 SC 1 — the Supreme Court condemned the practice of depriving women of their inheritance and held such relinquishments ineffective). A </w:t>
      </w:r>
      <w:r>
        <w:rPr>
          <w:b/>
          <w:bCs/>
          <w:color w:val="2E7D32"/>
        </w:rPr>
        <w:t xml:space="preserve">mutation</w:t>
      </w:r>
      <w:r>
        <w:t xml:space="preserve"> of inheritance is not a document of title; heirs omitted from it may claim their shares at any time, as limitation does not run against a co-sharer in possession through others.</w:t>
      </w:r>
    </w:p>
    <w:p>
      <w:pPr>
        <w:pStyle w:val="Heading1"/>
        <w:keepNext/>
        <w:pageBreakBefore/>
      </w:pPr>
      <w:bookmarkStart w:name="_h12" w:id="113"/>
      <w:r>
        <w:t xml:space="preserve">Chapter 3 · The Hanafi scheme — sharers and residuaries</w:t>
      </w:r>
      <w:bookmarkEnd w:id="113"/>
    </w:p>
    <w:p>
      <w:pPr>
        <w:pStyle w:val="Heading2"/>
        <w:keepNext/>
      </w:pPr>
      <w:bookmarkStart w:name="_h13" w:id="114"/>
      <w:r>
        <w:t xml:space="preserve">3.1 The twelve sharers and their shares</w:t>
      </w:r>
      <w:bookmarkEnd w:id="11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166"/>
        <w:gridCol w:w="2707"/>
        <w:gridCol w:w="2529"/>
      </w:tblGrid>
      <w:tr>
        <w:trPr>
          <w:cantSplit/>
          <w:tblHeader/>
        </w:trPr>
        <w:tc>
          <w:tcPr>
            <w:tcW w:type="dxa" w:w="16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Sharer</w:t>
            </w:r>
          </w:p>
        </w:tc>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Normal share</w:t>
            </w:r>
          </w:p>
        </w:tc>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Share when …</w:t>
            </w:r>
          </w:p>
        </w:tc>
        <w:tc>
          <w:tcPr>
            <w:tcW w:type="dxa" w:w="25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Excluded by</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Husband</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1/2</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1/4</w:t>
            </w:r>
            <w:r>
              <w:rPr>
                <w:sz w:val="20"/>
                <w:szCs w:val="20"/>
              </w:rPr>
              <w:t xml:space="preserve"> with a child or child of a son h.l.s.</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Never excluded</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Wife</w:t>
            </w:r>
            <w:r>
              <w:rPr>
                <w:sz w:val="20"/>
                <w:szCs w:val="20"/>
              </w:rPr>
              <w:t xml:space="preserve"> (one or more, sharing equally)</w:t>
            </w:r>
          </w:p>
        </w:tc>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1/4</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1/8</w:t>
            </w:r>
            <w:r>
              <w:rPr>
                <w:sz w:val="20"/>
                <w:szCs w:val="20"/>
              </w:rPr>
              <w:t xml:space="preserve"> with a child or child of a son h.l.s.</w:t>
            </w:r>
          </w:p>
        </w:tc>
        <w:tc>
          <w:tcPr>
            <w:tcW w:type="dxa" w:w="25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Never excluded</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Father</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 with a child or son's child h.l.s.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 only </w:t>
            </w:r>
            <w:r>
              <w:rPr>
                <w:b/>
                <w:bCs/>
                <w:color w:val="2E7D32"/>
                <w:sz w:val="20"/>
                <w:szCs w:val="20"/>
              </w:rPr>
              <w:t xml:space="preserve">daughters / son's daughters</w:t>
            </w:r>
            <w:r>
              <w:rPr>
                <w:sz w:val="20"/>
                <w:szCs w:val="20"/>
              </w:rPr>
              <w:t xml:space="preserve">: 1/6 </w:t>
            </w:r>
            <w:r>
              <w:rPr>
                <w:b/>
                <w:bCs/>
                <w:color w:val="2E7D32"/>
                <w:sz w:val="20"/>
                <w:szCs w:val="20"/>
              </w:rPr>
              <w:t xml:space="preserve">plus</w:t>
            </w:r>
            <w:r>
              <w:rPr>
                <w:sz w:val="20"/>
                <w:szCs w:val="20"/>
              </w:rPr>
              <w:t xml:space="preserve"> residue; with no child: </w:t>
            </w:r>
            <w:r>
              <w:rPr>
                <w:b/>
                <w:bCs/>
                <w:color w:val="2E7D32"/>
                <w:sz w:val="20"/>
                <w:szCs w:val="20"/>
              </w:rPr>
              <w:t xml:space="preserve">residuary</w:t>
            </w:r>
            <w:r>
              <w:rPr>
                <w:sz w:val="20"/>
                <w:szCs w:val="20"/>
              </w:rPr>
              <w:t xml:space="preserve"> only</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Never excluded</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True grandfather</w:t>
            </w:r>
            <w:r>
              <w:rPr>
                <w:sz w:val="20"/>
                <w:szCs w:val="20"/>
              </w:rPr>
              <w:t xml:space="preserve"> (father's father h.h.s.)</w:t>
            </w:r>
          </w:p>
        </w:tc>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the father, when the father is absent</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25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Father; nearer true grandfather</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Mother</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1/3</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1/6</w:t>
            </w:r>
            <w:r>
              <w:rPr>
                <w:sz w:val="20"/>
                <w:szCs w:val="20"/>
              </w:rPr>
              <w:t xml:space="preserve"> with a child or son's child h.l.s., </w:t>
            </w:r>
            <w:r>
              <w:rPr>
                <w:b/>
                <w:bCs/>
                <w:color w:val="2E7D32"/>
                <w:sz w:val="20"/>
                <w:szCs w:val="20"/>
              </w:rPr>
              <w:t xml:space="preserve">or two or more brothers / sisters</w:t>
            </w:r>
            <w:r>
              <w:rPr>
                <w:sz w:val="20"/>
                <w:szCs w:val="20"/>
              </w:rPr>
              <w:t xml:space="preserve">; </w:t>
            </w:r>
            <w:r>
              <w:rPr>
                <w:b/>
                <w:bCs/>
                <w:color w:val="2E7D32"/>
                <w:sz w:val="20"/>
                <w:szCs w:val="20"/>
              </w:rPr>
              <w:t xml:space="preserve">1/3 of the remainder</w:t>
            </w:r>
            <w:r>
              <w:rPr>
                <w:sz w:val="20"/>
                <w:szCs w:val="20"/>
              </w:rPr>
              <w:t xml:space="preserve"> in the </w:t>
            </w:r>
            <w:r>
              <w:rPr>
                <w:i/>
                <w:iCs/>
                <w:sz w:val="20"/>
                <w:szCs w:val="20"/>
              </w:rPr>
              <w:t xml:space="preserve">Umariyyatan</w:t>
            </w:r>
            <w:r>
              <w:rPr>
                <w:sz w:val="20"/>
                <w:szCs w:val="20"/>
              </w:rPr>
              <w:t xml:space="preserve"> cases</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Never excluded</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True grandmother</w:t>
            </w:r>
            <w:r>
              <w:rPr>
                <w:sz w:val="20"/>
                <w:szCs w:val="20"/>
              </w:rPr>
              <w:t xml:space="preserve"> (one or more, sharing)</w:t>
            </w:r>
          </w:p>
        </w:tc>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25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Mother; father excludes paternal grandmothers; nearer grandmother excludes remoter</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Daughter</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1/2 (one)</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2/3</w:t>
            </w:r>
            <w:r>
              <w:rPr>
                <w:sz w:val="20"/>
                <w:szCs w:val="20"/>
              </w:rPr>
              <w:t xml:space="preserve"> (two or more); with a </w:t>
            </w:r>
            <w:r>
              <w:rPr>
                <w:b/>
                <w:bCs/>
                <w:color w:val="2E7D32"/>
                <w:sz w:val="20"/>
                <w:szCs w:val="20"/>
              </w:rPr>
              <w:t xml:space="preserve">son</w:t>
            </w:r>
            <w:r>
              <w:rPr>
                <w:sz w:val="20"/>
                <w:szCs w:val="20"/>
              </w:rPr>
              <w:t xml:space="preserve"> — </w:t>
            </w:r>
            <w:r>
              <w:rPr>
                <w:b/>
                <w:bCs/>
                <w:color w:val="2E7D32"/>
                <w:sz w:val="20"/>
                <w:szCs w:val="20"/>
              </w:rPr>
              <w:t xml:space="preserve">residuary</w:t>
            </w:r>
            <w:r>
              <w:rPr>
                <w:sz w:val="20"/>
                <w:szCs w:val="20"/>
              </w:rPr>
              <w:t xml:space="preserve"> (son takes double)</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Never excluded</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Son's daughter</w:t>
            </w:r>
            <w:r>
              <w:rPr>
                <w:sz w:val="20"/>
                <w:szCs w:val="20"/>
              </w:rPr>
              <w:t xml:space="preserve"> h.l.s.</w:t>
            </w:r>
          </w:p>
        </w:tc>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1/2 (one)</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2/3 (two or more); </w:t>
            </w:r>
            <w:r>
              <w:rPr>
                <w:b/>
                <w:bCs/>
                <w:color w:val="2E7D32"/>
                <w:sz w:val="20"/>
                <w:szCs w:val="20"/>
              </w:rPr>
              <w:t xml:space="preserve">1/6</w:t>
            </w:r>
            <w:r>
              <w:rPr>
                <w:sz w:val="20"/>
                <w:szCs w:val="20"/>
              </w:rPr>
              <w:t xml:space="preserve"> with </w:t>
            </w:r>
            <w:r>
              <w:rPr>
                <w:b/>
                <w:bCs/>
                <w:color w:val="2E7D32"/>
                <w:sz w:val="20"/>
                <w:szCs w:val="20"/>
              </w:rPr>
              <w:t xml:space="preserve">one daughter</w:t>
            </w:r>
            <w:r>
              <w:rPr>
                <w:sz w:val="20"/>
                <w:szCs w:val="20"/>
              </w:rPr>
              <w:t xml:space="preserve"> (to complete 2/3); residuary with an equal son's son</w:t>
            </w:r>
          </w:p>
        </w:tc>
        <w:tc>
          <w:tcPr>
            <w:tcW w:type="dxa" w:w="25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Son; </w:t>
            </w:r>
            <w:r>
              <w:rPr>
                <w:b/>
                <w:bCs/>
                <w:color w:val="2E7D32"/>
                <w:sz w:val="20"/>
                <w:szCs w:val="20"/>
              </w:rPr>
              <w:t xml:space="preserve">two or more daughters</w:t>
            </w:r>
            <w:r>
              <w:rPr>
                <w:sz w:val="20"/>
                <w:szCs w:val="20"/>
              </w:rPr>
              <w:t xml:space="preserve"> (unless an equal or lower son's son makes her residuary); higher son's son</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Full sister</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1/2 (one)</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2/3 (two or more); residuary with a </w:t>
            </w:r>
            <w:r>
              <w:rPr>
                <w:b/>
                <w:bCs/>
                <w:color w:val="2E7D32"/>
                <w:sz w:val="20"/>
                <w:szCs w:val="20"/>
              </w:rPr>
              <w:t xml:space="preserve">full brother</w:t>
            </w:r>
            <w:r>
              <w:rPr>
                <w:sz w:val="20"/>
                <w:szCs w:val="20"/>
              </w:rPr>
              <w:t xml:space="preserve">; residuary </w:t>
            </w:r>
            <w:r>
              <w:rPr>
                <w:b/>
                <w:bCs/>
                <w:color w:val="2E7D32"/>
                <w:sz w:val="20"/>
                <w:szCs w:val="20"/>
              </w:rPr>
              <w:t xml:space="preserve">with daughters / son's daughters</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Son, son's son h.l.s., father, true grandfather (Abu Hanifa)</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Consanguine sister</w:t>
            </w:r>
          </w:p>
        </w:tc>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1/2 (one)</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2/3 (two or more); </w:t>
            </w:r>
            <w:r>
              <w:rPr>
                <w:b/>
                <w:bCs/>
                <w:color w:val="2E7D32"/>
                <w:sz w:val="20"/>
                <w:szCs w:val="20"/>
              </w:rPr>
              <w:t xml:space="preserve">1/6</w:t>
            </w:r>
            <w:r>
              <w:rPr>
                <w:sz w:val="20"/>
                <w:szCs w:val="20"/>
              </w:rPr>
              <w:t xml:space="preserve"> with </w:t>
            </w:r>
            <w:r>
              <w:rPr>
                <w:b/>
                <w:bCs/>
                <w:color w:val="2E7D32"/>
                <w:sz w:val="20"/>
                <w:szCs w:val="20"/>
              </w:rPr>
              <w:t xml:space="preserve">one full sister</w:t>
            </w:r>
            <w:r>
              <w:rPr>
                <w:sz w:val="20"/>
                <w:szCs w:val="20"/>
              </w:rPr>
              <w:t xml:space="preserve">; residuary with a consanguine brother or with daughters</w:t>
            </w:r>
          </w:p>
        </w:tc>
        <w:tc>
          <w:tcPr>
            <w:tcW w:type="dxa" w:w="25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full sister, plus full brother, </w:t>
            </w:r>
            <w:r>
              <w:rPr>
                <w:b/>
                <w:bCs/>
                <w:color w:val="2E7D32"/>
                <w:sz w:val="20"/>
                <w:szCs w:val="20"/>
              </w:rPr>
              <w:t xml:space="preserve">two full sisters</w:t>
            </w:r>
            <w:r>
              <w:rPr>
                <w:sz w:val="20"/>
                <w:szCs w:val="20"/>
              </w:rPr>
              <w:t xml:space="preserve"> (unless consanguine brother), full sister who is residuary</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Uterine brother</w:t>
            </w:r>
          </w:p>
        </w:tc>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1/6 (one)</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1/3</w:t>
            </w:r>
            <w:r>
              <w:rPr>
                <w:sz w:val="20"/>
                <w:szCs w:val="20"/>
              </w:rPr>
              <w:t xml:space="preserve"> (two or more uterine brothers / sisters, shared </w:t>
            </w:r>
            <w:r>
              <w:rPr>
                <w:b/>
                <w:bCs/>
                <w:color w:val="2E7D32"/>
                <w:sz w:val="20"/>
                <w:szCs w:val="20"/>
              </w:rPr>
              <w:t xml:space="preserve">equally</w:t>
            </w:r>
            <w:r>
              <w:rPr>
                <w:sz w:val="20"/>
                <w:szCs w:val="20"/>
              </w:rPr>
              <w:t xml:space="preserve">, males and females alike)</w:t>
            </w:r>
          </w:p>
        </w:tc>
        <w:tc>
          <w:tcPr>
            <w:tcW w:type="dxa" w:w="25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Child, son's child h.l.s., father, true grandfather</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Uterine sister</w:t>
            </w:r>
          </w:p>
        </w:tc>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1/6 (one)</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1/3 (two or more, with uterine brothers, equally)</w:t>
            </w:r>
          </w:p>
        </w:tc>
        <w:tc>
          <w:tcPr>
            <w:tcW w:type="dxa" w:w="25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As uterine brother</w:t>
            </w:r>
          </w:p>
        </w:tc>
      </w:tr>
    </w:tbl>
    <w:p>
      <w:pPr>
        <w:spacing w:after="100"/>
      </w:pPr>
    </w:p>
    <w:p>
      <w:pPr>
        <w:spacing w:after="120" w:line="288"/>
      </w:pPr>
      <w:r>
        <w:t xml:space="preserve">("h.l.s." = how low soever; "h.h.s." = how high soever.)</w:t>
      </w:r>
    </w:p>
    <w:p>
      <w:pPr>
        <w:keepNext/>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4748B"/>
          <w:sz w:val="19"/>
          <w:szCs w:val="19"/>
        </w:rPr>
        <w:t xml:space="preserve">Figure 2 · The twelve sharers (Hanafi) — memory map</w:t>
      </w:r>
    </w:p>
    <w:p>
      <w:pPr>
        <w:pStyle w:val="Heading2"/>
        <w:keepNext/>
      </w:pPr>
      <w:bookmarkStart w:name="_h14" w:id="115"/>
      <w:r>
        <w:t xml:space="preserve">3.2 Residuaries (asabat)</w:t>
      </w:r>
      <w:bookmarkEnd w:id="115"/>
    </w:p>
    <w:p>
      <w:pPr>
        <w:spacing w:after="120" w:line="288"/>
      </w:pPr>
      <w:r>
        <w:t xml:space="preserve">Residuaries are </w:t>
      </w:r>
      <w:r>
        <w:rPr>
          <w:b/>
          <w:bCs/>
          <w:color w:val="2E7D32"/>
        </w:rPr>
        <w:t xml:space="preserve">agnates</w:t>
      </w:r>
      <w:r>
        <w:t xml:space="preserve"> (related through males) who take the </w:t>
      </w:r>
      <w:r>
        <w:rPr>
          <w:b/>
          <w:bCs/>
          <w:color w:val="2E7D32"/>
        </w:rPr>
        <w:t xml:space="preserve">residue</w:t>
      </w:r>
      <w:r>
        <w:t xml:space="preserve"> after the sharers, in this order:</w:t>
      </w:r>
    </w:p>
    <w:p>
      <w:pPr>
        <w:pStyle w:val="ListParagraph"/>
        <w:numPr>
          <w:ilvl w:val="0"/>
          <w:numId w:val="9"/>
        </w:numPr>
        <w:spacing w:after="60" w:line="276"/>
      </w:pPr>
      <w:r>
        <w:rPr>
          <w:b/>
          <w:bCs/>
          <w:color w:val="2E7D32"/>
        </w:rPr>
        <w:t xml:space="preserve">Descendants</w:t>
      </w:r>
      <w:r>
        <w:t xml:space="preserve"> — son; son's son h.l.s.</w:t>
      </w:r>
    </w:p>
    <w:p>
      <w:pPr>
        <w:pStyle w:val="ListParagraph"/>
        <w:numPr>
          <w:ilvl w:val="0"/>
          <w:numId w:val="9"/>
        </w:numPr>
        <w:spacing w:after="60" w:line="276"/>
      </w:pPr>
      <w:r>
        <w:rPr>
          <w:b/>
          <w:bCs/>
          <w:color w:val="2E7D32"/>
        </w:rPr>
        <w:t xml:space="preserve">Ascendants</w:t>
      </w:r>
      <w:r>
        <w:t xml:space="preserve"> — father; true grandfather h.h.s.</w:t>
      </w:r>
    </w:p>
    <w:p>
      <w:pPr>
        <w:pStyle w:val="ListParagraph"/>
        <w:numPr>
          <w:ilvl w:val="0"/>
          <w:numId w:val="9"/>
        </w:numPr>
        <w:spacing w:after="60" w:line="276"/>
      </w:pPr>
      <w:r>
        <w:rPr>
          <w:b/>
          <w:bCs/>
          <w:color w:val="2E7D32"/>
        </w:rPr>
        <w:t xml:space="preserve">Descendants of the father</w:t>
      </w:r>
      <w:r>
        <w:t xml:space="preserve"> — full brother; full sister (with full brother); consanguine brother; consanguine sister (with consanguine brother); full brother's son; consanguine brother's son; their sons h.l.s.</w:t>
      </w:r>
    </w:p>
    <w:p>
      <w:pPr>
        <w:pStyle w:val="ListParagraph"/>
        <w:numPr>
          <w:ilvl w:val="0"/>
          <w:numId w:val="9"/>
        </w:numPr>
        <w:spacing w:after="60" w:line="276"/>
      </w:pPr>
      <w:r>
        <w:rPr>
          <w:b/>
          <w:bCs/>
          <w:color w:val="2E7D32"/>
        </w:rPr>
        <w:t xml:space="preserve">Descendants of the true grandfather</w:t>
      </w:r>
      <w:r>
        <w:t xml:space="preserve"> — full paternal uncle; consanguine paternal uncle; their sons h.l.s.</w:t>
      </w:r>
    </w:p>
    <w:p>
      <w:pPr>
        <w:pStyle w:val="ListParagraph"/>
        <w:numPr>
          <w:ilvl w:val="0"/>
          <w:numId w:val="9"/>
        </w:numPr>
        <w:spacing w:after="60" w:line="276"/>
      </w:pPr>
      <w:r>
        <w:t xml:space="preserve">More remote agnates in the same manner.</w:t>
      </w:r>
    </w:p>
    <w:p>
      <w:pPr>
        <w:spacing w:after="120" w:line="288"/>
      </w:pPr>
      <w:r>
        <w:rPr>
          <w:b/>
          <w:bCs/>
          <w:color w:val="2E7D32"/>
        </w:rPr>
        <w:t xml:space="preserve">Three kinds of residuaries:</w:t>
      </w:r>
    </w:p>
    <w:p>
      <w:pPr>
        <w:pStyle w:val="ListParagraph"/>
        <w:numPr>
          <w:ilvl w:val="0"/>
          <w:numId w:val="10"/>
        </w:numPr>
        <w:spacing w:after="60" w:line="276"/>
      </w:pPr>
      <w:r>
        <w:rPr>
          <w:b/>
          <w:bCs/>
          <w:color w:val="2E7D32"/>
        </w:rPr>
        <w:t xml:space="preserve">In their own right</w:t>
      </w:r>
      <w:r>
        <w:t xml:space="preserve"> (</w:t>
      </w:r>
      <w:r>
        <w:rPr>
          <w:i/>
          <w:iCs/>
        </w:rPr>
        <w:t xml:space="preserve">asaba bi-nafsihi</w:t>
      </w:r>
      <w:r>
        <w:t xml:space="preserve">) — male agnates (son, father, brother, uncle).</w:t>
      </w:r>
    </w:p>
    <w:p>
      <w:pPr>
        <w:pStyle w:val="ListParagraph"/>
        <w:numPr>
          <w:ilvl w:val="0"/>
          <w:numId w:val="10"/>
        </w:numPr>
        <w:spacing w:after="60" w:line="276"/>
      </w:pPr>
      <w:r>
        <w:rPr>
          <w:b/>
          <w:bCs/>
          <w:color w:val="2E7D32"/>
        </w:rPr>
        <w:t xml:space="preserve">In another's right</w:t>
      </w:r>
      <w:r>
        <w:t xml:space="preserve"> (</w:t>
      </w:r>
      <w:r>
        <w:rPr>
          <w:i/>
          <w:iCs/>
        </w:rPr>
        <w:t xml:space="preserve">asaba bil-ghair</w:t>
      </w:r>
      <w:r>
        <w:t xml:space="preserve">) — </w:t>
      </w:r>
      <w:r>
        <w:rPr>
          <w:b/>
          <w:bCs/>
          <w:color w:val="2E7D32"/>
        </w:rPr>
        <w:t xml:space="preserve">females</w:t>
      </w:r>
      <w:r>
        <w:t xml:space="preserve"> who become residuaries </w:t>
      </w:r>
      <w:r>
        <w:rPr>
          <w:b/>
          <w:bCs/>
          <w:color w:val="2E7D32"/>
        </w:rPr>
        <w:t xml:space="preserve">with a male of the same degree</w:t>
      </w:r>
      <w:r>
        <w:t xml:space="preserve">: daughter with son; son's daughter with son's son; full sister with full brother; consanguine sister with consanguine brother — the male takes </w:t>
      </w:r>
      <w:r>
        <w:rPr>
          <w:b/>
          <w:bCs/>
          <w:color w:val="2E7D32"/>
        </w:rPr>
        <w:t xml:space="preserve">double</w:t>
      </w:r>
      <w:r>
        <w:t xml:space="preserve"> (</w:t>
      </w:r>
      <w:r>
        <w:rPr>
          <w:i/>
          <w:iCs/>
        </w:rPr>
        <w:t xml:space="preserve">lil-dhakari mithlu hazzi al-unthayayn</w:t>
      </w:r>
      <w:r>
        <w:t xml:space="preserve">).</w:t>
      </w:r>
    </w:p>
    <w:p>
      <w:pPr>
        <w:pStyle w:val="ListParagraph"/>
        <w:numPr>
          <w:ilvl w:val="0"/>
          <w:numId w:val="10"/>
        </w:numPr>
        <w:spacing w:after="60" w:line="276"/>
      </w:pPr>
      <w:r>
        <w:rPr>
          <w:b/>
          <w:bCs/>
          <w:color w:val="2E7D32"/>
        </w:rPr>
        <w:t xml:space="preserve">With another</w:t>
      </w:r>
      <w:r>
        <w:t xml:space="preserve"> (</w:t>
      </w:r>
      <w:r>
        <w:rPr>
          <w:i/>
          <w:iCs/>
        </w:rPr>
        <w:t xml:space="preserve">asaba ma'al-ghair</w:t>
      </w:r>
      <w:r>
        <w:t xml:space="preserve">) — </w:t>
      </w:r>
      <w:r>
        <w:rPr>
          <w:b/>
          <w:bCs/>
          <w:color w:val="2E7D32"/>
        </w:rPr>
        <w:t xml:space="preserve">full or consanguine sisters</w:t>
      </w:r>
      <w:r>
        <w:t xml:space="preserve"> who become residuaries </w:t>
      </w:r>
      <w:r>
        <w:rPr>
          <w:b/>
          <w:bCs/>
          <w:color w:val="2E7D32"/>
        </w:rPr>
        <w:t xml:space="preserve">together with daughters</w:t>
      </w:r>
      <w:r>
        <w:t xml:space="preserve"> or son's daughters.</w:t>
      </w:r>
    </w:p>
    <w:p>
      <w:pPr>
        <w:spacing w:after="120" w:line="288"/>
      </w:pPr>
      <w:r>
        <w:rPr>
          <w:b/>
          <w:bCs/>
          <w:color w:val="2E7D32"/>
        </w:rPr>
        <w:t xml:space="preserve">Rules among residuaries:</w:t>
      </w:r>
      <w:r>
        <w:t xml:space="preserve"> (i) the </w:t>
      </w:r>
      <w:r>
        <w:rPr>
          <w:b/>
          <w:bCs/>
          <w:color w:val="2E7D32"/>
        </w:rPr>
        <w:t xml:space="preserve">nearer class</w:t>
      </w:r>
      <w:r>
        <w:t xml:space="preserve"> excludes the remoter; (ii) within a class, the </w:t>
      </w:r>
      <w:r>
        <w:rPr>
          <w:b/>
          <w:bCs/>
          <w:color w:val="2E7D32"/>
        </w:rPr>
        <w:t xml:space="preserve">nearer degree</w:t>
      </w:r>
      <w:r>
        <w:t xml:space="preserve"> excludes the remoter; (iii) among those of the same degree, the </w:t>
      </w:r>
      <w:r>
        <w:rPr>
          <w:b/>
          <w:bCs/>
          <w:color w:val="2E7D32"/>
        </w:rPr>
        <w:t xml:space="preserve">full blood</w:t>
      </w:r>
      <w:r>
        <w:t xml:space="preserve"> excludes the </w:t>
      </w:r>
      <w:r>
        <w:rPr>
          <w:b/>
          <w:bCs/>
          <w:color w:val="2E7D32"/>
        </w:rPr>
        <w:t xml:space="preserve">half blood</w:t>
      </w:r>
      <w:r>
        <w:t xml:space="preserve"> (full brother excludes consanguine brother).</w:t>
      </w:r>
    </w:p>
    <w:p>
      <w:pPr>
        <w:pStyle w:val="Heading2"/>
        <w:keepNext/>
      </w:pPr>
      <w:bookmarkStart w:name="_h15" w:id="116"/>
      <w:r>
        <w:t xml:space="preserve">3.3 Distant kindred (zawi-ul-arham)</w:t>
      </w:r>
      <w:bookmarkEnd w:id="116"/>
    </w:p>
    <w:p>
      <w:pPr>
        <w:spacing w:after="120" w:line="288"/>
      </w:pPr>
      <w:r>
        <w:t xml:space="preserve">Relations who are neither sharers nor residuaries — e.g., </w:t>
      </w:r>
      <w:r>
        <w:rPr>
          <w:b/>
          <w:bCs/>
          <w:color w:val="2E7D32"/>
        </w:rPr>
        <w:t xml:space="preserve">daughter's children</w:t>
      </w:r>
      <w:r>
        <w:t xml:space="preserve">, </w:t>
      </w:r>
      <w:r>
        <w:rPr>
          <w:b/>
          <w:bCs/>
          <w:color w:val="2E7D32"/>
        </w:rPr>
        <w:t xml:space="preserve">sister's children</w:t>
      </w:r>
      <w:r>
        <w:t xml:space="preserve">, </w:t>
      </w:r>
      <w:r>
        <w:rPr>
          <w:b/>
          <w:bCs/>
          <w:color w:val="2E7D32"/>
        </w:rPr>
        <w:t xml:space="preserve">maternal uncles and aunts</w:t>
      </w:r>
      <w:r>
        <w:t xml:space="preserve">, </w:t>
      </w:r>
      <w:r>
        <w:rPr>
          <w:b/>
          <w:bCs/>
          <w:color w:val="2E7D32"/>
        </w:rPr>
        <w:t xml:space="preserve">paternal aunts</w:t>
      </w:r>
      <w:r>
        <w:t xml:space="preserve">, maternal grandfather. They inherit only if there are </w:t>
      </w:r>
      <w:r>
        <w:rPr>
          <w:b/>
          <w:bCs/>
          <w:color w:val="2E7D32"/>
        </w:rPr>
        <w:t xml:space="preserve">no sharers</w:t>
      </w:r>
      <w:r>
        <w:t xml:space="preserve"> (other than a spouse) and </w:t>
      </w:r>
      <w:r>
        <w:rPr>
          <w:b/>
          <w:bCs/>
          <w:color w:val="2E7D32"/>
        </w:rPr>
        <w:t xml:space="preserve">no residuaries</w:t>
      </w:r>
      <w:r>
        <w:t xml:space="preserve">. (A spouse takes his or her share and the rest goes to the distant kindred.)</w:t>
      </w:r>
    </w:p>
    <w:p>
      <w:pPr>
        <w:pStyle w:val="Heading2"/>
        <w:keepNext/>
      </w:pPr>
      <w:bookmarkStart w:name="_h16" w:id="117"/>
      <w:r>
        <w:t xml:space="preserve">3.4 Exclusion (hajb)</w:t>
      </w:r>
      <w:bookmarkEnd w:id="117"/>
    </w:p>
    <w:p>
      <w:pPr>
        <w:pStyle w:val="ListParagraph"/>
        <w:numPr>
          <w:ilvl w:val="0"/>
          <w:numId w:val="11"/>
        </w:numPr>
        <w:spacing w:after="60" w:line="276"/>
      </w:pPr>
      <w:r>
        <w:rPr>
          <w:b/>
          <w:bCs/>
          <w:color w:val="2E7D32"/>
        </w:rPr>
        <w:t xml:space="preserve">Total exclusion</w:t>
      </w:r>
      <w:r>
        <w:t xml:space="preserve"> (</w:t>
      </w:r>
      <w:r>
        <w:rPr>
          <w:i/>
          <w:iCs/>
        </w:rPr>
        <w:t xml:space="preserve">hajb-ul-hirman</w:t>
      </w:r>
      <w:r>
        <w:t xml:space="preserve">) — the heir is shut out entirely (e.g., a son's son by a son). </w:t>
      </w:r>
      <w:r>
        <w:rPr>
          <w:b/>
          <w:bCs/>
          <w:color w:val="2E7D32"/>
        </w:rPr>
        <w:t xml:space="preserve">Six heirs are never totally excluded</w:t>
      </w:r>
      <w:r>
        <w:t xml:space="preserve">: </w:t>
      </w:r>
      <w:r>
        <w:rPr>
          <w:b/>
          <w:bCs/>
          <w:color w:val="2E7D32"/>
        </w:rPr>
        <w:t xml:space="preserve">husband, wife, father, mother, son and daughter</w:t>
      </w:r>
      <w:r>
        <w:t xml:space="preserve">.</w:t>
      </w:r>
    </w:p>
    <w:p>
      <w:pPr>
        <w:pStyle w:val="ListParagraph"/>
        <w:numPr>
          <w:ilvl w:val="0"/>
          <w:numId w:val="11"/>
        </w:numPr>
        <w:spacing w:after="60" w:line="276"/>
      </w:pPr>
      <w:r>
        <w:rPr>
          <w:b/>
          <w:bCs/>
          <w:color w:val="2E7D32"/>
        </w:rPr>
        <w:t xml:space="preserve">Partial exclusion</w:t>
      </w:r>
      <w:r>
        <w:t xml:space="preserve"> (</w:t>
      </w:r>
      <w:r>
        <w:rPr>
          <w:i/>
          <w:iCs/>
        </w:rPr>
        <w:t xml:space="preserve">hajb-ul-nuqsan</w:t>
      </w:r>
      <w:r>
        <w:t xml:space="preserve">) — the share is </w:t>
      </w:r>
      <w:r>
        <w:rPr>
          <w:b/>
          <w:bCs/>
          <w:color w:val="2E7D32"/>
        </w:rPr>
        <w:t xml:space="preserve">reduced</w:t>
      </w:r>
      <w:r>
        <w:t xml:space="preserve"> (e.g., the husband from 1/2 to 1/4 by a child; the mother from 1/3 to 1/6 by a child or two siblings).</w:t>
      </w:r>
    </w:p>
    <w:p>
      <w:pPr>
        <w:pStyle w:val="ListParagraph"/>
        <w:numPr>
          <w:ilvl w:val="0"/>
          <w:numId w:val="11"/>
        </w:numPr>
        <w:spacing w:after="60" w:line="276"/>
      </w:pPr>
      <w:r>
        <w:t xml:space="preserve">An excluded person </w:t>
      </w:r>
      <w:r>
        <w:rPr>
          <w:b/>
          <w:bCs/>
          <w:color w:val="2E7D32"/>
        </w:rPr>
        <w:t xml:space="preserve">can still exclude</w:t>
      </w:r>
      <w:r>
        <w:t xml:space="preserve"> others in some cases (e.g., two brothers, though excluded by the father, reduce the mother's share to 1/6).</w:t>
      </w:r>
    </w:p>
    <w:p>
      <w:pPr>
        <w:pStyle w:val="ListParagraph"/>
        <w:numPr>
          <w:ilvl w:val="0"/>
          <w:numId w:val="11"/>
        </w:numPr>
        <w:spacing w:after="60" w:line="276"/>
      </w:pPr>
      <w:r>
        <w:t xml:space="preserve">A person excluded for an </w:t>
      </w:r>
      <w:r>
        <w:rPr>
          <w:b/>
          <w:bCs/>
          <w:color w:val="2E7D32"/>
        </w:rPr>
        <w:t xml:space="preserve">impediment</w:t>
      </w:r>
      <w:r>
        <w:t xml:space="preserve"> (homicide, religion) is treated as </w:t>
      </w:r>
      <w:r>
        <w:rPr>
          <w:b/>
          <w:bCs/>
          <w:color w:val="2E7D32"/>
        </w:rPr>
        <w:t xml:space="preserve">dead</w:t>
      </w:r>
      <w:r>
        <w:t xml:space="preserve"> — he excludes no one.</w:t>
      </w:r>
    </w:p>
    <w:p>
      <w:pPr>
        <w:pStyle w:val="Heading1"/>
        <w:keepNext/>
        <w:pageBreakBefore/>
      </w:pPr>
      <w:bookmarkStart w:name="_h17" w:id="118"/>
      <w:r>
        <w:t xml:space="preserve">Chapter 4 · Aul and radd, and worked examples</w:t>
      </w:r>
      <w:bookmarkEnd w:id="118"/>
    </w:p>
    <w:p>
      <w:pPr>
        <w:pStyle w:val="Heading2"/>
        <w:keepNext/>
      </w:pPr>
      <w:bookmarkStart w:name="_h18" w:id="119"/>
      <w:r>
        <w:t xml:space="preserve">4.1 Aul (increase) — when shares exceed the estate</w:t>
      </w:r>
      <w:bookmarkEnd w:id="119"/>
    </w:p>
    <w:p>
      <w:pPr>
        <w:spacing w:after="120" w:line="288"/>
      </w:pPr>
      <w:r>
        <w:t xml:space="preserve">If the total of the sharers' fractions </w:t>
      </w:r>
      <w:r>
        <w:rPr>
          <w:b/>
          <w:bCs/>
          <w:color w:val="2E7D32"/>
        </w:rPr>
        <w:t xml:space="preserve">exceeds unity</w:t>
      </w:r>
      <w:r>
        <w:t xml:space="preserve">, every share is </w:t>
      </w:r>
      <w:r>
        <w:rPr>
          <w:b/>
          <w:bCs/>
          <w:color w:val="2E7D32"/>
        </w:rPr>
        <w:t xml:space="preserve">reduced proportionately</w:t>
      </w:r>
      <w:r>
        <w:t xml:space="preserve"> by increasing the common denominator to equal the sum of the numerators. (Introduced by Caliph </w:t>
      </w:r>
      <w:r>
        <w:rPr>
          <w:b/>
          <w:bCs/>
          <w:color w:val="2E7D32"/>
        </w:rPr>
        <w:t xml:space="preserve">Umar</w:t>
      </w:r>
      <w:r>
        <w:t xml:space="preserve"> on the advice of Ali; accepted by Sunnis, </w:t>
      </w:r>
      <w:r>
        <w:rPr>
          <w:b/>
          <w:bCs/>
          <w:color w:val="2E7D32"/>
        </w:rPr>
        <w:t xml:space="preserve">rejected by Shias</w:t>
      </w:r>
      <w:r>
        <w:t xml:space="preserve">.)</w:t>
      </w:r>
    </w:p>
    <w:p>
      <w:pPr>
        <w:spacing w:after="120" w:line="288"/>
      </w:pPr>
      <w:r>
        <w:rPr>
          <w:i/>
          <w:iCs/>
        </w:rPr>
        <w:t xml:space="preserve">Example:</w:t>
      </w:r>
      <w:r>
        <w:t xml:space="preserve"> A woman dies leaving her </w:t>
      </w:r>
      <w:r>
        <w:rPr>
          <w:b/>
          <w:bCs/>
          <w:color w:val="2E7D32"/>
        </w:rPr>
        <w:t xml:space="preserve">husband</w:t>
      </w:r>
      <w:r>
        <w:t xml:space="preserve"> and </w:t>
      </w:r>
      <w:r>
        <w:rPr>
          <w:b/>
          <w:bCs/>
          <w:color w:val="2E7D32"/>
        </w:rPr>
        <w:t xml:space="preserve">two full sisters</w:t>
      </w:r>
      <w:r>
        <w:t xml:space="preserve">. Husband 1/2 = 3/6; two full sisters 2/3 = 4/6. Total </w:t>
      </w:r>
      <w:r>
        <w:rPr>
          <w:b/>
          <w:bCs/>
          <w:color w:val="2E7D32"/>
        </w:rPr>
        <w:t xml:space="preserve">7/6</w:t>
      </w:r>
      <w:r>
        <w:t xml:space="preserve">. By aul, the denominator becomes 7: husband </w:t>
      </w:r>
      <w:r>
        <w:rPr>
          <w:b/>
          <w:bCs/>
          <w:color w:val="2E7D32"/>
        </w:rPr>
        <w:t xml:space="preserve">3/7</w:t>
      </w:r>
      <w:r>
        <w:t xml:space="preserve">, sisters </w:t>
      </w:r>
      <w:r>
        <w:rPr>
          <w:b/>
          <w:bCs/>
          <w:color w:val="2E7D32"/>
        </w:rPr>
        <w:t xml:space="preserve">4/7</w:t>
      </w:r>
      <w:r>
        <w:t xml:space="preserve"> (2/7 each).</w:t>
      </w:r>
    </w:p>
    <w:p>
      <w:pPr>
        <w:pStyle w:val="Heading2"/>
        <w:keepNext/>
      </w:pPr>
      <w:bookmarkStart w:name="_h19" w:id="120"/>
      <w:r>
        <w:t xml:space="preserve">4.2 Radd (return) — when shares fall short and there is no residuary</w:t>
      </w:r>
      <w:bookmarkEnd w:id="120"/>
    </w:p>
    <w:p>
      <w:pPr>
        <w:spacing w:after="120" w:line="288"/>
      </w:pPr>
      <w:r>
        <w:t xml:space="preserve">If the sharers' fractions </w:t>
      </w:r>
      <w:r>
        <w:rPr>
          <w:b/>
          <w:bCs/>
          <w:color w:val="2E7D32"/>
        </w:rPr>
        <w:t xml:space="preserve">total less than unity</w:t>
      </w:r>
      <w:r>
        <w:t xml:space="preserve"> and there is </w:t>
      </w:r>
      <w:r>
        <w:rPr>
          <w:b/>
          <w:bCs/>
          <w:color w:val="2E7D32"/>
        </w:rPr>
        <w:t xml:space="preserve">no residuary</w:t>
      </w:r>
      <w:r>
        <w:t xml:space="preserve">, the </w:t>
      </w:r>
      <w:r>
        <w:rPr>
          <w:b/>
          <w:bCs/>
          <w:color w:val="2E7D32"/>
        </w:rPr>
        <w:t xml:space="preserve">surplus returns</w:t>
      </w:r>
      <w:r>
        <w:t xml:space="preserve"> to the sharers </w:t>
      </w:r>
      <w:r>
        <w:rPr>
          <w:b/>
          <w:bCs/>
          <w:color w:val="2E7D32"/>
        </w:rPr>
        <w:t xml:space="preserve">in proportion to their shares</w:t>
      </w:r>
      <w:r>
        <w:t xml:space="preserve"> — but </w:t>
      </w:r>
      <w:r>
        <w:rPr>
          <w:b/>
          <w:bCs/>
          <w:color w:val="2E7D32"/>
        </w:rPr>
        <w:t xml:space="preserve">not</w:t>
      </w:r>
      <w:r>
        <w:t xml:space="preserve"> to the </w:t>
      </w:r>
      <w:r>
        <w:rPr>
          <w:b/>
          <w:bCs/>
          <w:color w:val="2E7D32"/>
        </w:rPr>
        <w:t xml:space="preserve">husband or wife</w:t>
      </w:r>
      <w:r>
        <w:t xml:space="preserve"> (Hanafi), as long as there is any other heir by blood. If a spouse is the </w:t>
      </w:r>
      <w:r>
        <w:rPr>
          <w:b/>
          <w:bCs/>
          <w:color w:val="2E7D32"/>
        </w:rPr>
        <w:t xml:space="preserve">only</w:t>
      </w:r>
      <w:r>
        <w:t xml:space="preserve"> heir, the later Hanafi jurists (and Pakistani practice) allow the surplus to return to the spouse rather than to the State.</w:t>
      </w:r>
    </w:p>
    <w:p>
      <w:pPr>
        <w:spacing w:after="120" w:line="288"/>
      </w:pPr>
      <w:r>
        <w:rPr>
          <w:i/>
          <w:iCs/>
        </w:rPr>
        <w:t xml:space="preserve">Example:</w:t>
      </w:r>
      <w:r>
        <w:t xml:space="preserve"> A man dies leaving his </w:t>
      </w:r>
      <w:r>
        <w:rPr>
          <w:b/>
          <w:bCs/>
          <w:color w:val="2E7D32"/>
        </w:rPr>
        <w:t xml:space="preserve">mother</w:t>
      </w:r>
      <w:r>
        <w:t xml:space="preserve"> and </w:t>
      </w:r>
      <w:r>
        <w:rPr>
          <w:b/>
          <w:bCs/>
          <w:color w:val="2E7D32"/>
        </w:rPr>
        <w:t xml:space="preserve">one daughter</w:t>
      </w:r>
      <w:r>
        <w:t xml:space="preserve">. Mother 1/6, daughter 1/2 = 4/6; surplus 2/6 returns in the ratio 1:3. Mother </w:t>
      </w:r>
      <w:r>
        <w:rPr>
          <w:b/>
          <w:bCs/>
          <w:color w:val="2E7D32"/>
        </w:rPr>
        <w:t xml:space="preserve">1/4</w:t>
      </w:r>
      <w:r>
        <w:t xml:space="preserve">, daughter </w:t>
      </w:r>
      <w:r>
        <w:rPr>
          <w:b/>
          <w:bCs/>
          <w:color w:val="2E7D32"/>
        </w:rPr>
        <w:t xml:space="preserve">3/4</w:t>
      </w:r>
      <w:r>
        <w:t xml:space="preserve">.</w:t>
      </w:r>
    </w:p>
    <w:p>
      <w:pPr>
        <w:spacing w:after="120" w:line="288"/>
      </w:pPr>
      <w:r>
        <w:rPr>
          <w:i/>
          <w:iCs/>
        </w:rPr>
        <w:t xml:space="preserve">Example with a spouse:</w:t>
      </w:r>
      <w:r>
        <w:t xml:space="preserve"> A man dies leaving his </w:t>
      </w:r>
      <w:r>
        <w:rPr>
          <w:b/>
          <w:bCs/>
          <w:color w:val="2E7D32"/>
        </w:rPr>
        <w:t xml:space="preserve">wife</w:t>
      </w:r>
      <w:r>
        <w:t xml:space="preserve">, </w:t>
      </w:r>
      <w:r>
        <w:rPr>
          <w:b/>
          <w:bCs/>
          <w:color w:val="2E7D32"/>
        </w:rPr>
        <w:t xml:space="preserve">mother</w:t>
      </w:r>
      <w:r>
        <w:t xml:space="preserve"> and </w:t>
      </w:r>
      <w:r>
        <w:rPr>
          <w:b/>
          <w:bCs/>
          <w:color w:val="2E7D32"/>
        </w:rPr>
        <w:t xml:space="preserve">one daughter</w:t>
      </w:r>
      <w:r>
        <w:t xml:space="preserve">. Wife 1/8 (fixed, takes no return). Remainder 7/8 is divided between mother and daughter in the ratio 1:3 → mother 7/32, daughter 21/32.</w:t>
      </w:r>
    </w:p>
    <w:p>
      <w:pPr>
        <w:pStyle w:val="Heading2"/>
        <w:keepNext/>
      </w:pPr>
      <w:bookmarkStart w:name="_h20" w:id="121"/>
      <w:r>
        <w:t xml:space="preserve">4.3 The Umariyyatan (the two "Umar" cases)</w:t>
      </w:r>
      <w:bookmarkEnd w:id="121"/>
    </w:p>
    <w:p>
      <w:pPr>
        <w:spacing w:after="120" w:line="288"/>
      </w:pPr>
      <w:r>
        <w:t xml:space="preserve">Where the heirs are </w:t>
      </w:r>
      <w:r>
        <w:rPr>
          <w:b/>
          <w:bCs/>
          <w:color w:val="2E7D32"/>
        </w:rPr>
        <w:t xml:space="preserve">spouse + father + mother</w:t>
      </w:r>
      <w:r>
        <w:t xml:space="preserve"> only, the mother takes </w:t>
      </w:r>
      <w:r>
        <w:rPr>
          <w:b/>
          <w:bCs/>
          <w:color w:val="2E7D32"/>
        </w:rPr>
        <w:t xml:space="preserve">1/3 of the remainder</w:t>
      </w:r>
      <w:r>
        <w:t xml:space="preserve"> after the spouse's share (not 1/3 of the whole), so that the father (a male of the same degree) gets twice the mother:</w:t>
      </w:r>
    </w:p>
    <w:p>
      <w:pPr>
        <w:pStyle w:val="ListParagraph"/>
        <w:numPr>
          <w:ilvl w:val="0"/>
          <w:numId w:val="12"/>
        </w:numPr>
        <w:spacing w:after="60" w:line="276"/>
      </w:pPr>
      <w:r>
        <w:rPr>
          <w:b/>
          <w:bCs/>
          <w:color w:val="2E7D32"/>
        </w:rPr>
        <w:t xml:space="preserve">Husband, father, mother:</w:t>
      </w:r>
      <w:r>
        <w:t xml:space="preserve"> husband 1/2; mother 1/3 of 1/2 = </w:t>
      </w:r>
      <w:r>
        <w:rPr>
          <w:b/>
          <w:bCs/>
          <w:color w:val="2E7D32"/>
        </w:rPr>
        <w:t xml:space="preserve">1/6</w:t>
      </w:r>
      <w:r>
        <w:t xml:space="preserve">; father the residue </w:t>
      </w:r>
      <w:r>
        <w:rPr>
          <w:b/>
          <w:bCs/>
          <w:color w:val="2E7D32"/>
        </w:rPr>
        <w:t xml:space="preserve">1/3</w:t>
      </w:r>
      <w:r>
        <w:t xml:space="preserve">.</w:t>
      </w:r>
    </w:p>
    <w:p>
      <w:pPr>
        <w:pStyle w:val="ListParagraph"/>
        <w:numPr>
          <w:ilvl w:val="0"/>
          <w:numId w:val="12"/>
        </w:numPr>
        <w:spacing w:after="60" w:line="276"/>
      </w:pPr>
      <w:r>
        <w:rPr>
          <w:b/>
          <w:bCs/>
          <w:color w:val="2E7D32"/>
        </w:rPr>
        <w:t xml:space="preserve">Wife, father, mother:</w:t>
      </w:r>
      <w:r>
        <w:t xml:space="preserve"> wife 1/4; mother 1/3 of 3/4 = </w:t>
      </w:r>
      <w:r>
        <w:rPr>
          <w:b/>
          <w:bCs/>
          <w:color w:val="2E7D32"/>
        </w:rPr>
        <w:t xml:space="preserve">1/4</w:t>
      </w:r>
      <w:r>
        <w:t xml:space="preserve">; father </w:t>
      </w:r>
      <w:r>
        <w:rPr>
          <w:b/>
          <w:bCs/>
          <w:color w:val="2E7D32"/>
        </w:rPr>
        <w:t xml:space="preserve">1/2</w:t>
      </w:r>
      <w:r>
        <w:t xml:space="preserve">.</w:t>
      </w:r>
    </w:p>
    <w:p>
      <w:pPr>
        <w:pStyle w:val="Heading2"/>
        <w:keepNext/>
      </w:pPr>
      <w:bookmarkStart w:name="_h21" w:id="122"/>
      <w:r>
        <w:t xml:space="preserve">4.4 More worked examples (Hanafi)</w:t>
      </w:r>
      <w:bookmarkEnd w:id="12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0"/>
        <w:gridCol w:w="5236"/>
      </w:tblGrid>
      <w:tr>
        <w:trPr>
          <w:cantSplit/>
          <w:tblHeader/>
        </w:trPr>
        <w:tc>
          <w:tcPr>
            <w:tcW w:type="dxa" w:w="379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Heirs</w:t>
            </w:r>
          </w:p>
        </w:tc>
        <w:tc>
          <w:tcPr>
            <w:tcW w:type="dxa" w:w="523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Distribution</w:t>
            </w:r>
          </w:p>
        </w:tc>
      </w:tr>
      <w:tr>
        <w:trPr>
          <w:cantSplit/>
          <w:tblHeader w:val="false"/>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Wife, son, daughter</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Wife </w:t>
            </w:r>
            <w:r>
              <w:rPr>
                <w:b/>
                <w:bCs/>
                <w:color w:val="2E7D32"/>
                <w:sz w:val="20"/>
                <w:szCs w:val="20"/>
              </w:rPr>
              <w:t xml:space="preserve">1/8</w:t>
            </w:r>
            <w:r>
              <w:rPr>
                <w:sz w:val="20"/>
                <w:szCs w:val="20"/>
              </w:rPr>
              <w:t xml:space="preserve">; the residue 7/8 to son and daughter 2:1 → son </w:t>
            </w:r>
            <w:r>
              <w:rPr>
                <w:b/>
                <w:bCs/>
                <w:color w:val="2E7D32"/>
                <w:sz w:val="20"/>
                <w:szCs w:val="20"/>
              </w:rPr>
              <w:t xml:space="preserve">7/12</w:t>
            </w:r>
            <w:r>
              <w:rPr>
                <w:sz w:val="20"/>
                <w:szCs w:val="20"/>
              </w:rPr>
              <w:t xml:space="preserve">, daughter </w:t>
            </w:r>
            <w:r>
              <w:rPr>
                <w:b/>
                <w:bCs/>
                <w:color w:val="2E7D32"/>
                <w:sz w:val="20"/>
                <w:szCs w:val="20"/>
              </w:rPr>
              <w:t xml:space="preserve">7/24</w:t>
            </w:r>
            <w:r>
              <w:rPr>
                <w:sz w:val="20"/>
                <w:szCs w:val="20"/>
              </w:rPr>
              <w:t xml:space="preserve">.</w:t>
            </w:r>
          </w:p>
        </w:tc>
      </w:tr>
      <w:tr>
        <w:trPr>
          <w:cantSplit/>
          <w:tblHeader w:val="false"/>
        </w:trPr>
        <w:tc>
          <w:tcPr>
            <w:tcW w:type="dxa" w:w="379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two daughters, father</w:t>
            </w:r>
          </w:p>
        </w:tc>
        <w:tc>
          <w:tcPr>
            <w:tcW w:type="dxa" w:w="523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1/4 = 3/12; daughters 2/3 = 8/12; father 1/6 = 2/12 → total 13/12 → </w:t>
            </w:r>
            <w:r>
              <w:rPr>
                <w:b/>
                <w:bCs/>
                <w:color w:val="2E7D32"/>
                <w:sz w:val="20"/>
                <w:szCs w:val="20"/>
              </w:rPr>
              <w:t xml:space="preserve">aul</w:t>
            </w:r>
            <w:r>
              <w:rPr>
                <w:sz w:val="20"/>
                <w:szCs w:val="20"/>
              </w:rPr>
              <w:t xml:space="preserve"> to 13: husband </w:t>
            </w:r>
            <w:r>
              <w:rPr>
                <w:b/>
                <w:bCs/>
                <w:color w:val="2E7D32"/>
                <w:sz w:val="20"/>
                <w:szCs w:val="20"/>
              </w:rPr>
              <w:t xml:space="preserve">3/13</w:t>
            </w:r>
            <w:r>
              <w:rPr>
                <w:sz w:val="20"/>
                <w:szCs w:val="20"/>
              </w:rPr>
              <w:t xml:space="preserve">, daughters </w:t>
            </w:r>
            <w:r>
              <w:rPr>
                <w:b/>
                <w:bCs/>
                <w:color w:val="2E7D32"/>
                <w:sz w:val="20"/>
                <w:szCs w:val="20"/>
              </w:rPr>
              <w:t xml:space="preserve">8/13</w:t>
            </w:r>
            <w:r>
              <w:rPr>
                <w:sz w:val="20"/>
                <w:szCs w:val="20"/>
              </w:rPr>
              <w:t xml:space="preserve">, father </w:t>
            </w:r>
            <w:r>
              <w:rPr>
                <w:b/>
                <w:bCs/>
                <w:color w:val="2E7D32"/>
                <w:sz w:val="20"/>
                <w:szCs w:val="20"/>
              </w:rPr>
              <w:t xml:space="preserve">2/13</w:t>
            </w:r>
            <w:r>
              <w:rPr>
                <w:sz w:val="20"/>
                <w:szCs w:val="20"/>
              </w:rPr>
              <w:t xml:space="preserve">.</w:t>
            </w:r>
          </w:p>
        </w:tc>
      </w:tr>
      <w:tr>
        <w:trPr>
          <w:cantSplit/>
          <w:tblHeader w:val="false"/>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Mother, father, two daughters</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Mother 1/6, father 1/6, daughters 2/3 → exactly 1. (Father gets no residue.)</w:t>
            </w:r>
          </w:p>
        </w:tc>
      </w:tr>
      <w:tr>
        <w:trPr>
          <w:cantSplit/>
          <w:tblHeader w:val="false"/>
        </w:trPr>
        <w:tc>
          <w:tcPr>
            <w:tcW w:type="dxa" w:w="379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Wife, daughter, full brother</w:t>
            </w:r>
          </w:p>
        </w:tc>
        <w:tc>
          <w:tcPr>
            <w:tcW w:type="dxa" w:w="523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Wife 1/8; daughter 1/2; full brother (residuary) 3/8.</w:t>
            </w:r>
          </w:p>
        </w:tc>
      </w:tr>
      <w:tr>
        <w:trPr>
          <w:cantSplit/>
          <w:tblHeader w:val="false"/>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Daughter, full sister</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Daughter 1/2; full sister residuary </w:t>
            </w:r>
            <w:r>
              <w:rPr>
                <w:b/>
                <w:bCs/>
                <w:color w:val="2E7D32"/>
                <w:sz w:val="20"/>
                <w:szCs w:val="20"/>
              </w:rPr>
              <w:t xml:space="preserve">with</w:t>
            </w:r>
            <w:r>
              <w:rPr>
                <w:sz w:val="20"/>
                <w:szCs w:val="20"/>
              </w:rPr>
              <w:t xml:space="preserve"> the daughter → 1/2.</w:t>
            </w:r>
          </w:p>
        </w:tc>
      </w:tr>
      <w:tr>
        <w:trPr>
          <w:cantSplit/>
          <w:tblHeader w:val="false"/>
        </w:trPr>
        <w:tc>
          <w:tcPr>
            <w:tcW w:type="dxa" w:w="379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mother, two uterine brothers, full brother</w:t>
            </w:r>
          </w:p>
        </w:tc>
        <w:tc>
          <w:tcPr>
            <w:tcW w:type="dxa" w:w="523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Husband 1/2; mother 1/6 (two+ siblings); uterine brothers 1/3; full brother residuary → </w:t>
            </w:r>
            <w:r>
              <w:rPr>
                <w:b/>
                <w:bCs/>
                <w:color w:val="2E7D32"/>
                <w:sz w:val="20"/>
                <w:szCs w:val="20"/>
              </w:rPr>
              <w:t xml:space="preserve">nothing</w:t>
            </w:r>
            <w:r>
              <w:rPr>
                <w:sz w:val="20"/>
                <w:szCs w:val="20"/>
              </w:rPr>
              <w:t xml:space="preserve"> left. (The </w:t>
            </w:r>
            <w:r>
              <w:rPr>
                <w:b/>
                <w:bCs/>
                <w:color w:val="2E7D32"/>
                <w:sz w:val="20"/>
                <w:szCs w:val="20"/>
              </w:rPr>
              <w:t xml:space="preserve">Mushtaraka</w:t>
            </w:r>
            <w:r>
              <w:rPr>
                <w:sz w:val="20"/>
                <w:szCs w:val="20"/>
              </w:rPr>
              <w:t xml:space="preserve"> problem: Hanafi law excludes the full brother; Shafi'i and Maliki law let him share with the uterine brothers.)</w:t>
            </w:r>
          </w:p>
        </w:tc>
      </w:tr>
      <w:tr>
        <w:trPr>
          <w:cantSplit/>
          <w:tblHeader w:val="false"/>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Son and son's son (whose father is alive)</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Son takes all; the son's son is excluded (his father is alive — no s. 4 issue).</w:t>
            </w:r>
          </w:p>
        </w:tc>
      </w:tr>
    </w:tbl>
    <w:p>
      <w:pPr>
        <w:spacing w:after="100"/>
      </w:pPr>
    </w:p>
    <w:p>
      <w:pPr>
        <w:pStyle w:val="Heading1"/>
        <w:keepNext/>
        <w:pageBreakBefore/>
      </w:pPr>
      <w:bookmarkStart w:name="_h22" w:id="123"/>
      <w:r>
        <w:t xml:space="preserve">Chapter 5 · MFLO s. 4 — orphaned grandchildren — and the Shia scheme</w:t>
      </w:r>
      <w:bookmarkEnd w:id="123"/>
    </w:p>
    <w:p>
      <w:pPr>
        <w:pStyle w:val="Heading2"/>
        <w:keepNext/>
      </w:pPr>
      <w:bookmarkStart w:name="_h23" w:id="124"/>
      <w:r>
        <w:t xml:space="preserve">5.1 Section 4</w:t>
      </w:r>
      <w:bookmarkEnd w:id="124"/>
    </w:p>
    <w:p>
      <w:pPr>
        <w:pBdr>
          <w:left w:val="single" w:color="7A9CC6" w:sz="18" w:space="10"/>
        </w:pBdr>
        <w:shd w:fill="F3F6FA" w:color="auto" w:val="clear"/>
        <w:spacing w:after="100" w:line="276"/>
        <w:ind w:left="360" w:right="240"/>
      </w:pPr>
      <w:r>
        <w:rPr>
          <w:color w:val="1E3A5F"/>
        </w:rPr>
        <w:t xml:space="preserve">"4. (1) In the event of the death of any son or daughter of the propositus </w:t>
      </w:r>
      <w:r>
        <w:rPr>
          <w:b/>
          <w:bCs/>
          <w:color w:val="1E3A5F"/>
        </w:rPr>
        <w:t xml:space="preserve">before the opening of succession</w:t>
      </w:r>
      <w:r>
        <w:rPr>
          <w:color w:val="1E3A5F"/>
        </w:rPr>
        <w:t xml:space="preserve">, the children of such son or daughter, if any, living at the time the succession opens, shall </w:t>
      </w:r>
      <w:r>
        <w:rPr>
          <w:b/>
          <w:bCs/>
          <w:color w:val="1E3A5F"/>
        </w:rPr>
        <w:t xml:space="preserve">per stirpes</w:t>
      </w:r>
      <w:r>
        <w:rPr>
          <w:color w:val="1E3A5F"/>
        </w:rPr>
        <w:t xml:space="preserve"> receive a share </w:t>
      </w:r>
      <w:r>
        <w:rPr>
          <w:b/>
          <w:bCs/>
          <w:color w:val="1E3A5F"/>
        </w:rPr>
        <w:t xml:space="preserve">equivalent to the share which such son or daughter, as the case may be, would have received if alive</w:t>
      </w:r>
      <w:r>
        <w:rPr>
          <w:color w:val="1E3A5F"/>
        </w:rPr>
        <w:t xml:space="preserve">."</w:t>
      </w:r>
    </w:p>
    <w:p>
      <w:pPr>
        <w:spacing w:after="120" w:line="288"/>
      </w:pPr>
      <w:r>
        <w:rPr>
          <w:b/>
          <w:bCs/>
          <w:color w:val="2E7D32"/>
        </w:rPr>
        <w:t xml:space="preserve">Effect.</w:t>
      </w:r>
      <w:r>
        <w:t xml:space="preserve"> The children of a </w:t>
      </w:r>
      <w:r>
        <w:rPr>
          <w:b/>
          <w:bCs/>
          <w:color w:val="2E7D32"/>
        </w:rPr>
        <w:t xml:space="preserve">predeceased</w:t>
      </w:r>
      <w:r>
        <w:t xml:space="preserve"> son or daughter </w:t>
      </w:r>
      <w:r>
        <w:rPr>
          <w:b/>
          <w:bCs/>
          <w:color w:val="2E7D32"/>
        </w:rPr>
        <w:t xml:space="preserve">represent</w:t>
      </w:r>
      <w:r>
        <w:t xml:space="preserve"> their parent and take the parent's share, which is then divided among them </w:t>
      </w:r>
      <w:r>
        <w:rPr>
          <w:b/>
          <w:bCs/>
          <w:color w:val="2E7D32"/>
        </w:rPr>
        <w:t xml:space="preserve">per stirpes</w:t>
      </w:r>
      <w:r>
        <w:t xml:space="preserve"> (by branches) — and, under the general rule, the grandson gets double the granddaughter within that branch.</w:t>
      </w:r>
    </w:p>
    <w:p>
      <w:pPr>
        <w:spacing w:after="120" w:line="288"/>
      </w:pPr>
      <w:r>
        <w:rPr>
          <w:i/>
          <w:iCs/>
        </w:rPr>
        <w:t xml:space="preserve">Example:</w:t>
      </w:r>
      <w:r>
        <w:t xml:space="preserve"> A dies leaving a son B and the children of his predeceased son C — a grandson D and a granddaughter E. Classical law: B takes all (the nearer excludes the remoter). </w:t>
      </w:r>
      <w:r>
        <w:rPr>
          <w:b/>
          <w:bCs/>
          <w:color w:val="2E7D32"/>
        </w:rPr>
        <w:t xml:space="preserve">Under s. 4:</w:t>
      </w:r>
      <w:r>
        <w:t xml:space="preserve"> C's share (1/2) goes to D and E (2:1) → B </w:t>
      </w:r>
      <w:r>
        <w:rPr>
          <w:b/>
          <w:bCs/>
          <w:color w:val="2E7D32"/>
        </w:rPr>
        <w:t xml:space="preserve">1/2</w:t>
      </w:r>
      <w:r>
        <w:t xml:space="preserve">, D </w:t>
      </w:r>
      <w:r>
        <w:rPr>
          <w:b/>
          <w:bCs/>
          <w:color w:val="2E7D32"/>
        </w:rPr>
        <w:t xml:space="preserve">1/3</w:t>
      </w:r>
      <w:r>
        <w:t xml:space="preserve">, E </w:t>
      </w:r>
      <w:r>
        <w:rPr>
          <w:b/>
          <w:bCs/>
          <w:color w:val="2E7D32"/>
        </w:rPr>
        <w:t xml:space="preserve">1/6</w:t>
      </w:r>
      <w:r>
        <w:t xml:space="preserve">.</w:t>
      </w:r>
    </w:p>
    <w:p>
      <w:pPr>
        <w:spacing w:after="120" w:line="288"/>
      </w:pPr>
      <w:r>
        <w:rPr>
          <w:i/>
          <w:iCs/>
        </w:rPr>
        <w:t xml:space="preserve">Example with a predeceased daughter:</w:t>
      </w:r>
      <w:r>
        <w:t xml:space="preserve"> A dies leaving a son B and the son F of a predeceased daughter G. G, if alive, would take 1/3 (B 2/3). Under s. 4, F takes </w:t>
      </w:r>
      <w:r>
        <w:rPr>
          <w:b/>
          <w:bCs/>
          <w:color w:val="2E7D32"/>
        </w:rPr>
        <w:t xml:space="preserve">1/3</w:t>
      </w:r>
      <w:r>
        <w:t xml:space="preserve">; B </w:t>
      </w:r>
      <w:r>
        <w:rPr>
          <w:b/>
          <w:bCs/>
          <w:color w:val="2E7D32"/>
        </w:rPr>
        <w:t xml:space="preserve">2/3</w:t>
      </w:r>
      <w:r>
        <w:t xml:space="preserve">.</w:t>
      </w:r>
    </w:p>
    <w:p>
      <w:pPr>
        <w:spacing w:after="120" w:line="288"/>
      </w:pPr>
      <w:r>
        <w:rPr>
          <w:b/>
          <w:bCs/>
          <w:color w:val="2E7D32"/>
        </w:rPr>
        <w:t xml:space="preserve">Scope:</w:t>
      </w:r>
      <w:r>
        <w:t xml:space="preserve"> s. 4 applies only to the children of a predeceased </w:t>
      </w:r>
      <w:r>
        <w:rPr>
          <w:b/>
          <w:bCs/>
          <w:color w:val="2E7D32"/>
        </w:rPr>
        <w:t xml:space="preserve">son or daughter</w:t>
      </w:r>
      <w:r>
        <w:t xml:space="preserve"> (first-generation orphaned grandchildren), not to the children of a predeceased brother or other relations.</w:t>
      </w:r>
    </w:p>
    <w:p>
      <w:pPr>
        <w:spacing w:after="120" w:line="288"/>
      </w:pPr>
      <w:r>
        <w:rPr>
          <w:b/>
          <w:bCs/>
          <w:color w:val="2E7D32"/>
        </w:rPr>
        <w:t xml:space="preserve">Validity.</w:t>
      </w:r>
      <w:r>
        <w:t xml:space="preserve"> In </w:t>
      </w:r>
      <w:r>
        <w:rPr>
          <w:i/>
          <w:iCs/>
        </w:rPr>
        <w:t xml:space="preserve">Allah Rakha v. Federation of Pakistan</w:t>
      </w:r>
      <w:r>
        <w:t xml:space="preserve"> (PLD 2000 FSC 1), the Federal Shariat Court held s. 4 </w:t>
      </w:r>
      <w:r>
        <w:rPr>
          <w:b/>
          <w:bCs/>
          <w:color w:val="2E7D32"/>
        </w:rPr>
        <w:t xml:space="preserve">repugnant</w:t>
      </w:r>
      <w:r>
        <w:t xml:space="preserve"> to the Injunctions of Islam (suggesting that orphaned grandchildren be provided for by an obligatory bequest); the decision is under </w:t>
      </w:r>
      <w:r>
        <w:rPr>
          <w:b/>
          <w:bCs/>
          <w:color w:val="2E7D32"/>
        </w:rPr>
        <w:t xml:space="preserve">appeal</w:t>
      </w:r>
      <w:r>
        <w:t xml:space="preserve"> and has not taken effect, so </w:t>
      </w:r>
      <w:r>
        <w:rPr>
          <w:b/>
          <w:bCs/>
          <w:color w:val="2E7D32"/>
        </w:rPr>
        <w:t xml:space="preserve">s. 4 continues to apply</w:t>
      </w:r>
      <w:r>
        <w:t xml:space="preserve"> (Topic 1, Chapter 1).</w:t>
      </w:r>
    </w:p>
    <w:p>
      <w:pPr>
        <w:pStyle w:val="Heading2"/>
        <w:keepNext/>
      </w:pPr>
      <w:bookmarkStart w:name="_h24" w:id="125"/>
      <w:r>
        <w:t xml:space="preserve">5.2 The Fiqh-e-Jafria provisions (Act XXVIII of 2021)</w:t>
      </w:r>
      <w:bookmarkEnd w:id="125"/>
    </w:p>
    <w:p>
      <w:pPr>
        <w:spacing w:after="120" w:line="288"/>
      </w:pPr>
      <w:r>
        <w:t xml:space="preserve">The MFLO now provides for </w:t>
      </w:r>
      <w:r>
        <w:rPr>
          <w:b/>
          <w:bCs/>
          <w:color w:val="2E7D32"/>
        </w:rPr>
        <w:t xml:space="preserve">Ahl-e-Tashih</w:t>
      </w:r>
      <w:r>
        <w:t xml:space="preserve"> (Shia):</w:t>
      </w:r>
    </w:p>
    <w:p>
      <w:pPr>
        <w:pStyle w:val="ListParagraph"/>
        <w:numPr>
          <w:ilvl w:val="0"/>
          <w:numId w:val="13"/>
        </w:numPr>
        <w:spacing w:after="60" w:line="276"/>
      </w:pPr>
      <w:r>
        <w:rPr>
          <w:b/>
          <w:bCs/>
          <w:color w:val="2E7D32"/>
        </w:rPr>
        <w:t xml:space="preserve">Widow's share in immovable property</w:t>
      </w:r>
      <w:r>
        <w:t xml:space="preserve"> — </w:t>
      </w:r>
      <w:r>
        <w:rPr>
          <w:b/>
          <w:bCs/>
          <w:color w:val="2E7D32"/>
        </w:rPr>
        <w:t xml:space="preserve">one-fourth of the price or value</w:t>
      </w:r>
      <w:r>
        <w:t xml:space="preserve"> of the immovable property if the husband left no child; </w:t>
      </w:r>
      <w:r>
        <w:rPr>
          <w:b/>
          <w:bCs/>
          <w:color w:val="2E7D32"/>
        </w:rPr>
        <w:t xml:space="preserve">one-eighth</w:t>
      </w:r>
      <w:r>
        <w:t xml:space="preserve"> if he left a child (s. 4(2)); shared equally among two or more widows (s. 4(3)); the value is the value </w:t>
      </w:r>
      <w:r>
        <w:rPr>
          <w:b/>
          <w:bCs/>
          <w:color w:val="2E7D32"/>
        </w:rPr>
        <w:t xml:space="preserve">at the time of payment</w:t>
      </w:r>
      <w:r>
        <w:t xml:space="preserve">, not at death (s. 4(4)); </w:t>
      </w:r>
      <w:r>
        <w:rPr>
          <w:b/>
          <w:bCs/>
          <w:color w:val="2E7D32"/>
        </w:rPr>
        <w:t xml:space="preserve">if the heirs do not pay her</w:t>
      </w:r>
      <w:r>
        <w:t xml:space="preserve"> on these terms, she becomes entitled to her share in the </w:t>
      </w:r>
      <w:r>
        <w:rPr>
          <w:b/>
          <w:bCs/>
          <w:color w:val="2E7D32"/>
        </w:rPr>
        <w:t xml:space="preserve">corpus</w:t>
      </w:r>
      <w:r>
        <w:t xml:space="preserve"> of the immovable property (proviso).</w:t>
      </w:r>
    </w:p>
    <w:p>
      <w:pPr>
        <w:pStyle w:val="ListParagraph"/>
        <w:numPr>
          <w:ilvl w:val="0"/>
          <w:numId w:val="13"/>
        </w:numPr>
        <w:spacing w:after="60" w:line="276"/>
      </w:pPr>
      <w:r>
        <w:rPr>
          <w:b/>
          <w:bCs/>
          <w:color w:val="2E7D32"/>
        </w:rPr>
        <w:t xml:space="preserve">Movable property</w:t>
      </w:r>
      <w:r>
        <w:t xml:space="preserve"> — she takes her share in the </w:t>
      </w:r>
      <w:r>
        <w:rPr>
          <w:b/>
          <w:bCs/>
          <w:color w:val="2E7D32"/>
        </w:rPr>
        <w:t xml:space="preserve">corpus</w:t>
      </w:r>
      <w:r>
        <w:t xml:space="preserve"> (s. 4(5)).</w:t>
      </w:r>
    </w:p>
    <w:p>
      <w:pPr>
        <w:pStyle w:val="ListParagraph"/>
        <w:numPr>
          <w:ilvl w:val="0"/>
          <w:numId w:val="13"/>
        </w:numPr>
        <w:spacing w:after="60" w:line="276"/>
      </w:pPr>
      <w:r>
        <w:rPr>
          <w:b/>
          <w:bCs/>
          <w:color w:val="2E7D32"/>
        </w:rPr>
        <w:t xml:space="preserve">Husband's share</w:t>
      </w:r>
      <w:r>
        <w:t xml:space="preserve"> from his deceased wife's property, movable or immovable — </w:t>
      </w:r>
      <w:r>
        <w:rPr>
          <w:b/>
          <w:bCs/>
          <w:color w:val="2E7D32"/>
        </w:rPr>
        <w:t xml:space="preserve">one-half</w:t>
      </w:r>
      <w:r>
        <w:t xml:space="preserve"> if no child, </w:t>
      </w:r>
      <w:r>
        <w:rPr>
          <w:b/>
          <w:bCs/>
          <w:color w:val="2E7D32"/>
        </w:rPr>
        <w:t xml:space="preserve">one-fourth</w:t>
      </w:r>
      <w:r>
        <w:t xml:space="preserve"> if a child (s. 4(6)).</w:t>
      </w:r>
    </w:p>
    <w:p>
      <w:pPr>
        <w:pStyle w:val="ListParagraph"/>
        <w:numPr>
          <w:ilvl w:val="0"/>
          <w:numId w:val="13"/>
        </w:numPr>
        <w:spacing w:after="60" w:line="276"/>
      </w:pPr>
      <w:r>
        <w:rPr>
          <w:b/>
          <w:bCs/>
          <w:color w:val="2E7D32"/>
        </w:rPr>
        <w:t xml:space="preserve">Disputes</w:t>
      </w:r>
      <w:r>
        <w:t xml:space="preserve"> — the court, or a </w:t>
      </w:r>
      <w:r>
        <w:rPr>
          <w:b/>
          <w:bCs/>
          <w:color w:val="2E7D32"/>
        </w:rPr>
        <w:t xml:space="preserve">Mujtahid-e-Alam</w:t>
      </w:r>
      <w:r>
        <w:t xml:space="preserve"> from the panel of the Council of Islamic Ideology, whose decision is an </w:t>
      </w:r>
      <w:r>
        <w:rPr>
          <w:b/>
          <w:bCs/>
          <w:color w:val="2E7D32"/>
        </w:rPr>
        <w:t xml:space="preserve">award</w:t>
      </w:r>
      <w:r>
        <w:t xml:space="preserve"> under the Arbitration Act 1940 (s. 4(7)).</w:t>
      </w:r>
    </w:p>
    <w:p>
      <w:pPr>
        <w:pStyle w:val="ListParagraph"/>
        <w:numPr>
          <w:ilvl w:val="0"/>
          <w:numId w:val="13"/>
        </w:numPr>
        <w:spacing w:after="60" w:line="276"/>
      </w:pPr>
      <w:r>
        <w:t xml:space="preserve">Inheritance of Ahl-e-Tashih is to be decided by their personal law </w:t>
      </w:r>
      <w:r>
        <w:rPr>
          <w:b/>
          <w:bCs/>
          <w:color w:val="2E7D32"/>
        </w:rPr>
        <w:t xml:space="preserve">as interpreted by Fiqh-e-Jafria</w:t>
      </w:r>
      <w:r>
        <w:t xml:space="preserve"> (s. 4(8)).</w:t>
      </w:r>
    </w:p>
    <w:p>
      <w:pPr>
        <w:pStyle w:val="Heading2"/>
        <w:keepNext/>
      </w:pPr>
      <w:bookmarkStart w:name="_h25" w:id="126"/>
      <w:r>
        <w:t xml:space="preserve">5.3 The Shia (Ithna Ashari) scheme — in outline</w:t>
      </w:r>
      <w:bookmarkEnd w:id="126"/>
    </w:p>
    <w:p>
      <w:pPr>
        <w:pStyle w:val="ListParagraph"/>
        <w:numPr>
          <w:ilvl w:val="0"/>
          <w:numId w:val="14"/>
        </w:numPr>
        <w:spacing w:after="60" w:line="276"/>
      </w:pPr>
      <w:r>
        <w:rPr>
          <w:b/>
          <w:bCs/>
          <w:color w:val="2E7D32"/>
        </w:rPr>
        <w:t xml:space="preserve">Three classes of heirs by blood</w:t>
      </w:r>
      <w:r>
        <w:t xml:space="preserve"> (each excludes the later):</w:t>
      </w:r>
    </w:p>
    <w:p>
      <w:pPr>
        <w:pStyle w:val="ListParagraph"/>
        <w:numPr>
          <w:ilvl w:val="1"/>
          <w:numId w:val="12"/>
        </w:numPr>
        <w:spacing w:after="60" w:line="276"/>
      </w:pPr>
      <w:r>
        <w:rPr>
          <w:b/>
          <w:bCs/>
          <w:color w:val="2E7D32"/>
        </w:rPr>
        <w:t xml:space="preserve">Class I</w:t>
      </w:r>
      <w:r>
        <w:t xml:space="preserve"> — </w:t>
      </w:r>
      <w:r>
        <w:rPr>
          <w:b/>
          <w:bCs/>
          <w:color w:val="2E7D32"/>
        </w:rPr>
        <w:t xml:space="preserve">parents</w:t>
      </w:r>
      <w:r>
        <w:t xml:space="preserve"> and </w:t>
      </w:r>
      <w:r>
        <w:rPr>
          <w:b/>
          <w:bCs/>
          <w:color w:val="2E7D32"/>
        </w:rPr>
        <w:t xml:space="preserve">children</w:t>
      </w:r>
      <w:r>
        <w:t xml:space="preserve"> and lower descendants;</w:t>
      </w:r>
    </w:p>
    <w:p>
      <w:pPr>
        <w:pStyle w:val="ListParagraph"/>
        <w:numPr>
          <w:ilvl w:val="1"/>
          <w:numId w:val="12"/>
        </w:numPr>
        <w:spacing w:after="60" w:line="276"/>
      </w:pPr>
      <w:r>
        <w:rPr>
          <w:b/>
          <w:bCs/>
          <w:color w:val="2E7D32"/>
        </w:rPr>
        <w:t xml:space="preserve">Class II</w:t>
      </w:r>
      <w:r>
        <w:t xml:space="preserve"> — </w:t>
      </w:r>
      <w:r>
        <w:rPr>
          <w:b/>
          <w:bCs/>
          <w:color w:val="2E7D32"/>
        </w:rPr>
        <w:t xml:space="preserve">grandparents</w:t>
      </w:r>
      <w:r>
        <w:t xml:space="preserve"> h.h.s. and </w:t>
      </w:r>
      <w:r>
        <w:rPr>
          <w:b/>
          <w:bCs/>
          <w:color w:val="2E7D32"/>
        </w:rPr>
        <w:t xml:space="preserve">brothers and sisters</w:t>
      </w:r>
      <w:r>
        <w:t xml:space="preserve"> and their descendants;</w:t>
      </w:r>
    </w:p>
    <w:p>
      <w:pPr>
        <w:pStyle w:val="ListParagraph"/>
        <w:numPr>
          <w:ilvl w:val="1"/>
          <w:numId w:val="12"/>
        </w:numPr>
        <w:spacing w:after="60" w:line="276"/>
      </w:pPr>
      <w:r>
        <w:rPr>
          <w:b/>
          <w:bCs/>
          <w:color w:val="2E7D32"/>
        </w:rPr>
        <w:t xml:space="preserve">Class III</w:t>
      </w:r>
      <w:r>
        <w:t xml:space="preserve"> — </w:t>
      </w:r>
      <w:r>
        <w:rPr>
          <w:b/>
          <w:bCs/>
          <w:color w:val="2E7D32"/>
        </w:rPr>
        <w:t xml:space="preserve">paternal and maternal uncles and aunts</w:t>
      </w:r>
      <w:r>
        <w:t xml:space="preserve"> and their descendants.</w:t>
      </w:r>
    </w:p>
    <w:p>
      <w:pPr>
        <w:pStyle w:val="ListParagraph"/>
        <w:numPr>
          <w:ilvl w:val="0"/>
          <w:numId w:val="15"/>
        </w:numPr>
        <w:spacing w:after="60" w:line="276"/>
      </w:pPr>
      <w:r>
        <w:rPr>
          <w:b/>
          <w:bCs/>
          <w:color w:val="2E7D32"/>
        </w:rPr>
        <w:t xml:space="preserve">Spouses</w:t>
      </w:r>
      <w:r>
        <w:t xml:space="preserve"> inherit </w:t>
      </w:r>
      <w:r>
        <w:rPr>
          <w:b/>
          <w:bCs/>
          <w:color w:val="2E7D32"/>
        </w:rPr>
        <w:t xml:space="preserve">with</w:t>
      </w:r>
      <w:r>
        <w:t xml:space="preserve"> any class.</w:t>
      </w:r>
    </w:p>
    <w:p>
      <w:pPr>
        <w:pStyle w:val="ListParagraph"/>
        <w:numPr>
          <w:ilvl w:val="0"/>
          <w:numId w:val="15"/>
        </w:numPr>
        <w:spacing w:after="60" w:line="276"/>
      </w:pPr>
      <w:r>
        <w:rPr>
          <w:b/>
          <w:bCs/>
          <w:color w:val="2E7D32"/>
        </w:rPr>
        <w:t xml:space="preserve">No distinction</w:t>
      </w:r>
      <w:r>
        <w:t xml:space="preserve"> between agnates and cognates — a daughter's son is a heir of Class I.</w:t>
      </w:r>
    </w:p>
    <w:p>
      <w:pPr>
        <w:pStyle w:val="ListParagraph"/>
        <w:numPr>
          <w:ilvl w:val="0"/>
          <w:numId w:val="15"/>
        </w:numPr>
        <w:spacing w:after="60" w:line="276"/>
      </w:pPr>
      <w:r>
        <w:rPr>
          <w:b/>
          <w:bCs/>
          <w:color w:val="2E7D32"/>
        </w:rPr>
        <w:t xml:space="preserve">Nearer excludes remoter within a class</w:t>
      </w:r>
      <w:r>
        <w:t xml:space="preserve">, but a heir of a remoter degree </w:t>
      </w:r>
      <w:r>
        <w:rPr>
          <w:b/>
          <w:bCs/>
          <w:color w:val="2E7D32"/>
        </w:rPr>
        <w:t xml:space="preserve">represents</w:t>
      </w:r>
      <w:r>
        <w:t xml:space="preserve"> his parent (</w:t>
      </w:r>
      <w:r>
        <w:rPr>
          <w:i/>
          <w:iCs/>
        </w:rPr>
        <w:t xml:space="preserve">per stirpes</w:t>
      </w:r>
      <w:r>
        <w:t xml:space="preserve">).</w:t>
      </w:r>
    </w:p>
    <w:p>
      <w:pPr>
        <w:pStyle w:val="ListParagraph"/>
        <w:numPr>
          <w:ilvl w:val="0"/>
          <w:numId w:val="15"/>
        </w:numPr>
        <w:spacing w:after="60" w:line="276"/>
      </w:pPr>
      <w:r>
        <w:rPr>
          <w:b/>
          <w:bCs/>
          <w:color w:val="2E7D32"/>
        </w:rPr>
        <w:t xml:space="preserve">No aul</w:t>
      </w:r>
      <w:r>
        <w:t xml:space="preserve"> — any deficiency falls on the </w:t>
      </w:r>
      <w:r>
        <w:rPr>
          <w:b/>
          <w:bCs/>
          <w:color w:val="2E7D32"/>
        </w:rPr>
        <w:t xml:space="preserve">daughters and sisters</w:t>
      </w:r>
      <w:r>
        <w:t xml:space="preserve">.</w:t>
      </w:r>
    </w:p>
    <w:p>
      <w:pPr>
        <w:pStyle w:val="ListParagraph"/>
        <w:numPr>
          <w:ilvl w:val="0"/>
          <w:numId w:val="15"/>
        </w:numPr>
        <w:spacing w:after="60" w:line="276"/>
      </w:pPr>
      <w:r>
        <w:rPr>
          <w:b/>
          <w:bCs/>
          <w:color w:val="2E7D32"/>
        </w:rPr>
        <w:t xml:space="preserve">Radd</w:t>
      </w:r>
      <w:r>
        <w:t xml:space="preserve"> — return to all sharers, including the </w:t>
      </w:r>
      <w:r>
        <w:rPr>
          <w:b/>
          <w:bCs/>
          <w:color w:val="2E7D32"/>
        </w:rPr>
        <w:t xml:space="preserve">husband</w:t>
      </w:r>
      <w:r>
        <w:t xml:space="preserve"> where there is no other heir (but not the wife).</w:t>
      </w:r>
    </w:p>
    <w:p>
      <w:pPr>
        <w:pStyle w:val="ListParagraph"/>
        <w:numPr>
          <w:ilvl w:val="0"/>
          <w:numId w:val="15"/>
        </w:numPr>
        <w:spacing w:after="60" w:line="276"/>
      </w:pPr>
      <w:r>
        <w:rPr>
          <w:b/>
          <w:bCs/>
          <w:color w:val="2E7D32"/>
        </w:rPr>
        <w:t xml:space="preserve">Full blood</w:t>
      </w:r>
      <w:r>
        <w:t xml:space="preserve"> excludes </w:t>
      </w:r>
      <w:r>
        <w:rPr>
          <w:b/>
          <w:bCs/>
          <w:color w:val="2E7D32"/>
        </w:rPr>
        <w:t xml:space="preserve">consanguine</w:t>
      </w:r>
      <w:r>
        <w:t xml:space="preserve">, but not </w:t>
      </w:r>
      <w:r>
        <w:rPr>
          <w:b/>
          <w:bCs/>
          <w:color w:val="2E7D32"/>
        </w:rPr>
        <w:t xml:space="preserve">uterine</w:t>
      </w:r>
      <w:r>
        <w:t xml:space="preserve">.</w:t>
      </w:r>
    </w:p>
    <w:p>
      <w:pPr>
        <w:pStyle w:val="ListParagraph"/>
        <w:numPr>
          <w:ilvl w:val="0"/>
          <w:numId w:val="15"/>
        </w:numPr>
        <w:spacing w:after="60" w:line="276"/>
      </w:pPr>
      <w:r>
        <w:rPr>
          <w:b/>
          <w:bCs/>
          <w:color w:val="2E7D32"/>
        </w:rPr>
        <w:t xml:space="preserve">Homicide</w:t>
      </w:r>
      <w:r>
        <w:t xml:space="preserve"> excludes only if </w:t>
      </w:r>
      <w:r>
        <w:rPr>
          <w:b/>
          <w:bCs/>
          <w:color w:val="2E7D32"/>
        </w:rPr>
        <w:t xml:space="preserve">intentional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Hanafi (Sunni)</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Ithna Ashari (Shia)</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Classification</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Sharers, residuaries, distant kindred</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Three classes of heirs by blood + spouses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Cognates</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Distant kindred only</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Heirs in their class (daughter's son in Class I)</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Representation</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None (except MFLO s. 4)</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Yes, within each class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Aul</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Yes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 deficit falls on daughters / sisters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Radd to spouse</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if any other heir</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Husband yes (if no other heir), wife no</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Bequest to an heir</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Needs other heirs' consent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Valid within one-third without consent</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Homicide</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unlawful homicide excludes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Only intentional homicide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Widow and land</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Shares in all property</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Value of immovables, corpus of movables (MFLO s. 4(2)–(5))</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1–5 in ten lines</w:t>
            </w:r>
          </w:p>
          <w:p>
            <w:pPr>
              <w:pStyle w:val="ListParagraph"/>
              <w:numPr>
                <w:ilvl w:val="0"/>
                <w:numId w:val="12"/>
              </w:numPr>
              <w:spacing w:after="60" w:line="276"/>
            </w:pPr>
            <w:r>
              <w:t xml:space="preserve">Succession opens at death; no transfer of spes successionis (</w:t>
            </w:r>
            <w:r>
              <w:rPr>
                <w:i/>
                <w:iCs/>
              </w:rPr>
              <w:t xml:space="preserve">Ghulam Ali</w:t>
            </w:r>
            <w:r>
              <w:t xml:space="preserve">, PLD 1990 SC 1); no birthright; tenants-in-common; nearer excludes remoter.</w:t>
            </w:r>
          </w:p>
          <w:p>
            <w:pPr>
              <w:pStyle w:val="ListParagraph"/>
              <w:numPr>
                <w:ilvl w:val="0"/>
                <w:numId w:val="12"/>
              </w:numPr>
              <w:spacing w:after="60" w:line="276"/>
            </w:pPr>
            <w:r>
              <w:t xml:space="preserve">Impediments: homicide, difference of religion, illegitimacy (from father); not unchastity, minority, remarriage.</w:t>
            </w:r>
          </w:p>
          <w:p>
            <w:pPr>
              <w:pStyle w:val="ListParagraph"/>
              <w:numPr>
                <w:ilvl w:val="0"/>
                <w:numId w:val="12"/>
              </w:numPr>
              <w:spacing w:after="60" w:line="276"/>
            </w:pPr>
            <w:r>
              <w:t xml:space="preserve">Estate: funeral → debts (dower) → legacies (1/3) → heirs; NADRA certificates (2020 Act; court only if NADRA declines); s. 498A PPC; Women's Property Rights Act 2020.</w:t>
            </w:r>
          </w:p>
          <w:p>
            <w:pPr>
              <w:pStyle w:val="ListParagraph"/>
              <w:numPr>
                <w:ilvl w:val="0"/>
                <w:numId w:val="12"/>
              </w:numPr>
              <w:spacing w:after="60" w:line="276"/>
            </w:pPr>
            <w:r>
              <w:t xml:space="preserve">Hanafi order: sharers → residuaries → distant kindred → others → State.</w:t>
            </w:r>
          </w:p>
          <w:p>
            <w:pPr>
              <w:pStyle w:val="ListParagraph"/>
              <w:numPr>
                <w:ilvl w:val="0"/>
                <w:numId w:val="12"/>
              </w:numPr>
              <w:spacing w:after="60" w:line="276"/>
            </w:pPr>
            <w:r>
              <w:t xml:space="preserve">Learn the 12 sharers' shares; six never excluded (husband, wife, father, mother, son, daughter).</w:t>
            </w:r>
          </w:p>
          <w:p>
            <w:pPr>
              <w:pStyle w:val="ListParagraph"/>
              <w:numPr>
                <w:ilvl w:val="0"/>
                <w:numId w:val="12"/>
              </w:numPr>
              <w:spacing w:after="60" w:line="276"/>
            </w:pPr>
            <w:r>
              <w:t xml:space="preserve">Residuaries: in own right, in another's right (female with male, 2:1), with another (sisters with daughters).</w:t>
            </w:r>
          </w:p>
          <w:p>
            <w:pPr>
              <w:pStyle w:val="ListParagraph"/>
              <w:numPr>
                <w:ilvl w:val="0"/>
                <w:numId w:val="12"/>
              </w:numPr>
              <w:spacing w:after="60" w:line="276"/>
            </w:pPr>
            <w:r>
              <w:t xml:space="preserve">Aul (shares &gt; 1 — reduce proportionately; Sunni only); radd (shares &lt; 1, no residuary — return, not to spouses).</w:t>
            </w:r>
          </w:p>
          <w:p>
            <w:pPr>
              <w:pStyle w:val="ListParagraph"/>
              <w:numPr>
                <w:ilvl w:val="0"/>
                <w:numId w:val="12"/>
              </w:numPr>
              <w:spacing w:after="60" w:line="276"/>
            </w:pPr>
            <w:r>
              <w:t xml:space="preserve">Umariyyatan: mother takes 1/3 of the remainder after the spouse.</w:t>
            </w:r>
          </w:p>
          <w:p>
            <w:pPr>
              <w:pStyle w:val="ListParagraph"/>
              <w:numPr>
                <w:ilvl w:val="0"/>
                <w:numId w:val="12"/>
              </w:numPr>
              <w:spacing w:after="60" w:line="276"/>
            </w:pPr>
            <w:r>
              <w:t xml:space="preserve">MFLO s. 4: orphaned grandchildren take their parent's share per stirpes; FSC view under appeal.</w:t>
            </w:r>
          </w:p>
          <w:p>
            <w:pPr>
              <w:pStyle w:val="ListParagraph"/>
              <w:numPr>
                <w:ilvl w:val="0"/>
                <w:numId w:val="12"/>
              </w:numPr>
              <w:spacing w:after="60" w:line="276"/>
            </w:pPr>
            <w:r>
              <w:t xml:space="preserve">Shia: three classes; representation; no aul; 2021 widow's share by value of immovables.</w:t>
            </w:r>
          </w:p>
        </w:tc>
      </w:tr>
    </w:tbl>
    <w:p>
      <w:pPr>
        <w:spacing w:after="80"/>
      </w:pPr>
    </w:p>
    <w:p>
      <w:pPr>
        <w:pStyle w:val="Heading1"/>
        <w:keepNext/>
        <w:pageBreakBefore/>
      </w:pPr>
      <w:bookmarkStart w:name="_h26" w:id="127"/>
      <w:r>
        <w:t xml:space="preserve">Chapter 6 · Wills (wasiyyat)</w:t>
      </w:r>
      <w:bookmarkEnd w:id="127"/>
    </w:p>
    <w:p>
      <w:pPr>
        <w:pStyle w:val="Heading2"/>
        <w:keepNext/>
      </w:pPr>
      <w:bookmarkStart w:name="_h27" w:id="128"/>
      <w:r>
        <w:t xml:space="preserve">6.1 Meaning and capacity</w:t>
      </w:r>
      <w:bookmarkEnd w:id="128"/>
    </w:p>
    <w:p>
      <w:pPr>
        <w:spacing w:after="120" w:line="288"/>
      </w:pPr>
      <w:r>
        <w:t xml:space="preserve">A </w:t>
      </w:r>
      <w:r>
        <w:rPr>
          <w:b/>
          <w:bCs/>
          <w:color w:val="2E7D32"/>
        </w:rPr>
        <w:t xml:space="preserve">will</w:t>
      </w:r>
      <w:r>
        <w:t xml:space="preserve"> is a disposition of property taking effect </w:t>
      </w:r>
      <w:r>
        <w:rPr>
          <w:b/>
          <w:bCs/>
          <w:color w:val="2E7D32"/>
        </w:rPr>
        <w:t xml:space="preserve">after death</w:t>
      </w:r>
      <w:r>
        <w:t xml:space="preserve">. Any </w:t>
      </w:r>
      <w:r>
        <w:rPr>
          <w:b/>
          <w:bCs/>
          <w:color w:val="2E7D32"/>
        </w:rPr>
        <w:t xml:space="preserve">adult</w:t>
      </w:r>
      <w:r>
        <w:t xml:space="preserve"> Muslim of </w:t>
      </w:r>
      <w:r>
        <w:rPr>
          <w:b/>
          <w:bCs/>
          <w:color w:val="2E7D32"/>
        </w:rPr>
        <w:t xml:space="preserve">sound mind</w:t>
      </w:r>
      <w:r>
        <w:t xml:space="preserve"> may make a will (a will by a minor is void; one made in a lucid interval is valid). It may be </w:t>
      </w:r>
      <w:r>
        <w:rPr>
          <w:b/>
          <w:bCs/>
          <w:color w:val="2E7D32"/>
        </w:rPr>
        <w:t xml:space="preserve">oral or written</w:t>
      </w:r>
      <w:r>
        <w:t xml:space="preserve">, and needs no particular form; a written will need not be signed or attested, though proof is easier if it is (Art. 79, QSO — attesting witnesses).</w:t>
      </w:r>
    </w:p>
    <w:p>
      <w:pPr>
        <w:pStyle w:val="Heading2"/>
        <w:keepNext/>
      </w:pPr>
      <w:bookmarkStart w:name="_h28" w:id="129"/>
      <w:r>
        <w:t xml:space="preserve">6.2 The one-third rule</w:t>
      </w:r>
      <w:bookmarkEnd w:id="129"/>
    </w:p>
    <w:p>
      <w:pPr>
        <w:pStyle w:val="ListParagraph"/>
        <w:numPr>
          <w:ilvl w:val="0"/>
          <w:numId w:val="16"/>
        </w:numPr>
        <w:spacing w:after="60" w:line="276"/>
      </w:pPr>
      <w:r>
        <w:t xml:space="preserve">A Muslim may bequeath </w:t>
      </w:r>
      <w:r>
        <w:rPr>
          <w:b/>
          <w:bCs/>
          <w:color w:val="2E7D32"/>
        </w:rPr>
        <w:t xml:space="preserve">not more than one-third</w:t>
      </w:r>
      <w:r>
        <w:t xml:space="preserve"> of his estate (after funeral expenses and debts). Hadith of </w:t>
      </w:r>
      <w:r>
        <w:rPr>
          <w:b/>
          <w:bCs/>
          <w:color w:val="2E7D32"/>
        </w:rPr>
        <w:t xml:space="preserve">Sa'd bin Abi Waqqas</w:t>
      </w:r>
      <w:r>
        <w:t xml:space="preserve">: "One-third, and even one-third is much; it is better to leave your heirs rich than to leave them dependent on others."</w:t>
      </w:r>
    </w:p>
    <w:p>
      <w:pPr>
        <w:pStyle w:val="ListParagraph"/>
        <w:numPr>
          <w:ilvl w:val="0"/>
          <w:numId w:val="16"/>
        </w:numPr>
        <w:spacing w:after="60" w:line="276"/>
      </w:pPr>
      <w:r>
        <w:t xml:space="preserve">A bequest </w:t>
      </w:r>
      <w:r>
        <w:rPr>
          <w:b/>
          <w:bCs/>
          <w:color w:val="2E7D32"/>
        </w:rPr>
        <w:t xml:space="preserve">exceeding</w:t>
      </w:r>
      <w:r>
        <w:t xml:space="preserve"> one-third is valid </w:t>
      </w:r>
      <w:r>
        <w:rPr>
          <w:b/>
          <w:bCs/>
          <w:color w:val="2E7D32"/>
        </w:rPr>
        <w:t xml:space="preserve">only to the extent the heirs consent</w:t>
      </w:r>
      <w:r>
        <w:t xml:space="preserve">, after the testator's </w:t>
      </w:r>
      <w:r>
        <w:rPr>
          <w:b/>
          <w:bCs/>
          <w:color w:val="2E7D32"/>
        </w:rPr>
        <w:t xml:space="preserve">death</w:t>
      </w:r>
      <w:r>
        <w:t xml:space="preserve"> (Hanafi); the consent of each heir binds his own share.</w:t>
      </w:r>
    </w:p>
    <w:p>
      <w:pPr>
        <w:pStyle w:val="ListParagraph"/>
        <w:numPr>
          <w:ilvl w:val="0"/>
          <w:numId w:val="16"/>
        </w:numPr>
        <w:spacing w:after="60" w:line="276"/>
      </w:pPr>
      <w:r>
        <w:t xml:space="preserve">If there are </w:t>
      </w:r>
      <w:r>
        <w:rPr>
          <w:b/>
          <w:bCs/>
          <w:color w:val="2E7D32"/>
        </w:rPr>
        <w:t xml:space="preserve">no heirs</w:t>
      </w:r>
      <w:r>
        <w:t xml:space="preserve">, the whole may be bequeathed.</w:t>
      </w:r>
    </w:p>
    <w:p>
      <w:pPr>
        <w:pStyle w:val="Heading2"/>
        <w:keepNext/>
      </w:pPr>
      <w:bookmarkStart w:name="_h29" w:id="130"/>
      <w:r>
        <w:t xml:space="preserve">6.3 Bequest to an heir</w:t>
      </w:r>
      <w:bookmarkEnd w:id="130"/>
    </w:p>
    <w:p>
      <w:pPr>
        <w:spacing w:after="120" w:line="288"/>
      </w:pPr>
      <w:r>
        <w:t xml:space="preserve">"There is no bequest in favour of an heir" (Hadith). Under </w:t>
      </w:r>
      <w:r>
        <w:rPr>
          <w:b/>
          <w:bCs/>
          <w:color w:val="2E7D32"/>
        </w:rPr>
        <w:t xml:space="preserve">Hanafi</w:t>
      </w:r>
      <w:r>
        <w:t xml:space="preserve"> law a bequest to an </w:t>
      </w:r>
      <w:r>
        <w:rPr>
          <w:b/>
          <w:bCs/>
          <w:color w:val="2E7D32"/>
        </w:rPr>
        <w:t xml:space="preserve">heir</w:t>
      </w:r>
      <w:r>
        <w:t xml:space="preserve"> is invalid </w:t>
      </w:r>
      <w:r>
        <w:rPr>
          <w:b/>
          <w:bCs/>
          <w:color w:val="2E7D32"/>
        </w:rPr>
        <w:t xml:space="preserve">unless the other heirs consent</w:t>
      </w:r>
      <w:r>
        <w:t xml:space="preserve"> after the testator's death. Under </w:t>
      </w:r>
      <w:r>
        <w:rPr>
          <w:b/>
          <w:bCs/>
          <w:color w:val="2E7D32"/>
        </w:rPr>
        <w:t xml:space="preserve">Shia</w:t>
      </w:r>
      <w:r>
        <w:t xml:space="preserve"> law a bequest to an heir is valid </w:t>
      </w:r>
      <w:r>
        <w:rPr>
          <w:b/>
          <w:bCs/>
          <w:color w:val="2E7D32"/>
        </w:rPr>
        <w:t xml:space="preserve">within one-third</w:t>
      </w:r>
      <w:r>
        <w:t xml:space="preserve"> without consent. (A bequest to a non-heir — e.g., an orphaned grandchild excluded by a son — is the classical way of providing for him: </w:t>
      </w:r>
      <w:r>
        <w:rPr>
          <w:i/>
          <w:iCs/>
        </w:rPr>
        <w:t xml:space="preserve">wasiyyat wajibah</w:t>
      </w:r>
      <w:r>
        <w:t xml:space="preserve"> in some modern codes.)</w:t>
      </w:r>
    </w:p>
    <w:p>
      <w:pPr>
        <w:pStyle w:val="Heading2"/>
        <w:keepNext/>
      </w:pPr>
      <w:bookmarkStart w:name="_h30" w:id="131"/>
      <w:r>
        <w:t xml:space="preserve">6.4 Other rules</w:t>
      </w:r>
      <w:bookmarkEnd w:id="131"/>
    </w:p>
    <w:p>
      <w:pPr>
        <w:pStyle w:val="ListParagraph"/>
        <w:numPr>
          <w:ilvl w:val="0"/>
          <w:numId w:val="17"/>
        </w:numPr>
        <w:spacing w:after="60" w:line="276"/>
      </w:pPr>
      <w:r>
        <w:rPr>
          <w:b/>
          <w:bCs/>
          <w:color w:val="2E7D32"/>
        </w:rPr>
        <w:t xml:space="preserve">Legatee</w:t>
      </w:r>
      <w:r>
        <w:t xml:space="preserve"> — must be </w:t>
      </w:r>
      <w:r>
        <w:rPr>
          <w:b/>
          <w:bCs/>
          <w:color w:val="2E7D32"/>
        </w:rPr>
        <w:t xml:space="preserve">in existence</w:t>
      </w:r>
      <w:r>
        <w:t xml:space="preserve"> at the testator's death (a child in the womb born within six months qualifies); a bequest may be to a non-Muslim, or for a charitable purpose; a legatee who </w:t>
      </w:r>
      <w:r>
        <w:rPr>
          <w:b/>
          <w:bCs/>
          <w:color w:val="2E7D32"/>
        </w:rPr>
        <w:t xml:space="preserve">kills</w:t>
      </w:r>
      <w:r>
        <w:t xml:space="preserve"> the testator cannot take.</w:t>
      </w:r>
    </w:p>
    <w:p>
      <w:pPr>
        <w:pStyle w:val="ListParagraph"/>
        <w:numPr>
          <w:ilvl w:val="0"/>
          <w:numId w:val="17"/>
        </w:numPr>
        <w:spacing w:after="60" w:line="276"/>
      </w:pPr>
      <w:r>
        <w:rPr>
          <w:b/>
          <w:bCs/>
          <w:color w:val="2E7D32"/>
        </w:rPr>
        <w:t xml:space="preserve">Subject</w:t>
      </w:r>
      <w:r>
        <w:t xml:space="preserve"> — property </w:t>
      </w:r>
      <w:r>
        <w:rPr>
          <w:b/>
          <w:bCs/>
          <w:color w:val="2E7D32"/>
        </w:rPr>
        <w:t xml:space="preserve">existing</w:t>
      </w:r>
      <w:r>
        <w:t xml:space="preserve"> at the testator's death; a bequest of future produce or usufruct is valid.</w:t>
      </w:r>
    </w:p>
    <w:p>
      <w:pPr>
        <w:pStyle w:val="ListParagraph"/>
        <w:numPr>
          <w:ilvl w:val="0"/>
          <w:numId w:val="17"/>
        </w:numPr>
        <w:spacing w:after="60" w:line="276"/>
      </w:pPr>
      <w:r>
        <w:rPr>
          <w:b/>
          <w:bCs/>
          <w:color w:val="2E7D32"/>
        </w:rPr>
        <w:t xml:space="preserve">Acceptance</w:t>
      </w:r>
      <w:r>
        <w:t xml:space="preserve"> — after death; </w:t>
      </w:r>
      <w:r>
        <w:rPr>
          <w:b/>
          <w:bCs/>
          <w:color w:val="2E7D32"/>
        </w:rPr>
        <w:t xml:space="preserve">revocation</w:t>
      </w:r>
      <w:r>
        <w:t xml:space="preserve"> — a will may be revoked at any time, expressly or by conduct (e.g., selling the bequeathed property).</w:t>
      </w:r>
    </w:p>
    <w:p>
      <w:pPr>
        <w:pStyle w:val="ListParagraph"/>
        <w:numPr>
          <w:ilvl w:val="0"/>
          <w:numId w:val="17"/>
        </w:numPr>
        <w:spacing w:after="60" w:line="276"/>
      </w:pPr>
      <w:r>
        <w:rPr>
          <w:b/>
          <w:bCs/>
          <w:color w:val="2E7D32"/>
        </w:rPr>
        <w:t xml:space="preserve">Conditional bequests</w:t>
      </w:r>
      <w:r>
        <w:t xml:space="preserve"> — a condition derogating from the absolute nature of the bequest is </w:t>
      </w:r>
      <w:r>
        <w:rPr>
          <w:b/>
          <w:bCs/>
          <w:color w:val="2E7D32"/>
        </w:rPr>
        <w:t xml:space="preserve">void</w:t>
      </w:r>
      <w:r>
        <w:t xml:space="preserve">, and the bequest takes effect as absolute (Hanafi).</w:t>
      </w:r>
    </w:p>
    <w:p>
      <w:pPr>
        <w:pStyle w:val="ListParagraph"/>
        <w:numPr>
          <w:ilvl w:val="0"/>
          <w:numId w:val="17"/>
        </w:numPr>
        <w:spacing w:after="60" w:line="276"/>
      </w:pPr>
      <w:r>
        <w:rPr>
          <w:b/>
          <w:bCs/>
          <w:color w:val="2E7D32"/>
        </w:rPr>
        <w:t xml:space="preserve">Abatement</w:t>
      </w:r>
      <w:r>
        <w:t xml:space="preserve"> — if bequests exceed one-third and heirs do not consent, they abate </w:t>
      </w:r>
      <w:r>
        <w:rPr>
          <w:b/>
          <w:bCs/>
          <w:color w:val="2E7D32"/>
        </w:rPr>
        <w:t xml:space="preserve">rateably</w:t>
      </w:r>
      <w:r>
        <w:t xml:space="preserve">.</w:t>
      </w:r>
    </w:p>
    <w:p>
      <w:pPr>
        <w:pStyle w:val="Heading2"/>
        <w:keepNext/>
      </w:pPr>
      <w:bookmarkStart w:name="_h31" w:id="132"/>
      <w:r>
        <w:t xml:space="preserve">6.5 Death-bed transactions (marz-ul-maut)</w:t>
      </w:r>
      <w:bookmarkEnd w:id="132"/>
    </w:p>
    <w:p>
      <w:pPr>
        <w:spacing w:after="120" w:line="288"/>
      </w:pPr>
      <w:r>
        <w:rPr>
          <w:b/>
          <w:bCs/>
          <w:color w:val="2E7D32"/>
        </w:rPr>
        <w:t xml:space="preserve">Marz-ul-maut</w:t>
      </w:r>
      <w:r>
        <w:t xml:space="preserve"> is an illness which (i) causes </w:t>
      </w:r>
      <w:r>
        <w:rPr>
          <w:b/>
          <w:bCs/>
          <w:color w:val="2E7D32"/>
        </w:rPr>
        <w:t xml:space="preserve">apprehension of death</w:t>
      </w:r>
      <w:r>
        <w:t xml:space="preserve"> in the mind of the sick person, (ii) is accompanied by external signs of serious illness, and (iii) actually </w:t>
      </w:r>
      <w:r>
        <w:rPr>
          <w:b/>
          <w:bCs/>
          <w:color w:val="2E7D32"/>
        </w:rPr>
        <w:t xml:space="preserve">ends in death</w:t>
      </w:r>
      <w:r>
        <w:t xml:space="preserve"> — usually within </w:t>
      </w:r>
      <w:r>
        <w:rPr>
          <w:b/>
          <w:bCs/>
          <w:color w:val="2E7D32"/>
        </w:rPr>
        <w:t xml:space="preserve">one year</w:t>
      </w:r>
      <w:r>
        <w:t xml:space="preserve"> (a long chronic illness is not marz-ul-maut unless it suddenly becomes acute).</w:t>
      </w:r>
    </w:p>
    <w:p>
      <w:pPr>
        <w:spacing w:after="120" w:line="288"/>
      </w:pPr>
      <w:r>
        <w:t xml:space="preserve">A </w:t>
      </w:r>
      <w:r>
        <w:rPr>
          <w:b/>
          <w:bCs/>
          <w:color w:val="2E7D32"/>
        </w:rPr>
        <w:t xml:space="preserve">gift</w:t>
      </w:r>
      <w:r>
        <w:t xml:space="preserve">, </w:t>
      </w:r>
      <w:r>
        <w:rPr>
          <w:b/>
          <w:bCs/>
          <w:color w:val="2E7D32"/>
        </w:rPr>
        <w:t xml:space="preserve">acknowledgment of debt</w:t>
      </w:r>
      <w:r>
        <w:t xml:space="preserve">, or </w:t>
      </w:r>
      <w:r>
        <w:rPr>
          <w:b/>
          <w:bCs/>
          <w:color w:val="2E7D32"/>
        </w:rPr>
        <w:t xml:space="preserve">waqf</w:t>
      </w:r>
      <w:r>
        <w:t xml:space="preserve"> made during marz-ul-maut takes effect as a </w:t>
      </w:r>
      <w:r>
        <w:rPr>
          <w:b/>
          <w:bCs/>
          <w:color w:val="2E7D32"/>
        </w:rPr>
        <w:t xml:space="preserve">will</w:t>
      </w:r>
      <w:r>
        <w:t xml:space="preserve">: it is valid only up to </w:t>
      </w:r>
      <w:r>
        <w:rPr>
          <w:b/>
          <w:bCs/>
          <w:color w:val="2E7D32"/>
        </w:rPr>
        <w:t xml:space="preserve">one-third</w:t>
      </w:r>
      <w:r>
        <w:t xml:space="preserve"> of the estate, and in favour of an </w:t>
      </w:r>
      <w:r>
        <w:rPr>
          <w:b/>
          <w:bCs/>
          <w:color w:val="2E7D32"/>
        </w:rPr>
        <w:t xml:space="preserve">heir</w:t>
      </w:r>
      <w:r>
        <w:t xml:space="preserve"> only with the other heirs' consent. A divorce in marz-ul-maut does not deprive the wife of inheritance if he dies during her iddat (Topic 1).</w:t>
      </w:r>
    </w:p>
    <w:p>
      <w:pPr>
        <w:pStyle w:val="Heading1"/>
        <w:keepNext/>
        <w:pageBreakBefore/>
      </w:pPr>
      <w:bookmarkStart w:name="_h32" w:id="133"/>
      <w:r>
        <w:t xml:space="preserve">Chapter 7 · Gifts (hiba)</w:t>
      </w:r>
      <w:bookmarkEnd w:id="133"/>
    </w:p>
    <w:p>
      <w:pPr>
        <w:pStyle w:val="Heading2"/>
        <w:keepNext/>
      </w:pPr>
      <w:bookmarkStart w:name="_h33" w:id="134"/>
      <w:r>
        <w:t xml:space="preserve">7.1 Meaning and essentials</w:t>
      </w:r>
      <w:bookmarkEnd w:id="134"/>
    </w:p>
    <w:p>
      <w:pPr>
        <w:spacing w:after="120" w:line="288"/>
      </w:pPr>
      <w:r>
        <w:rPr>
          <w:b/>
          <w:bCs/>
          <w:color w:val="2E7D32"/>
        </w:rPr>
        <w:t xml:space="preserve">Hiba</w:t>
      </w:r>
      <w:r>
        <w:t xml:space="preserve"> is "a transfer of property, made </w:t>
      </w:r>
      <w:r>
        <w:rPr>
          <w:b/>
          <w:bCs/>
          <w:color w:val="2E7D32"/>
        </w:rPr>
        <w:t xml:space="preserve">immediately</w:t>
      </w:r>
      <w:r>
        <w:t xml:space="preserve"> and </w:t>
      </w:r>
      <w:r>
        <w:rPr>
          <w:b/>
          <w:bCs/>
          <w:color w:val="2E7D32"/>
        </w:rPr>
        <w:t xml:space="preserve">without any exchange</w:t>
      </w:r>
      <w:r>
        <w:t xml:space="preserve">, by one person to another, and </w:t>
      </w:r>
      <w:r>
        <w:rPr>
          <w:b/>
          <w:bCs/>
          <w:color w:val="2E7D32"/>
        </w:rPr>
        <w:t xml:space="preserve">accepted</w:t>
      </w:r>
      <w:r>
        <w:t xml:space="preserve"> by or on behalf of the latter" (Mulla, para 138).</w:t>
      </w:r>
    </w:p>
    <w:p>
      <w:pPr>
        <w:spacing w:after="120" w:line="288"/>
      </w:pPr>
      <w:r>
        <w:rPr>
          <w:b/>
          <w:bCs/>
          <w:color w:val="2E7D32"/>
        </w:rPr>
        <w:t xml:space="preserve">Three essentials:</w:t>
      </w:r>
    </w:p>
    <w:p>
      <w:pPr>
        <w:pStyle w:val="ListParagraph"/>
        <w:numPr>
          <w:ilvl w:val="0"/>
          <w:numId w:val="18"/>
        </w:numPr>
        <w:spacing w:after="60" w:line="276"/>
      </w:pPr>
      <w:r>
        <w:rPr>
          <w:b/>
          <w:bCs/>
          <w:color w:val="2E7D32"/>
        </w:rPr>
        <w:t xml:space="preserve">Declaration</w:t>
      </w:r>
      <w:r>
        <w:t xml:space="preserve"> of the gift by the donor (</w:t>
      </w:r>
      <w:r>
        <w:rPr>
          <w:i/>
          <w:iCs/>
        </w:rPr>
        <w:t xml:space="preserve">ijab</w:t>
      </w:r>
      <w:r>
        <w:t xml:space="preserve">) — a clear intention to give now;</w:t>
      </w:r>
    </w:p>
    <w:p>
      <w:pPr>
        <w:pStyle w:val="ListParagraph"/>
        <w:numPr>
          <w:ilvl w:val="0"/>
          <w:numId w:val="18"/>
        </w:numPr>
        <w:spacing w:after="60" w:line="276"/>
      </w:pPr>
      <w:r>
        <w:rPr>
          <w:b/>
          <w:bCs/>
          <w:color w:val="2E7D32"/>
        </w:rPr>
        <w:t xml:space="preserve">Acceptance</w:t>
      </w:r>
      <w:r>
        <w:t xml:space="preserve"> by the donee (</w:t>
      </w:r>
      <w:r>
        <w:rPr>
          <w:i/>
          <w:iCs/>
        </w:rPr>
        <w:t xml:space="preserve">qabul</w:t>
      </w:r>
      <w:r>
        <w:t xml:space="preserve">), express or implied; and</w:t>
      </w:r>
    </w:p>
    <w:p>
      <w:pPr>
        <w:pStyle w:val="ListParagraph"/>
        <w:numPr>
          <w:ilvl w:val="0"/>
          <w:numId w:val="18"/>
        </w:numPr>
        <w:spacing w:after="60" w:line="276"/>
      </w:pPr>
      <w:r>
        <w:rPr>
          <w:b/>
          <w:bCs/>
          <w:color w:val="2E7D32"/>
        </w:rPr>
        <w:t xml:space="preserve">Delivery of possession</w:t>
      </w:r>
      <w:r>
        <w:t xml:space="preserve"> (</w:t>
      </w:r>
      <w:r>
        <w:rPr>
          <w:i/>
          <w:iCs/>
        </w:rPr>
        <w:t xml:space="preserve">qabza</w:t>
      </w:r>
      <w:r>
        <w:t xml:space="preserve">) of the subject of the gift — actual or </w:t>
      </w:r>
      <w:r>
        <w:rPr>
          <w:b/>
          <w:bCs/>
          <w:color w:val="2E7D32"/>
        </w:rPr>
        <w:t xml:space="preserve">constructive</w:t>
      </w:r>
      <w:r>
        <w:t xml:space="preserve">.</w:t>
      </w:r>
    </w:p>
    <w:p>
      <w:pPr>
        <w:spacing w:after="120" w:line="288"/>
      </w:pPr>
      <w:r>
        <w:rPr>
          <w:b/>
          <w:bCs/>
          <w:color w:val="2E7D32"/>
        </w:rPr>
        <w:t xml:space="preserve">Capacity:</w:t>
      </w:r>
      <w:r>
        <w:t xml:space="preserve"> the donor must be </w:t>
      </w:r>
      <w:r>
        <w:rPr>
          <w:b/>
          <w:bCs/>
          <w:color w:val="2E7D32"/>
        </w:rPr>
        <w:t xml:space="preserve">adult</w:t>
      </w:r>
      <w:r>
        <w:t xml:space="preserve">, of </w:t>
      </w:r>
      <w:r>
        <w:rPr>
          <w:b/>
          <w:bCs/>
          <w:color w:val="2E7D32"/>
        </w:rPr>
        <w:t xml:space="preserve">sound mind</w:t>
      </w:r>
      <w:r>
        <w:t xml:space="preserve">, and the </w:t>
      </w:r>
      <w:r>
        <w:rPr>
          <w:b/>
          <w:bCs/>
          <w:color w:val="2E7D32"/>
        </w:rPr>
        <w:t xml:space="preserve">owner</w:t>
      </w:r>
      <w:r>
        <w:t xml:space="preserve"> of the property; the gift must be </w:t>
      </w:r>
      <w:r>
        <w:rPr>
          <w:b/>
          <w:bCs/>
          <w:color w:val="2E7D32"/>
        </w:rPr>
        <w:t xml:space="preserve">free</w:t>
      </w:r>
      <w:r>
        <w:t xml:space="preserve"> (not under coercion or undue influence — a heavy burden lies on the donee where the donor was old, illiterate or a pardanashin woman). The donee may be anyone in existence, including a minor (acceptance by guardian) or a non-Muslim.</w:t>
      </w:r>
    </w:p>
    <w:p>
      <w:pPr>
        <w:pStyle w:val="Heading2"/>
        <w:keepNext/>
      </w:pPr>
      <w:bookmarkStart w:name="_h34" w:id="135"/>
      <w:r>
        <w:t xml:space="preserve">7.2 Delivery of possession</w:t>
      </w:r>
      <w:bookmarkEnd w:id="135"/>
    </w:p>
    <w:p>
      <w:pPr>
        <w:pStyle w:val="ListParagraph"/>
        <w:numPr>
          <w:ilvl w:val="0"/>
          <w:numId w:val="19"/>
        </w:numPr>
        <w:spacing w:after="60" w:line="276"/>
      </w:pPr>
      <w:r>
        <w:t xml:space="preserve">"A gift is </w:t>
      </w:r>
      <w:r>
        <w:rPr>
          <w:b/>
          <w:bCs/>
          <w:color w:val="2E7D32"/>
        </w:rPr>
        <w:t xml:space="preserve">not valid unless accompanied by delivery of possession</w:t>
      </w:r>
      <w:r>
        <w:t xml:space="preserve">" — a gift without possession is </w:t>
      </w:r>
      <w:r>
        <w:rPr>
          <w:b/>
          <w:bCs/>
          <w:color w:val="2E7D32"/>
        </w:rPr>
        <w:t xml:space="preserve">void</w:t>
      </w:r>
      <w:r>
        <w:t xml:space="preserve"> (Hadith: "a gift is not valid without seisin").</w:t>
      </w:r>
    </w:p>
    <w:p>
      <w:pPr>
        <w:pStyle w:val="ListParagraph"/>
        <w:numPr>
          <w:ilvl w:val="0"/>
          <w:numId w:val="19"/>
        </w:numPr>
        <w:spacing w:after="60" w:line="276"/>
      </w:pPr>
      <w:r>
        <w:rPr>
          <w:b/>
          <w:bCs/>
          <w:color w:val="2E7D32"/>
        </w:rPr>
        <w:t xml:space="preserve">Mode</w:t>
      </w:r>
      <w:r>
        <w:t xml:space="preserve"> depends on the nature of the property: physical delivery of movables; giving </w:t>
      </w:r>
      <w:r>
        <w:rPr>
          <w:b/>
          <w:bCs/>
          <w:color w:val="2E7D32"/>
        </w:rPr>
        <w:t xml:space="preserve">possession</w:t>
      </w:r>
      <w:r>
        <w:t xml:space="preserve"> of land, or of the </w:t>
      </w:r>
      <w:r>
        <w:rPr>
          <w:b/>
          <w:bCs/>
          <w:color w:val="2E7D32"/>
        </w:rPr>
        <w:t xml:space="preserve">rents</w:t>
      </w:r>
      <w:r>
        <w:t xml:space="preserve"> where it is let (by asking tenants to attorn to the donee); transfer of title documents may help.</w:t>
      </w:r>
    </w:p>
    <w:p>
      <w:pPr>
        <w:pStyle w:val="ListParagraph"/>
        <w:numPr>
          <w:ilvl w:val="0"/>
          <w:numId w:val="19"/>
        </w:numPr>
        <w:spacing w:after="60" w:line="276"/>
      </w:pPr>
      <w:r>
        <w:rPr>
          <w:b/>
          <w:bCs/>
          <w:color w:val="2E7D32"/>
        </w:rPr>
        <w:t xml:space="preserve">Exceptions — no physical delivery needed</w:t>
      </w:r>
      <w:r>
        <w:t xml:space="preserve"> where (a) the donor and donee </w:t>
      </w:r>
      <w:r>
        <w:rPr>
          <w:b/>
          <w:bCs/>
          <w:color w:val="2E7D32"/>
        </w:rPr>
        <w:t xml:space="preserve">live together</w:t>
      </w:r>
      <w:r>
        <w:t xml:space="preserve"> in the house given (e.g., husband to wife), and the donor's intention is clear; (b) a </w:t>
      </w:r>
      <w:r>
        <w:rPr>
          <w:b/>
          <w:bCs/>
          <w:color w:val="2E7D32"/>
        </w:rPr>
        <w:t xml:space="preserve">father or guardian</w:t>
      </w:r>
      <w:r>
        <w:t xml:space="preserve"> gives to his </w:t>
      </w:r>
      <w:r>
        <w:rPr>
          <w:b/>
          <w:bCs/>
          <w:color w:val="2E7D32"/>
        </w:rPr>
        <w:t xml:space="preserve">minor child</w:t>
      </w:r>
      <w:r>
        <w:t xml:space="preserve"> or ward — his continued possession is on the child's behalf; (c) the donee is </w:t>
      </w:r>
      <w:r>
        <w:rPr>
          <w:b/>
          <w:bCs/>
          <w:color w:val="2E7D32"/>
        </w:rPr>
        <w:t xml:space="preserve">already in possession</w:t>
      </w:r>
      <w:r>
        <w:t xml:space="preserve"> (e.g., a tenant or a bailee); (d) the gift is of property </w:t>
      </w:r>
      <w:r>
        <w:rPr>
          <w:b/>
          <w:bCs/>
          <w:color w:val="2E7D32"/>
        </w:rPr>
        <w:t xml:space="preserve">incapable of physical possession</w:t>
      </w:r>
      <w:r>
        <w:t xml:space="preserve"> (e.g., a debt, or shares — by transfer of the right).</w:t>
      </w:r>
    </w:p>
    <w:p>
      <w:pPr>
        <w:pStyle w:val="Heading2"/>
        <w:keepNext/>
      </w:pPr>
      <w:bookmarkStart w:name="_h35" w:id="136"/>
      <w:r>
        <w:t xml:space="preserve">7.3 Gift of musha (undivided share)</w:t>
      </w:r>
      <w:bookmarkEnd w:id="136"/>
    </w:p>
    <w:p>
      <w:pPr>
        <w:spacing w:after="120" w:line="288"/>
      </w:pPr>
      <w:r>
        <w:rPr>
          <w:b/>
          <w:bCs/>
          <w:color w:val="2E7D32"/>
        </w:rPr>
        <w:t xml:space="preserve">Musha</w:t>
      </w:r>
      <w:r>
        <w:t xml:space="preserve"> is an undivided share in property.</w:t>
      </w:r>
    </w:p>
    <w:p>
      <w:pPr>
        <w:pStyle w:val="ListParagraph"/>
        <w:numPr>
          <w:ilvl w:val="0"/>
          <w:numId w:val="20"/>
        </w:numPr>
        <w:spacing w:after="60" w:line="276"/>
      </w:pPr>
      <w:r>
        <w:rPr>
          <w:b/>
          <w:bCs/>
          <w:color w:val="2E7D32"/>
        </w:rPr>
        <w:t xml:space="preserve">Hanafi rule:</w:t>
      </w:r>
      <w:r>
        <w:t xml:space="preserve"> a gift of an undivided share in property </w:t>
      </w:r>
      <w:r>
        <w:rPr>
          <w:b/>
          <w:bCs/>
          <w:color w:val="2E7D32"/>
        </w:rPr>
        <w:t xml:space="preserve">capable of division</w:t>
      </w:r>
      <w:r>
        <w:t xml:space="preserve"> is </w:t>
      </w:r>
      <w:r>
        <w:rPr>
          <w:b/>
          <w:bCs/>
          <w:color w:val="2E7D32"/>
        </w:rPr>
        <w:t xml:space="preserve">irregular</w:t>
      </w:r>
      <w:r>
        <w:t xml:space="preserve"> (</w:t>
      </w:r>
      <w:r>
        <w:rPr>
          <w:i/>
          <w:iCs/>
        </w:rPr>
        <w:t xml:space="preserve">fasid</w:t>
      </w:r>
      <w:r>
        <w:t xml:space="preserve">) — not void — and becomes </w:t>
      </w:r>
      <w:r>
        <w:rPr>
          <w:b/>
          <w:bCs/>
          <w:color w:val="2E7D32"/>
        </w:rPr>
        <w:t xml:space="preserve">valid</w:t>
      </w:r>
      <w:r>
        <w:t xml:space="preserve"> when the share is </w:t>
      </w:r>
      <w:r>
        <w:rPr>
          <w:b/>
          <w:bCs/>
          <w:color w:val="2E7D32"/>
        </w:rPr>
        <w:t xml:space="preserve">divided and possession delivered</w:t>
      </w:r>
      <w:r>
        <w:t xml:space="preserve">.</w:t>
      </w:r>
    </w:p>
    <w:p>
      <w:pPr>
        <w:pStyle w:val="ListParagraph"/>
        <w:numPr>
          <w:ilvl w:val="0"/>
          <w:numId w:val="20"/>
        </w:numPr>
        <w:spacing w:after="60" w:line="276"/>
      </w:pPr>
      <w:r>
        <w:rPr>
          <w:b/>
          <w:bCs/>
          <w:color w:val="2E7D32"/>
        </w:rPr>
        <w:t xml:space="preserve">Exceptions</w:t>
      </w:r>
      <w:r>
        <w:t xml:space="preserve"> (gift of musha valid): (a) property </w:t>
      </w:r>
      <w:r>
        <w:rPr>
          <w:b/>
          <w:bCs/>
          <w:color w:val="2E7D32"/>
        </w:rPr>
        <w:t xml:space="preserve">incapable of division</w:t>
      </w:r>
      <w:r>
        <w:t xml:space="preserve"> (a house, a bath, a small shop); (b) gift to a </w:t>
      </w:r>
      <w:r>
        <w:rPr>
          <w:b/>
          <w:bCs/>
          <w:color w:val="2E7D32"/>
        </w:rPr>
        <w:t xml:space="preserve">co-heir</w:t>
      </w:r>
      <w:r>
        <w:t xml:space="preserve"> of a share in </w:t>
      </w:r>
      <w:r>
        <w:rPr>
          <w:b/>
          <w:bCs/>
          <w:color w:val="2E7D32"/>
        </w:rPr>
        <w:t xml:space="preserve">inherited</w:t>
      </w:r>
      <w:r>
        <w:t xml:space="preserve"> property; (c) gift of a share in a </w:t>
      </w:r>
      <w:r>
        <w:rPr>
          <w:b/>
          <w:bCs/>
          <w:color w:val="2E7D32"/>
        </w:rPr>
        <w:t xml:space="preserve">company</w:t>
      </w:r>
      <w:r>
        <w:t xml:space="preserve"> or </w:t>
      </w:r>
      <w:r>
        <w:rPr>
          <w:b/>
          <w:bCs/>
          <w:color w:val="2E7D32"/>
        </w:rPr>
        <w:t xml:space="preserve">freehold</w:t>
      </w:r>
      <w:r>
        <w:t xml:space="preserve"> in a large commercial town; (d) gift of a share in </w:t>
      </w:r>
      <w:r>
        <w:rPr>
          <w:b/>
          <w:bCs/>
          <w:color w:val="2E7D32"/>
        </w:rPr>
        <w:t xml:space="preserve">zamindari</w:t>
      </w:r>
      <w:r>
        <w:t xml:space="preserve"> or land held in definite shares.</w:t>
      </w:r>
    </w:p>
    <w:p>
      <w:pPr>
        <w:pStyle w:val="ListParagraph"/>
        <w:numPr>
          <w:ilvl w:val="0"/>
          <w:numId w:val="20"/>
        </w:numPr>
        <w:spacing w:after="60" w:line="276"/>
      </w:pPr>
      <w:r>
        <w:rPr>
          <w:b/>
          <w:bCs/>
          <w:color w:val="2E7D32"/>
        </w:rPr>
        <w:t xml:space="preserve">Shia law:</w:t>
      </w:r>
      <w:r>
        <w:t xml:space="preserve"> a gift of musha is </w:t>
      </w:r>
      <w:r>
        <w:rPr>
          <w:b/>
          <w:bCs/>
          <w:color w:val="2E7D32"/>
        </w:rPr>
        <w:t xml:space="preserve">valid</w:t>
      </w:r>
      <w:r>
        <w:t xml:space="preserve"> if possession is given.</w:t>
      </w:r>
    </w:p>
    <w:p>
      <w:pPr>
        <w:pStyle w:val="ListParagraph"/>
        <w:numPr>
          <w:ilvl w:val="0"/>
          <w:numId w:val="20"/>
        </w:numPr>
        <w:spacing w:after="60" w:line="276"/>
      </w:pPr>
      <w:r>
        <w:t xml:space="preserve">In Pakistan, where most land is held in undivided shares and mutations record shares, courts have held gifts of </w:t>
      </w:r>
      <w:r>
        <w:rPr>
          <w:b/>
          <w:bCs/>
          <w:color w:val="2E7D32"/>
        </w:rPr>
        <w:t xml:space="preserve">definite shares</w:t>
      </w:r>
      <w:r>
        <w:t xml:space="preserve"> in land valid when the donee is put in possession of the share (through the revenue record and possession).</w:t>
      </w:r>
    </w:p>
    <w:p>
      <w:pPr>
        <w:pStyle w:val="Heading2"/>
        <w:keepNext/>
      </w:pPr>
      <w:bookmarkStart w:name="_h36" w:id="137"/>
      <w:r>
        <w:t xml:space="preserve">7.4 Registration and proof of gifts in Pakistan</w:t>
      </w:r>
      <w:bookmarkEnd w:id="137"/>
    </w:p>
    <w:p>
      <w:pPr>
        <w:pStyle w:val="ListParagraph"/>
        <w:numPr>
          <w:ilvl w:val="0"/>
          <w:numId w:val="21"/>
        </w:numPr>
        <w:spacing w:after="60" w:line="276"/>
      </w:pPr>
      <w:r>
        <w:t xml:space="preserve">Under </w:t>
      </w:r>
      <w:r>
        <w:rPr>
          <w:b/>
          <w:bCs/>
          <w:color w:val="2E7D32"/>
        </w:rPr>
        <w:t xml:space="preserve">s. 129 of the Transfer of Property Act 1882</w:t>
      </w:r>
      <w:r>
        <w:t xml:space="preserve">, nothing in the TPA chapter on gifts (including </w:t>
      </w:r>
      <w:r>
        <w:rPr>
          <w:b/>
          <w:bCs/>
          <w:color w:val="2E7D32"/>
        </w:rPr>
        <w:t xml:space="preserve">s. 123</w:t>
      </w:r>
      <w:r>
        <w:t xml:space="preserve">, which requires a </w:t>
      </w:r>
      <w:r>
        <w:rPr>
          <w:b/>
          <w:bCs/>
          <w:color w:val="2E7D32"/>
        </w:rPr>
        <w:t xml:space="preserve">registered instrument</w:t>
      </w:r>
      <w:r>
        <w:t xml:space="preserve"> for a gift of immovable property) affects any rule of </w:t>
      </w:r>
      <w:r>
        <w:rPr>
          <w:b/>
          <w:bCs/>
          <w:color w:val="2E7D32"/>
        </w:rPr>
        <w:t xml:space="preserve">Muhammadan law</w:t>
      </w:r>
      <w:r>
        <w:t xml:space="preserve">. A Muslim may therefore make a </w:t>
      </w:r>
      <w:r>
        <w:rPr>
          <w:b/>
          <w:bCs/>
          <w:color w:val="2E7D32"/>
        </w:rPr>
        <w:t xml:space="preserve">valid oral gift</w:t>
      </w:r>
      <w:r>
        <w:t xml:space="preserve"> of immovable property (declaration, acceptance and possession).</w:t>
      </w:r>
    </w:p>
    <w:p>
      <w:pPr>
        <w:pStyle w:val="ListParagraph"/>
        <w:numPr>
          <w:ilvl w:val="0"/>
          <w:numId w:val="21"/>
        </w:numPr>
        <w:spacing w:after="60" w:line="276"/>
      </w:pPr>
      <w:r>
        <w:t xml:space="preserve">But if the gift is made </w:t>
      </w:r>
      <w:r>
        <w:rPr>
          <w:b/>
          <w:bCs/>
          <w:color w:val="2E7D32"/>
        </w:rPr>
        <w:t xml:space="preserve">by a written instrument</w:t>
      </w:r>
      <w:r>
        <w:t xml:space="preserve"> (a deed that itself effects the gift), the instrument requires </w:t>
      </w:r>
      <w:r>
        <w:rPr>
          <w:b/>
          <w:bCs/>
          <w:color w:val="2E7D32"/>
        </w:rPr>
        <w:t xml:space="preserve">registration</w:t>
      </w:r>
      <w:r>
        <w:t xml:space="preserve"> under </w:t>
      </w:r>
      <w:r>
        <w:rPr>
          <w:b/>
          <w:bCs/>
          <w:color w:val="2E7D32"/>
        </w:rPr>
        <w:t xml:space="preserve">s. 17 of the Registration Act 1908</w:t>
      </w:r>
      <w:r>
        <w:t xml:space="preserve">; a mere </w:t>
      </w:r>
      <w:r>
        <w:rPr>
          <w:b/>
          <w:bCs/>
          <w:color w:val="2E7D32"/>
        </w:rPr>
        <w:t xml:space="preserve">memorandum</w:t>
      </w:r>
      <w:r>
        <w:t xml:space="preserve"> recording an </w:t>
      </w:r>
      <w:r>
        <w:rPr>
          <w:b/>
          <w:bCs/>
          <w:color w:val="2E7D32"/>
        </w:rPr>
        <w:t xml:space="preserve">oral gift already completed</w:t>
      </w:r>
      <w:r>
        <w:t xml:space="preserve"> does not.</w:t>
      </w:r>
    </w:p>
    <w:p>
      <w:pPr>
        <w:pStyle w:val="ListParagraph"/>
        <w:numPr>
          <w:ilvl w:val="0"/>
          <w:numId w:val="21"/>
        </w:numPr>
        <w:spacing w:after="60" w:line="276"/>
      </w:pPr>
      <w:r>
        <w:rPr>
          <w:b/>
          <w:bCs/>
          <w:color w:val="2E7D32"/>
        </w:rPr>
        <w:t xml:space="preserve">Mutation</w:t>
      </w:r>
      <w:r>
        <w:t xml:space="preserve"> in revenue records evidences, but does not create, the gift; the donee must still prove the </w:t>
      </w:r>
      <w:r>
        <w:rPr>
          <w:b/>
          <w:bCs/>
          <w:color w:val="2E7D32"/>
        </w:rPr>
        <w:t xml:space="preserve">three essentials</w:t>
      </w:r>
      <w:r>
        <w:t xml:space="preserve">.</w:t>
      </w:r>
    </w:p>
    <w:p>
      <w:pPr>
        <w:pStyle w:val="ListParagraph"/>
        <w:numPr>
          <w:ilvl w:val="0"/>
          <w:numId w:val="21"/>
        </w:numPr>
        <w:spacing w:after="60" w:line="276"/>
      </w:pPr>
      <w:r>
        <w:rPr>
          <w:b/>
          <w:bCs/>
          <w:color w:val="2E7D32"/>
        </w:rPr>
        <w:t xml:space="preserve">Gifts that disinherit</w:t>
      </w:r>
      <w:r>
        <w:t xml:space="preserve"> — where a person gifts his entire property to one heir (often a son) to the exclusion of others (often daughters), courts require </w:t>
      </w:r>
      <w:r>
        <w:rPr>
          <w:b/>
          <w:bCs/>
          <w:color w:val="2E7D32"/>
        </w:rPr>
        <w:t xml:space="preserve">strict proof</w:t>
      </w:r>
      <w:r>
        <w:t xml:space="preserve"> of the declaration, acceptance and possession, and of the donor's free and independent will, especially where the donor was old, ill, illiterate or a woman.</w:t>
      </w:r>
    </w:p>
    <w:p>
      <w:pPr>
        <w:pStyle w:val="Heading2"/>
        <w:keepNext/>
      </w:pPr>
      <w:bookmarkStart w:name="_h37" w:id="138"/>
      <w:r>
        <w:t xml:space="preserve">7.5 Kinds of gift</w:t>
      </w:r>
      <w:bookmarkEnd w:id="13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Hiba</w:t>
            </w:r>
            <w:r>
              <w:rPr>
                <w:sz w:val="20"/>
                <w:szCs w:val="20"/>
              </w:rPr>
              <w:t xml:space="preserve"> (simple gift)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Without consideration; delivery of possession essential; revocable in some cases.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Hiba-bil-iwaz</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gift </w:t>
            </w:r>
            <w:r>
              <w:rPr>
                <w:b/>
                <w:bCs/>
                <w:color w:val="2E7D32"/>
                <w:sz w:val="20"/>
                <w:szCs w:val="20"/>
              </w:rPr>
              <w:t xml:space="preserve">for an exchange</w:t>
            </w:r>
            <w:r>
              <w:rPr>
                <w:sz w:val="20"/>
                <w:szCs w:val="20"/>
              </w:rPr>
              <w:t xml:space="preserve"> — in substance a </w:t>
            </w:r>
            <w:r>
              <w:rPr>
                <w:b/>
                <w:bCs/>
                <w:color w:val="2E7D32"/>
                <w:sz w:val="20"/>
                <w:szCs w:val="20"/>
              </w:rPr>
              <w:t xml:space="preserve">sale</w:t>
            </w:r>
            <w:r>
              <w:rPr>
                <w:sz w:val="20"/>
                <w:szCs w:val="20"/>
              </w:rPr>
              <w:t xml:space="preserve">: the exchange is a real one; </w:t>
            </w:r>
            <w:r>
              <w:rPr>
                <w:b/>
                <w:bCs/>
                <w:color w:val="2E7D32"/>
                <w:sz w:val="20"/>
                <w:szCs w:val="20"/>
              </w:rPr>
              <w:t xml:space="preserve">possession is not required</w:t>
            </w:r>
            <w:r>
              <w:rPr>
                <w:sz w:val="20"/>
                <w:szCs w:val="20"/>
              </w:rPr>
              <w:t xml:space="preserve">; irrevocable; registration rules for sale apply (an instrument for immovable property worth Rs. 100 or more must be registered).</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Hiba-ba-shart-ul-iwaz</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gift made </w:t>
            </w:r>
            <w:r>
              <w:rPr>
                <w:b/>
                <w:bCs/>
                <w:color w:val="2E7D32"/>
                <w:sz w:val="20"/>
                <w:szCs w:val="20"/>
              </w:rPr>
              <w:t xml:space="preserve">on condition</w:t>
            </w:r>
            <w:r>
              <w:rPr>
                <w:sz w:val="20"/>
                <w:szCs w:val="20"/>
              </w:rPr>
              <w:t xml:space="preserve"> of a return (stipulated in advance); possession </w:t>
            </w:r>
            <w:r>
              <w:rPr>
                <w:b/>
                <w:bCs/>
                <w:color w:val="2E7D32"/>
                <w:sz w:val="20"/>
                <w:szCs w:val="20"/>
              </w:rPr>
              <w:t xml:space="preserve">required</w:t>
            </w:r>
            <w:r>
              <w:rPr>
                <w:sz w:val="20"/>
                <w:szCs w:val="20"/>
              </w:rPr>
              <w:t xml:space="preserve">; becomes irrevocable when the return is made.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Sadaqa</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gift for </w:t>
            </w:r>
            <w:r>
              <w:rPr>
                <w:b/>
                <w:bCs/>
                <w:color w:val="2E7D32"/>
                <w:sz w:val="20"/>
                <w:szCs w:val="20"/>
              </w:rPr>
              <w:t xml:space="preserve">religious merit</w:t>
            </w:r>
            <w:r>
              <w:rPr>
                <w:sz w:val="20"/>
                <w:szCs w:val="20"/>
              </w:rPr>
              <w:t xml:space="preserve"> (to God); irrevocable; possession required.</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Ariyat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gift of the </w:t>
            </w:r>
            <w:r>
              <w:rPr>
                <w:b/>
                <w:bCs/>
                <w:color w:val="2E7D32"/>
                <w:sz w:val="20"/>
                <w:szCs w:val="20"/>
              </w:rPr>
              <w:t xml:space="preserve">usufruct</w:t>
            </w:r>
            <w:r>
              <w:rPr>
                <w:sz w:val="20"/>
                <w:szCs w:val="20"/>
              </w:rPr>
              <w:t xml:space="preserve"> (temporary right to use) — revocable.</w:t>
            </w:r>
          </w:p>
        </w:tc>
      </w:tr>
    </w:tbl>
    <w:p>
      <w:pPr>
        <w:spacing w:after="100"/>
      </w:pPr>
    </w:p>
    <w:p>
      <w:pPr>
        <w:pStyle w:val="Heading2"/>
        <w:keepNext/>
      </w:pPr>
      <w:bookmarkStart w:name="_h38" w:id="139"/>
      <w:r>
        <w:t xml:space="preserve">7.6 Revocation of gifts (Hanafi)</w:t>
      </w:r>
      <w:bookmarkEnd w:id="139"/>
    </w:p>
    <w:p>
      <w:pPr>
        <w:pStyle w:val="ListParagraph"/>
        <w:numPr>
          <w:ilvl w:val="0"/>
          <w:numId w:val="22"/>
        </w:numPr>
        <w:spacing w:after="60" w:line="276"/>
      </w:pPr>
      <w:r>
        <w:rPr>
          <w:b/>
          <w:bCs/>
          <w:color w:val="2E7D32"/>
        </w:rPr>
        <w:t xml:space="preserve">Before delivery</w:t>
      </w:r>
      <w:r>
        <w:t xml:space="preserve"> of possession — the gift is incomplete; the donor may simply withdraw.</w:t>
      </w:r>
    </w:p>
    <w:p>
      <w:pPr>
        <w:pStyle w:val="ListParagraph"/>
        <w:numPr>
          <w:ilvl w:val="0"/>
          <w:numId w:val="22"/>
        </w:numPr>
        <w:spacing w:after="60" w:line="276"/>
      </w:pPr>
      <w:r>
        <w:rPr>
          <w:b/>
          <w:bCs/>
          <w:color w:val="2E7D32"/>
        </w:rPr>
        <w:t xml:space="preserve">After delivery</w:t>
      </w:r>
      <w:r>
        <w:t xml:space="preserve"> — revocable </w:t>
      </w:r>
      <w:r>
        <w:rPr>
          <w:b/>
          <w:bCs/>
          <w:color w:val="2E7D32"/>
        </w:rPr>
        <w:t xml:space="preserve">only by a decree of court</w:t>
      </w:r>
      <w:r>
        <w:t xml:space="preserve"> (or the donee's consent), </w:t>
      </w:r>
      <w:r>
        <w:rPr>
          <w:b/>
          <w:bCs/>
          <w:color w:val="2E7D32"/>
        </w:rPr>
        <w:t xml:space="preserve">except</w:t>
      </w:r>
      <w:r>
        <w:t xml:space="preserve"> in these cases where it is </w:t>
      </w:r>
      <w:r>
        <w:rPr>
          <w:b/>
          <w:bCs/>
          <w:color w:val="2E7D32"/>
        </w:rPr>
        <w:t xml:space="preserve">irrevocable</w:t>
      </w:r>
      <w:r>
        <w:t xml:space="preserve">: (a) gift between </w:t>
      </w:r>
      <w:r>
        <w:rPr>
          <w:b/>
          <w:bCs/>
          <w:color w:val="2E7D32"/>
        </w:rPr>
        <w:t xml:space="preserve">husband and wife</w:t>
      </w:r>
      <w:r>
        <w:t xml:space="preserve">; (b) to a relation within the </w:t>
      </w:r>
      <w:r>
        <w:rPr>
          <w:b/>
          <w:bCs/>
          <w:color w:val="2E7D32"/>
        </w:rPr>
        <w:t xml:space="preserve">prohibited degrees</w:t>
      </w:r>
      <w:r>
        <w:t xml:space="preserve"> (e.g., children, siblings); (c) the </w:t>
      </w:r>
      <w:r>
        <w:rPr>
          <w:b/>
          <w:bCs/>
          <w:color w:val="2E7D32"/>
        </w:rPr>
        <w:t xml:space="preserve">donor or donee has died</w:t>
      </w:r>
      <w:r>
        <w:t xml:space="preserve">; (d) the subject has </w:t>
      </w:r>
      <w:r>
        <w:rPr>
          <w:b/>
          <w:bCs/>
          <w:color w:val="2E7D32"/>
        </w:rPr>
        <w:t xml:space="preserve">passed out of the donee's possession</w:t>
      </w:r>
      <w:r>
        <w:t xml:space="preserve"> (sold, gifted) or </w:t>
      </w:r>
      <w:r>
        <w:rPr>
          <w:b/>
          <w:bCs/>
          <w:color w:val="2E7D32"/>
        </w:rPr>
        <w:t xml:space="preserve">lost</w:t>
      </w:r>
      <w:r>
        <w:t xml:space="preserve"> or </w:t>
      </w:r>
      <w:r>
        <w:rPr>
          <w:b/>
          <w:bCs/>
          <w:color w:val="2E7D32"/>
        </w:rPr>
        <w:t xml:space="preserve">destroyed</w:t>
      </w:r>
      <w:r>
        <w:t xml:space="preserve">; (e) the subject has </w:t>
      </w:r>
      <w:r>
        <w:rPr>
          <w:b/>
          <w:bCs/>
          <w:color w:val="2E7D32"/>
        </w:rPr>
        <w:t xml:space="preserve">increased in value</w:t>
      </w:r>
      <w:r>
        <w:t xml:space="preserve"> or been </w:t>
      </w:r>
      <w:r>
        <w:rPr>
          <w:b/>
          <w:bCs/>
          <w:color w:val="2E7D32"/>
        </w:rPr>
        <w:t xml:space="preserve">changed</w:t>
      </w:r>
      <w:r>
        <w:t xml:space="preserve"> (e.g., land built upon); (f) the donor has received a </w:t>
      </w:r>
      <w:r>
        <w:rPr>
          <w:b/>
          <w:bCs/>
          <w:color w:val="2E7D32"/>
        </w:rPr>
        <w:t xml:space="preserve">return</w:t>
      </w:r>
      <w:r>
        <w:t xml:space="preserve"> (iwaz); (g) the gift is </w:t>
      </w:r>
      <w:r>
        <w:rPr>
          <w:b/>
          <w:bCs/>
          <w:color w:val="2E7D32"/>
        </w:rPr>
        <w:t xml:space="preserve">sadaqa</w:t>
      </w:r>
      <w:r>
        <w:t xml:space="preserve">.</w:t>
      </w:r>
    </w:p>
    <w:p>
      <w:pPr>
        <w:pStyle w:val="ListParagraph"/>
        <w:numPr>
          <w:ilvl w:val="0"/>
          <w:numId w:val="22"/>
        </w:numPr>
        <w:spacing w:after="60" w:line="276"/>
      </w:pPr>
      <w:r>
        <w:rPr>
          <w:b/>
          <w:bCs/>
          <w:color w:val="2E7D32"/>
        </w:rPr>
        <w:t xml:space="preserve">Shia</w:t>
      </w:r>
      <w:r>
        <w:t xml:space="preserve"> law: revocable by mere declaration in some cases, but not if made to a relation or spouse, or once the thing is consumed.</w:t>
      </w:r>
    </w:p>
    <w:p>
      <w:pPr>
        <w:pStyle w:val="Heading2"/>
        <w:keepNext/>
      </w:pPr>
      <w:bookmarkStart w:name="_h39" w:id="140"/>
      <w:r>
        <w:t xml:space="preserve">7.7 Conditions and life interests</w:t>
      </w:r>
      <w:bookmarkEnd w:id="140"/>
    </w:p>
    <w:p>
      <w:pPr>
        <w:pStyle w:val="ListParagraph"/>
        <w:numPr>
          <w:ilvl w:val="0"/>
          <w:numId w:val="23"/>
        </w:numPr>
        <w:spacing w:after="60" w:line="276"/>
      </w:pPr>
      <w:r>
        <w:t xml:space="preserve">A </w:t>
      </w:r>
      <w:r>
        <w:rPr>
          <w:b/>
          <w:bCs/>
          <w:color w:val="2E7D32"/>
        </w:rPr>
        <w:t xml:space="preserve">condition</w:t>
      </w:r>
      <w:r>
        <w:t xml:space="preserve"> that derogates from the </w:t>
      </w:r>
      <w:r>
        <w:rPr>
          <w:b/>
          <w:bCs/>
          <w:color w:val="2E7D32"/>
        </w:rPr>
        <w:t xml:space="preserve">completeness</w:t>
      </w:r>
      <w:r>
        <w:t xml:space="preserve"> of the grant (e.g., "the donee shall not sell") is </w:t>
      </w:r>
      <w:r>
        <w:rPr>
          <w:b/>
          <w:bCs/>
          <w:color w:val="2E7D32"/>
        </w:rPr>
        <w:t xml:space="preserve">void</w:t>
      </w:r>
      <w:r>
        <w:t xml:space="preserve">; the gift is valid and absolute (Hanafi).</w:t>
      </w:r>
    </w:p>
    <w:p>
      <w:pPr>
        <w:pStyle w:val="ListParagraph"/>
        <w:numPr>
          <w:ilvl w:val="0"/>
          <w:numId w:val="23"/>
        </w:numPr>
        <w:spacing w:after="60" w:line="276"/>
      </w:pPr>
      <w:r>
        <w:t xml:space="preserve">A gift of the </w:t>
      </w:r>
      <w:r>
        <w:rPr>
          <w:b/>
          <w:bCs/>
          <w:color w:val="2E7D32"/>
        </w:rPr>
        <w:t xml:space="preserve">corpus</w:t>
      </w:r>
      <w:r>
        <w:t xml:space="preserve"> for </w:t>
      </w:r>
      <w:r>
        <w:rPr>
          <w:b/>
          <w:bCs/>
          <w:color w:val="2E7D32"/>
        </w:rPr>
        <w:t xml:space="preserve">life</w:t>
      </w:r>
      <w:r>
        <w:t xml:space="preserve"> — Hanafi: the gift is absolute and the condition limiting it to life is void; a gift of the </w:t>
      </w:r>
      <w:r>
        <w:rPr>
          <w:b/>
          <w:bCs/>
          <w:color w:val="2E7D32"/>
        </w:rPr>
        <w:t xml:space="preserve">usufruct</w:t>
      </w:r>
      <w:r>
        <w:t xml:space="preserve"> for life (</w:t>
      </w:r>
      <w:r>
        <w:rPr>
          <w:i/>
          <w:iCs/>
        </w:rPr>
        <w:t xml:space="preserve">ariyat</w:t>
      </w:r>
      <w:r>
        <w:t xml:space="preserve">) is valid. Shia: a gift for life (</w:t>
      </w:r>
      <w:r>
        <w:rPr>
          <w:i/>
          <w:iCs/>
        </w:rPr>
        <w:t xml:space="preserve">umra</w:t>
      </w:r>
      <w:r>
        <w:t xml:space="preserve">) is valid and the property reverts on the donee's death.</w:t>
      </w:r>
    </w:p>
    <w:p>
      <w:pPr>
        <w:pStyle w:val="ListParagraph"/>
        <w:numPr>
          <w:ilvl w:val="0"/>
          <w:numId w:val="23"/>
        </w:numPr>
        <w:spacing w:after="60" w:line="276"/>
      </w:pPr>
      <w:r>
        <w:t xml:space="preserve">A gift of </w:t>
      </w:r>
      <w:r>
        <w:rPr>
          <w:b/>
          <w:bCs/>
          <w:color w:val="2E7D32"/>
        </w:rPr>
        <w:t xml:space="preserve">future property</w:t>
      </w:r>
      <w:r>
        <w:t xml:space="preserve"> (e.g., next year's crop) is </w:t>
      </w:r>
      <w:r>
        <w:rPr>
          <w:b/>
          <w:bCs/>
          <w:color w:val="2E7D32"/>
        </w:rPr>
        <w:t xml:space="preserve">void</w:t>
      </w:r>
      <w:r>
        <w:t xml:space="preserve">; a gift must be of property </w:t>
      </w:r>
      <w:r>
        <w:rPr>
          <w:b/>
          <w:bCs/>
          <w:color w:val="2E7D32"/>
        </w:rPr>
        <w:t xml:space="preserve">in existence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6–7 in eight lines</w:t>
            </w:r>
          </w:p>
          <w:p>
            <w:pPr>
              <w:pStyle w:val="ListParagraph"/>
              <w:numPr>
                <w:ilvl w:val="0"/>
                <w:numId w:val="12"/>
              </w:numPr>
              <w:spacing w:after="60" w:line="276"/>
            </w:pPr>
            <w:r>
              <w:t xml:space="preserve">Will: adult, sane; oral or written; one-third limit (Hadith of Sa'd); excess needs heirs' consent after death.</w:t>
            </w:r>
          </w:p>
          <w:p>
            <w:pPr>
              <w:pStyle w:val="ListParagraph"/>
              <w:numPr>
                <w:ilvl w:val="0"/>
                <w:numId w:val="12"/>
              </w:numPr>
              <w:spacing w:after="60" w:line="276"/>
            </w:pPr>
            <w:r>
              <w:t xml:space="preserve">Bequest to heir — Hanafi: only with other heirs' consent; Shia: valid within one-third.</w:t>
            </w:r>
          </w:p>
          <w:p>
            <w:pPr>
              <w:pStyle w:val="ListParagraph"/>
              <w:numPr>
                <w:ilvl w:val="0"/>
                <w:numId w:val="12"/>
              </w:numPr>
              <w:spacing w:after="60" w:line="276"/>
            </w:pPr>
            <w:r>
              <w:t xml:space="preserve">Legatee in existence; revocable; conditions void; rateable abatement.</w:t>
            </w:r>
          </w:p>
          <w:p>
            <w:pPr>
              <w:pStyle w:val="ListParagraph"/>
              <w:numPr>
                <w:ilvl w:val="0"/>
                <w:numId w:val="12"/>
              </w:numPr>
              <w:spacing w:after="60" w:line="276"/>
            </w:pPr>
            <w:r>
              <w:t xml:space="preserve">Marz-ul-maut: apprehension of death + signs + death (within about a year) — gifts / waqf / acknowledgments operate as wills.</w:t>
            </w:r>
          </w:p>
          <w:p>
            <w:pPr>
              <w:pStyle w:val="ListParagraph"/>
              <w:numPr>
                <w:ilvl w:val="0"/>
                <w:numId w:val="12"/>
              </w:numPr>
              <w:spacing w:after="60" w:line="276"/>
            </w:pPr>
            <w:r>
              <w:t xml:space="preserve">Hiba: declaration + acceptance + delivery of possession; possession essential (exceptions: living together, father to minor, donee in possession, incorporeal property).</w:t>
            </w:r>
          </w:p>
          <w:p>
            <w:pPr>
              <w:pStyle w:val="ListParagraph"/>
              <w:numPr>
                <w:ilvl w:val="0"/>
                <w:numId w:val="12"/>
              </w:numPr>
              <w:spacing w:after="60" w:line="276"/>
            </w:pPr>
            <w:r>
              <w:t xml:space="preserve">Musha: Hanafi — irregular if divisible, valid on division and possession; exceptions; Shia — valid.</w:t>
            </w:r>
          </w:p>
          <w:p>
            <w:pPr>
              <w:pStyle w:val="ListParagraph"/>
              <w:numPr>
                <w:ilvl w:val="0"/>
                <w:numId w:val="12"/>
              </w:numPr>
              <w:spacing w:after="60" w:line="276"/>
            </w:pPr>
            <w:r>
              <w:t xml:space="preserve">Pakistan: oral gift valid (TPA s. 129); a gift instrument must be registered (Registration Act s. 17); mutation is evidence only; strict proof of disinheriting gifts.</w:t>
            </w:r>
          </w:p>
          <w:p>
            <w:pPr>
              <w:pStyle w:val="ListParagraph"/>
              <w:numPr>
                <w:ilvl w:val="0"/>
                <w:numId w:val="12"/>
              </w:numPr>
              <w:spacing w:after="60" w:line="276"/>
            </w:pPr>
            <w:r>
              <w:t xml:space="preserve">Hiba-bil-iwaz (sale; no possession), hiba-ba-shart-ul-iwaz (possession needed), sadaqa (irrevocable); revocation only by decree after possession, with seven exceptions.</w:t>
            </w:r>
          </w:p>
        </w:tc>
      </w:tr>
    </w:tbl>
    <w:p>
      <w:pPr>
        <w:spacing w:after="80"/>
      </w:pPr>
    </w:p>
    <w:p>
      <w:pPr>
        <w:pStyle w:val="Heading1"/>
        <w:keepNext/>
        <w:pageBreakBefore/>
      </w:pPr>
      <w:bookmarkStart w:name="_h40" w:id="141"/>
      <w:r>
        <w:t xml:space="preserve">Chapter 8 · Waqf</w:t>
      </w:r>
      <w:bookmarkEnd w:id="141"/>
    </w:p>
    <w:p>
      <w:pPr>
        <w:pStyle w:val="Heading2"/>
        <w:keepNext/>
      </w:pPr>
      <w:bookmarkStart w:name="_h41" w:id="142"/>
      <w:r>
        <w:t xml:space="preserve">8.1 Meaning</w:t>
      </w:r>
      <w:bookmarkEnd w:id="142"/>
    </w:p>
    <w:p>
      <w:pPr>
        <w:spacing w:after="120" w:line="288"/>
      </w:pPr>
      <w:r>
        <w:rPr>
          <w:b/>
          <w:bCs/>
          <w:color w:val="2E7D32"/>
        </w:rPr>
        <w:t xml:space="preserve">Waqf</w:t>
      </w:r>
      <w:r>
        <w:t xml:space="preserve"> means the </w:t>
      </w:r>
      <w:r>
        <w:rPr>
          <w:b/>
          <w:bCs/>
          <w:color w:val="2E7D32"/>
        </w:rPr>
        <w:t xml:space="preserve">permanent dedication</w:t>
      </w:r>
      <w:r>
        <w:t xml:space="preserve"> by a person professing Islam of any property for any purpose recognised by Islam as </w:t>
      </w:r>
      <w:r>
        <w:rPr>
          <w:b/>
          <w:bCs/>
          <w:color w:val="2E7D32"/>
        </w:rPr>
        <w:t xml:space="preserve">religious, pious or charitable</w:t>
      </w:r>
      <w:r>
        <w:t xml:space="preserve"> (Mussalman Wakf Validating Act 1913, s. 2(1)). The ownership passes to </w:t>
      </w:r>
      <w:r>
        <w:rPr>
          <w:b/>
          <w:bCs/>
          <w:color w:val="2E7D32"/>
        </w:rPr>
        <w:t xml:space="preserve">God</w:t>
      </w:r>
      <w:r>
        <w:t xml:space="preserve">; the usufruct is applied for the benefit of mankind (Abu Yusuf's view, which prevails).</w:t>
      </w:r>
    </w:p>
    <w:p>
      <w:pPr>
        <w:spacing w:after="120" w:line="288"/>
      </w:pPr>
      <w:r>
        <w:t xml:space="preserve">The </w:t>
      </w:r>
      <w:r>
        <w:rPr>
          <w:b/>
          <w:bCs/>
          <w:color w:val="2E7D32"/>
        </w:rPr>
        <w:t xml:space="preserve">ICT Waqf Properties Act 2020, s. 2(n)</w:t>
      </w:r>
      <w:r>
        <w:t xml:space="preserve"> defines "waqf property" as "property of any kind </w:t>
      </w:r>
      <w:r>
        <w:rPr>
          <w:b/>
          <w:bCs/>
          <w:color w:val="2E7D32"/>
        </w:rPr>
        <w:t xml:space="preserve">permanently dedicated</w:t>
      </w:r>
      <w:r>
        <w:t xml:space="preserve"> by a person professing Islam for any purpose recognized by Islam as religious, pious or charitable", and deems as waqf (Explanations): property </w:t>
      </w:r>
      <w:r>
        <w:rPr>
          <w:b/>
          <w:bCs/>
          <w:color w:val="2E7D32"/>
        </w:rPr>
        <w:t xml:space="preserve">used from time immemorial</w:t>
      </w:r>
      <w:r>
        <w:t xml:space="preserve"> for such a purpose even without proof of dedication; property allotted in lieu of waqf property left in India; property acquired from waqf income or subscriptions; offerings at </w:t>
      </w:r>
      <w:r>
        <w:rPr>
          <w:b/>
          <w:bCs/>
          <w:color w:val="2E7D32"/>
        </w:rPr>
        <w:t xml:space="preserve">shrines</w:t>
      </w:r>
      <w:r>
        <w:t xml:space="preserve">; property dedicated for a </w:t>
      </w:r>
      <w:r>
        <w:rPr>
          <w:b/>
          <w:bCs/>
          <w:color w:val="2E7D32"/>
        </w:rPr>
        <w:t xml:space="preserve">mosque, takia, khankah, dargah</w:t>
      </w:r>
      <w:r>
        <w:t xml:space="preserve"> or shrine; with "charitable purposes" including relief of the poor and orphans, education, medical relief and objects of general public utility.</w:t>
      </w:r>
    </w:p>
    <w:p>
      <w:pPr>
        <w:pStyle w:val="Heading2"/>
        <w:keepNext/>
      </w:pPr>
      <w:bookmarkStart w:name="_h42" w:id="143"/>
      <w:r>
        <w:t xml:space="preserve">8.2 Essentials</w:t>
      </w:r>
      <w:bookmarkEnd w:id="143"/>
    </w:p>
    <w:p>
      <w:pPr>
        <w:pStyle w:val="ListParagraph"/>
        <w:numPr>
          <w:ilvl w:val="0"/>
          <w:numId w:val="24"/>
        </w:numPr>
        <w:spacing w:after="60" w:line="276"/>
      </w:pPr>
      <w:r>
        <w:rPr>
          <w:b/>
          <w:bCs/>
          <w:color w:val="2E7D32"/>
        </w:rPr>
        <w:t xml:space="preserve">Permanent dedication</w:t>
      </w:r>
      <w:r>
        <w:t xml:space="preserve"> — a waqf for a </w:t>
      </w:r>
      <w:r>
        <w:rPr>
          <w:b/>
          <w:bCs/>
          <w:color w:val="2E7D32"/>
        </w:rPr>
        <w:t xml:space="preserve">limited period</w:t>
      </w:r>
      <w:r>
        <w:t xml:space="preserve"> is void; it must be </w:t>
      </w:r>
      <w:r>
        <w:rPr>
          <w:b/>
          <w:bCs/>
          <w:color w:val="2E7D32"/>
        </w:rPr>
        <w:t xml:space="preserve">perpetual</w:t>
      </w:r>
      <w:r>
        <w:t xml:space="preserve">.</w:t>
      </w:r>
    </w:p>
    <w:p>
      <w:pPr>
        <w:pStyle w:val="ListParagraph"/>
        <w:numPr>
          <w:ilvl w:val="0"/>
          <w:numId w:val="24"/>
        </w:numPr>
        <w:spacing w:after="60" w:line="276"/>
      </w:pPr>
      <w:r>
        <w:rPr>
          <w:b/>
          <w:bCs/>
          <w:color w:val="2E7D32"/>
        </w:rPr>
        <w:t xml:space="preserve">Irrevocable</w:t>
      </w:r>
      <w:r>
        <w:t xml:space="preserve"> — once complete, a waqf cannot be revoked.</w:t>
      </w:r>
    </w:p>
    <w:p>
      <w:pPr>
        <w:pStyle w:val="ListParagraph"/>
        <w:numPr>
          <w:ilvl w:val="0"/>
          <w:numId w:val="24"/>
        </w:numPr>
        <w:spacing w:after="60" w:line="276"/>
      </w:pPr>
      <w:r>
        <w:rPr>
          <w:b/>
          <w:bCs/>
          <w:color w:val="2E7D32"/>
        </w:rPr>
        <w:t xml:space="preserve">Inalienable</w:t>
      </w:r>
      <w:r>
        <w:t xml:space="preserve"> — the property cannot be sold, gifted or mortgaged (except as allowed by the court or law for the waqf's benefit).</w:t>
      </w:r>
    </w:p>
    <w:p>
      <w:pPr>
        <w:pStyle w:val="ListParagraph"/>
        <w:numPr>
          <w:ilvl w:val="0"/>
          <w:numId w:val="24"/>
        </w:numPr>
        <w:spacing w:after="60" w:line="276"/>
      </w:pPr>
      <w:r>
        <w:rPr>
          <w:b/>
          <w:bCs/>
          <w:color w:val="2E7D32"/>
        </w:rPr>
        <w:t xml:space="preserve">Unconditional</w:t>
      </w:r>
      <w:r>
        <w:t xml:space="preserve"> — a waqf cannot be made contingent on an uncertain event.</w:t>
      </w:r>
    </w:p>
    <w:p>
      <w:pPr>
        <w:pStyle w:val="ListParagraph"/>
        <w:numPr>
          <w:ilvl w:val="0"/>
          <w:numId w:val="24"/>
        </w:numPr>
        <w:spacing w:after="60" w:line="276"/>
      </w:pPr>
      <w:r>
        <w:rPr>
          <w:b/>
          <w:bCs/>
          <w:color w:val="2E7D32"/>
        </w:rPr>
        <w:t xml:space="preserve">Lawful object</w:t>
      </w:r>
      <w:r>
        <w:t xml:space="preserve"> — religious, pious or charitable as recognised by Islam.</w:t>
      </w:r>
    </w:p>
    <w:p>
      <w:pPr>
        <w:pStyle w:val="ListParagraph"/>
        <w:numPr>
          <w:ilvl w:val="0"/>
          <w:numId w:val="24"/>
        </w:numPr>
        <w:spacing w:after="60" w:line="276"/>
      </w:pPr>
      <w:r>
        <w:rPr>
          <w:b/>
          <w:bCs/>
          <w:color w:val="2E7D32"/>
        </w:rPr>
        <w:t xml:space="preserve">Competent waqif</w:t>
      </w:r>
      <w:r>
        <w:t xml:space="preserve"> — an adult Muslim of sound mind who </w:t>
      </w:r>
      <w:r>
        <w:rPr>
          <w:b/>
          <w:bCs/>
          <w:color w:val="2E7D32"/>
        </w:rPr>
        <w:t xml:space="preserve">owns</w:t>
      </w:r>
      <w:r>
        <w:t xml:space="preserve"> the property; a waqf in marz-ul-maut is valid only up to one-third.</w:t>
      </w:r>
    </w:p>
    <w:p>
      <w:pPr>
        <w:pStyle w:val="ListParagraph"/>
        <w:numPr>
          <w:ilvl w:val="0"/>
          <w:numId w:val="24"/>
        </w:numPr>
        <w:spacing w:after="60" w:line="276"/>
      </w:pPr>
      <w:r>
        <w:rPr>
          <w:b/>
          <w:bCs/>
          <w:color w:val="2E7D32"/>
        </w:rPr>
        <w:t xml:space="preserve">Ultimate benefit to charity</w:t>
      </w:r>
      <w:r>
        <w:t xml:space="preserve"> — even a family waqf must have an ultimate charitable purpose.</w:t>
      </w:r>
    </w:p>
    <w:p>
      <w:pPr>
        <w:spacing w:after="120" w:line="288"/>
      </w:pPr>
      <w:r>
        <w:t xml:space="preserve">No particular form is needed; possession by the </w:t>
      </w:r>
      <w:r>
        <w:rPr>
          <w:b/>
          <w:bCs/>
          <w:color w:val="2E7D32"/>
        </w:rPr>
        <w:t xml:space="preserve">mutawalli</w:t>
      </w:r>
      <w:r>
        <w:t xml:space="preserve"> (Shia — delivery of possession is essential) and words of dedication complete the waqf.</w:t>
      </w:r>
    </w:p>
    <w:p>
      <w:pPr>
        <w:pStyle w:val="Heading2"/>
        <w:keepNext/>
      </w:pPr>
      <w:bookmarkStart w:name="_h43" w:id="144"/>
      <w:r>
        <w:t xml:space="preserve">8.3 Family waqf (waqf-alal-aulad)</w:t>
      </w:r>
      <w:bookmarkEnd w:id="144"/>
    </w:p>
    <w:p>
      <w:pPr>
        <w:spacing w:after="120" w:line="288"/>
      </w:pPr>
      <w:r>
        <w:t xml:space="preserve">A waqf for the benefit of the waqif's </w:t>
      </w:r>
      <w:r>
        <w:rPr>
          <w:b/>
          <w:bCs/>
          <w:color w:val="2E7D32"/>
        </w:rPr>
        <w:t xml:space="preserve">family and descendants</w:t>
      </w:r>
      <w:r>
        <w:t xml:space="preserve">, with the ultimate benefit to the poor or another charitable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Abul Fata Mahomed Ishak v. Russomoy Dhur Chowdhry ((1894) 22 IA 76, Privy Council)</w:t>
            </w:r>
          </w:p>
          <w:p>
            <w:pPr>
              <w:spacing w:after="90" w:line="276"/>
            </w:pPr>
            <w:r>
              <w:rPr>
                <w:b/>
                <w:bCs/>
              </w:rPr>
              <w:t xml:space="preserve">Held.</w:t>
            </w:r>
            <w:r>
              <w:t xml:space="preserve"> A waqf in favour of the settlor's family, where the gift to charity was </w:t>
            </w:r>
            <w:r>
              <w:rPr>
                <w:b/>
                <w:bCs/>
                <w:color w:val="2E7D32"/>
              </w:rPr>
              <w:t xml:space="preserve">illusory</w:t>
            </w:r>
            <w:r>
              <w:t xml:space="preserve"> or postponed until the extinction of the family, was </w:t>
            </w:r>
            <w:r>
              <w:rPr>
                <w:b/>
                <w:bCs/>
                <w:color w:val="2E7D32"/>
              </w:rPr>
              <w:t xml:space="preserve">invalid</w:t>
            </w:r>
            <w:r>
              <w:t xml:space="preserve">: it was not a real dedication to charity.</w:t>
            </w:r>
          </w:p>
          <w:p>
            <w:pPr>
              <w:spacing w:after="90" w:line="276"/>
            </w:pPr>
            <w:r>
              <w:rPr>
                <w:b/>
                <w:bCs/>
              </w:rPr>
              <w:t xml:space="preserve">Reversed by statute.</w:t>
            </w:r>
            <w:r>
              <w:t xml:space="preserve"> The </w:t>
            </w:r>
            <w:r>
              <w:rPr>
                <w:b/>
                <w:bCs/>
                <w:color w:val="2E7D32"/>
              </w:rPr>
              <w:t xml:space="preserve">Mussalman Wakf Validating Act 1913</w:t>
            </w:r>
            <w:r>
              <w:t xml:space="preserve"> declared it lawful for a Muslim to create a waqf for the </w:t>
            </w:r>
            <w:r>
              <w:rPr>
                <w:b/>
                <w:bCs/>
                <w:color w:val="2E7D32"/>
              </w:rPr>
              <w:t xml:space="preserve">maintenance and support of his family, children and descendants</w:t>
            </w:r>
            <w:r>
              <w:t xml:space="preserve">, and even </w:t>
            </w:r>
            <w:r>
              <w:rPr>
                <w:b/>
                <w:bCs/>
                <w:color w:val="2E7D32"/>
              </w:rPr>
              <w:t xml:space="preserve">for himself</w:t>
            </w:r>
            <w:r>
              <w:t xml:space="preserve"> during his life (Hanafi), provided the </w:t>
            </w:r>
            <w:r>
              <w:rPr>
                <w:b/>
                <w:bCs/>
                <w:color w:val="2E7D32"/>
              </w:rPr>
              <w:t xml:space="preserve">ultimate benefit</w:t>
            </w:r>
            <w:r>
              <w:t xml:space="preserve"> is reserved for the poor or another purpose recognised as religious, pious or charitable of a permanent character (ss. 3–4). Such family waqfs are </w:t>
            </w:r>
            <w:r>
              <w:rPr>
                <w:b/>
                <w:bCs/>
                <w:color w:val="2E7D32"/>
              </w:rPr>
              <w:t xml:space="preserve">excluded</w:t>
            </w:r>
            <w:r>
              <w:t xml:space="preserve"> from the definition of waqf property in the ICT Act 2020 so long as the benefit is claimable by the waqif or his family.</w:t>
            </w:r>
          </w:p>
        </w:tc>
      </w:tr>
    </w:tbl>
    <w:p>
      <w:pPr>
        <w:spacing w:after="80"/>
      </w:pPr>
    </w:p>
    <w:p>
      <w:pPr>
        <w:pStyle w:val="Heading2"/>
        <w:keepNext/>
      </w:pPr>
      <w:bookmarkStart w:name="_h44" w:id="145"/>
      <w:r>
        <w:t xml:space="preserve">8.4 The mutawalli</w:t>
      </w:r>
      <w:bookmarkEnd w:id="145"/>
    </w:p>
    <w:p>
      <w:pPr>
        <w:pStyle w:val="ListParagraph"/>
        <w:numPr>
          <w:ilvl w:val="0"/>
          <w:numId w:val="25"/>
        </w:numPr>
        <w:spacing w:after="60" w:line="276"/>
      </w:pPr>
      <w:r>
        <w:rPr>
          <w:b/>
          <w:bCs/>
          <w:color w:val="2E7D32"/>
        </w:rPr>
        <w:t xml:space="preserve">Who</w:t>
      </w:r>
      <w:r>
        <w:t xml:space="preserve"> — the person who </w:t>
      </w:r>
      <w:r>
        <w:rPr>
          <w:b/>
          <w:bCs/>
          <w:color w:val="2E7D32"/>
        </w:rPr>
        <w:t xml:space="preserve">manages</w:t>
      </w:r>
      <w:r>
        <w:t xml:space="preserve"> the waqf (not its owner). Any adult of sound mind (male or female, even a non-Muslim for secular duties) may be appointed; the waqif may appoint himself.</w:t>
      </w:r>
    </w:p>
    <w:p>
      <w:pPr>
        <w:pStyle w:val="ListParagraph"/>
        <w:numPr>
          <w:ilvl w:val="0"/>
          <w:numId w:val="25"/>
        </w:numPr>
        <w:spacing w:after="60" w:line="276"/>
      </w:pPr>
      <w:r>
        <w:rPr>
          <w:b/>
          <w:bCs/>
          <w:color w:val="2E7D32"/>
        </w:rPr>
        <w:t xml:space="preserve">Appointment</w:t>
      </w:r>
      <w:r>
        <w:t xml:space="preserve"> — by the waqif in the deed; by the executor; by the mutawalli on his death-bed if authorised; or by the </w:t>
      </w:r>
      <w:r>
        <w:rPr>
          <w:b/>
          <w:bCs/>
          <w:color w:val="2E7D32"/>
        </w:rPr>
        <w:t xml:space="preserve">court</w:t>
      </w:r>
      <w:r>
        <w:t xml:space="preserve">.</w:t>
      </w:r>
    </w:p>
    <w:p>
      <w:pPr>
        <w:pStyle w:val="ListParagraph"/>
        <w:numPr>
          <w:ilvl w:val="0"/>
          <w:numId w:val="25"/>
        </w:numPr>
        <w:spacing w:after="60" w:line="276"/>
      </w:pPr>
      <w:r>
        <w:rPr>
          <w:b/>
          <w:bCs/>
          <w:color w:val="2E7D32"/>
        </w:rPr>
        <w:t xml:space="preserve">Powers</w:t>
      </w:r>
      <w:r>
        <w:t xml:space="preserve"> — to manage the property, collect income and apply it to the objects; he has </w:t>
      </w:r>
      <w:r>
        <w:rPr>
          <w:b/>
          <w:bCs/>
          <w:color w:val="2E7D32"/>
        </w:rPr>
        <w:t xml:space="preserve">no power to sell, mortgage or lease</w:t>
      </w:r>
      <w:r>
        <w:t xml:space="preserve"> for a long term without the </w:t>
      </w:r>
      <w:r>
        <w:rPr>
          <w:b/>
          <w:bCs/>
          <w:color w:val="2E7D32"/>
        </w:rPr>
        <w:t xml:space="preserve">court's permission</w:t>
      </w:r>
      <w:r>
        <w:t xml:space="preserve"> (or, under the ICT Act, as provided there).</w:t>
      </w:r>
    </w:p>
    <w:p>
      <w:pPr>
        <w:pStyle w:val="ListParagraph"/>
        <w:numPr>
          <w:ilvl w:val="0"/>
          <w:numId w:val="25"/>
        </w:numPr>
        <w:spacing w:after="60" w:line="276"/>
      </w:pPr>
      <w:r>
        <w:rPr>
          <w:b/>
          <w:bCs/>
          <w:color w:val="2E7D32"/>
        </w:rPr>
        <w:t xml:space="preserve">Removal</w:t>
      </w:r>
      <w:r>
        <w:t xml:space="preserve"> — by the court for misconduct, breach of trust, or claiming the property as his own; a waqif cannot remove a mutawalli unless he reserved the power.</w:t>
      </w:r>
    </w:p>
    <w:p>
      <w:pPr>
        <w:pStyle w:val="Heading2"/>
        <w:keepNext/>
      </w:pPr>
      <w:bookmarkStart w:name="_h45" w:id="146"/>
      <w:r>
        <w:t xml:space="preserve">8.5 The ICT Waqf Properties Act 2020</w:t>
      </w:r>
      <w:bookmarkEnd w:id="146"/>
    </w:p>
    <w:p>
      <w:pPr>
        <w:pStyle w:val="ListParagraph"/>
        <w:numPr>
          <w:ilvl w:val="0"/>
          <w:numId w:val="26"/>
        </w:numPr>
        <w:spacing w:after="60" w:line="276"/>
      </w:pPr>
      <w:r>
        <w:t xml:space="preserve">The </w:t>
      </w:r>
      <w:r>
        <w:rPr>
          <w:b/>
          <w:bCs/>
          <w:color w:val="2E7D32"/>
        </w:rPr>
        <w:t xml:space="preserve">Chief Commissioner</w:t>
      </w:r>
      <w:r>
        <w:t xml:space="preserve"> appoints a </w:t>
      </w:r>
      <w:r>
        <w:rPr>
          <w:b/>
          <w:bCs/>
          <w:color w:val="2E7D32"/>
        </w:rPr>
        <w:t xml:space="preserve">Chief Administrator Auqaf</w:t>
      </w:r>
      <w:r>
        <w:t xml:space="preserve"> for the ICT and may vest waqf properties in him (s. 3).</w:t>
      </w:r>
    </w:p>
    <w:p>
      <w:pPr>
        <w:pStyle w:val="ListParagraph"/>
        <w:numPr>
          <w:ilvl w:val="0"/>
          <w:numId w:val="26"/>
        </w:numPr>
        <w:spacing w:after="60" w:line="276"/>
      </w:pPr>
      <w:r>
        <w:rPr>
          <w:b/>
          <w:bCs/>
          <w:color w:val="2E7D32"/>
        </w:rPr>
        <w:t xml:space="preserve">Registration</w:t>
      </w:r>
      <w:r>
        <w:t xml:space="preserve"> — every waqf manager must register the waqf property with the Chief Administrator; unregistered waqf property is deemed notified under s. 8 (s. 6).</w:t>
      </w:r>
    </w:p>
    <w:p>
      <w:pPr>
        <w:pStyle w:val="ListParagraph"/>
        <w:numPr>
          <w:ilvl w:val="0"/>
          <w:numId w:val="26"/>
        </w:numPr>
        <w:spacing w:after="60" w:line="276"/>
      </w:pPr>
      <w:r>
        <w:rPr>
          <w:b/>
          <w:bCs/>
          <w:color w:val="2E7D32"/>
        </w:rPr>
        <w:t xml:space="preserve">Take-over</w:t>
      </w:r>
      <w:r>
        <w:t xml:space="preserve"> — the Chief Administrator may, by notification, </w:t>
      </w:r>
      <w:r>
        <w:rPr>
          <w:b/>
          <w:bCs/>
          <w:color w:val="2E7D32"/>
        </w:rPr>
        <w:t xml:space="preserve">take over</w:t>
      </w:r>
      <w:r>
        <w:t xml:space="preserve"> the administration, control and management of waqf property, notwithstanding any law, custom, decree or pending proceedings — but </w:t>
      </w:r>
      <w:r>
        <w:rPr>
          <w:b/>
          <w:bCs/>
          <w:color w:val="2E7D32"/>
        </w:rPr>
        <w:t xml:space="preserve">not during the lifetime of the waqif</w:t>
      </w:r>
      <w:r>
        <w:t xml:space="preserve"> except with his consent (s. 8).</w:t>
      </w:r>
    </w:p>
    <w:p>
      <w:pPr>
        <w:pStyle w:val="ListParagraph"/>
        <w:numPr>
          <w:ilvl w:val="0"/>
          <w:numId w:val="26"/>
        </w:numPr>
        <w:spacing w:after="60" w:line="276"/>
      </w:pPr>
      <w:r>
        <w:rPr>
          <w:b/>
          <w:bCs/>
          <w:color w:val="2E7D32"/>
        </w:rPr>
        <w:t xml:space="preserve">Eviction</w:t>
      </w:r>
      <w:r>
        <w:t xml:space="preserve"> of persons wrongfully in possession; termination of tenancies; </w:t>
      </w:r>
      <w:r>
        <w:rPr>
          <w:b/>
          <w:bCs/>
          <w:color w:val="2E7D32"/>
        </w:rPr>
        <w:t xml:space="preserve">appeal</w:t>
      </w:r>
      <w:r>
        <w:t xml:space="preserve"> to the Chief Administrator within 60 / 30 days (ss. 10–12).</w:t>
      </w:r>
    </w:p>
    <w:p>
      <w:pPr>
        <w:pStyle w:val="ListParagraph"/>
        <w:numPr>
          <w:ilvl w:val="0"/>
          <w:numId w:val="26"/>
        </w:numPr>
        <w:spacing w:after="60" w:line="276"/>
      </w:pPr>
      <w:r>
        <w:rPr>
          <w:b/>
          <w:bCs/>
          <w:color w:val="2E7D32"/>
        </w:rPr>
        <w:t xml:space="preserve">Challenge</w:t>
      </w:r>
      <w:r>
        <w:t xml:space="preserve"> — any person claiming an interest may, within </w:t>
      </w:r>
      <w:r>
        <w:rPr>
          <w:b/>
          <w:bCs/>
          <w:color w:val="2E7D32"/>
        </w:rPr>
        <w:t xml:space="preserve">30 days</w:t>
      </w:r>
      <w:r>
        <w:t xml:space="preserve"> of the notification, petition the </w:t>
      </w:r>
      <w:r>
        <w:rPr>
          <w:b/>
          <w:bCs/>
          <w:color w:val="2E7D32"/>
        </w:rPr>
        <w:t xml:space="preserve">High Court</w:t>
      </w:r>
      <w:r>
        <w:t xml:space="preserve"> for a declaration that the property is </w:t>
      </w:r>
      <w:r>
        <w:rPr>
          <w:b/>
          <w:bCs/>
          <w:color w:val="2E7D32"/>
        </w:rPr>
        <w:t xml:space="preserve">not</w:t>
      </w:r>
      <w:r>
        <w:t xml:space="preserve"> waqf property, or is waqf property only within stated limits (s. 13); the High Court's decision is </w:t>
      </w:r>
      <w:r>
        <w:rPr>
          <w:b/>
          <w:bCs/>
          <w:color w:val="2E7D32"/>
        </w:rPr>
        <w:t xml:space="preserve">final</w:t>
      </w:r>
      <w:r>
        <w:t xml:space="preserve"> (s. 15).</w:t>
      </w:r>
    </w:p>
    <w:p>
      <w:pPr>
        <w:pStyle w:val="ListParagraph"/>
        <w:numPr>
          <w:ilvl w:val="0"/>
          <w:numId w:val="26"/>
        </w:numPr>
        <w:spacing w:after="60" w:line="276"/>
      </w:pPr>
      <w:r>
        <w:rPr>
          <w:b/>
          <w:bCs/>
          <w:color w:val="2E7D32"/>
        </w:rPr>
        <w:t xml:space="preserve">Injunctions</w:t>
      </w:r>
      <w:r>
        <w:t xml:space="preserve"> — no court shall issue an injunction </w:t>
      </w:r>
      <w:r>
        <w:rPr>
          <w:b/>
          <w:bCs/>
          <w:color w:val="2E7D32"/>
        </w:rPr>
        <w:t xml:space="preserve">without first hearing the Government</w:t>
      </w:r>
      <w:r>
        <w:t xml:space="preserve">, and no injunction shall last </w:t>
      </w:r>
      <w:r>
        <w:rPr>
          <w:b/>
          <w:bCs/>
          <w:color w:val="2E7D32"/>
        </w:rPr>
        <w:t xml:space="preserve">more than six months</w:t>
      </w:r>
      <w:r>
        <w:t xml:space="preserve"> (s. 14).</w:t>
      </w:r>
    </w:p>
    <w:p>
      <w:pPr>
        <w:pStyle w:val="ListParagraph"/>
        <w:numPr>
          <w:ilvl w:val="0"/>
          <w:numId w:val="26"/>
        </w:numPr>
        <w:spacing w:after="60" w:line="276"/>
      </w:pPr>
      <w:r>
        <w:rPr>
          <w:b/>
          <w:bCs/>
          <w:color w:val="2E7D32"/>
        </w:rPr>
        <w:t xml:space="preserve">Bar of jurisdiction</w:t>
      </w:r>
      <w:r>
        <w:t xml:space="preserve"> — no civil or revenue court may question anything done under the Act by the Chief Administrator, save as provided in the Act (s. 24).</w:t>
      </w:r>
    </w:p>
    <w:p>
      <w:pPr>
        <w:pStyle w:val="Heading2"/>
        <w:keepNext/>
      </w:pPr>
      <w:bookmarkStart w:name="_h46" w:id="147"/>
      <w:r>
        <w:t xml:space="preserve">8.6 Cy-pres</w:t>
      </w:r>
      <w:bookmarkEnd w:id="147"/>
    </w:p>
    <w:p>
      <w:pPr>
        <w:spacing w:after="120" w:line="288"/>
      </w:pPr>
      <w:r>
        <w:t xml:space="preserve">If the object of a waqf </w:t>
      </w:r>
      <w:r>
        <w:rPr>
          <w:b/>
          <w:bCs/>
          <w:color w:val="2E7D32"/>
        </w:rPr>
        <w:t xml:space="preserve">fails</w:t>
      </w:r>
      <w:r>
        <w:t xml:space="preserve"> (becomes impossible), the waqf does not fail; the income is applied to a </w:t>
      </w:r>
      <w:r>
        <w:rPr>
          <w:b/>
          <w:bCs/>
          <w:color w:val="2E7D32"/>
        </w:rPr>
        <w:t xml:space="preserve">similar</w:t>
      </w:r>
      <w:r>
        <w:t xml:space="preserve"> charitable purpose (</w:t>
      </w:r>
      <w:r>
        <w:rPr>
          <w:i/>
          <w:iCs/>
        </w:rPr>
        <w:t xml:space="preserve">cy-pres</w:t>
      </w:r>
      <w:r>
        <w:t xml:space="preserve"> — "as near as possible"), or to the poor.</w:t>
      </w:r>
    </w:p>
    <w:p>
      <w:pPr>
        <w:pStyle w:val="Heading1"/>
        <w:keepNext/>
        <w:pageBreakBefore/>
      </w:pPr>
      <w:bookmarkStart w:name="_h47" w:id="148"/>
      <w:r>
        <w:t xml:space="preserve">Chapter 9 · Pre-emption (shufa)</w:t>
      </w:r>
      <w:bookmarkEnd w:id="148"/>
    </w:p>
    <w:p>
      <w:pPr>
        <w:pStyle w:val="Heading2"/>
        <w:keepNext/>
      </w:pPr>
      <w:bookmarkStart w:name="_h48" w:id="149"/>
      <w:r>
        <w:t xml:space="preserve">9.1 Meaning and nature</w:t>
      </w:r>
      <w:bookmarkEnd w:id="149"/>
    </w:p>
    <w:p>
      <w:pPr>
        <w:spacing w:after="120" w:line="288"/>
      </w:pPr>
      <w:r>
        <w:rPr>
          <w:b/>
          <w:bCs/>
          <w:color w:val="2E7D32"/>
        </w:rPr>
        <w:t xml:space="preserve">Pre-emption</w:t>
      </w:r>
      <w:r>
        <w:t xml:space="preserve"> (</w:t>
      </w:r>
      <w:r>
        <w:rPr>
          <w:i/>
          <w:iCs/>
        </w:rPr>
        <w:t xml:space="preserve">shufa</w:t>
      </w:r>
      <w:r>
        <w:t xml:space="preserve">) is the right of the owner of certain immovable property to </w:t>
      </w:r>
      <w:r>
        <w:rPr>
          <w:b/>
          <w:bCs/>
          <w:color w:val="2E7D32"/>
        </w:rPr>
        <w:t xml:space="preserve">acquire</w:t>
      </w:r>
      <w:r>
        <w:t xml:space="preserve">, by </w:t>
      </w:r>
      <w:r>
        <w:rPr>
          <w:b/>
          <w:bCs/>
          <w:color w:val="2E7D32"/>
        </w:rPr>
        <w:t xml:space="preserve">substitution</w:t>
      </w:r>
      <w:r>
        <w:t xml:space="preserve"> in place of the buyer, another immovable property </w:t>
      </w:r>
      <w:r>
        <w:rPr>
          <w:b/>
          <w:bCs/>
          <w:color w:val="2E7D32"/>
        </w:rPr>
        <w:t xml:space="preserve">sold</w:t>
      </w:r>
      <w:r>
        <w:t xml:space="preserve"> to someone else, on the </w:t>
      </w:r>
      <w:r>
        <w:rPr>
          <w:b/>
          <w:bCs/>
          <w:color w:val="2E7D32"/>
        </w:rPr>
        <w:t xml:space="preserve">same terms</w:t>
      </w:r>
      <w:r>
        <w:t xml:space="preserve"> (price) as the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Pre-emption is a weak right</w:t>
            </w:r>
          </w:p>
          <w:p>
            <w:pPr>
              <w:spacing w:after="90" w:line="276"/>
            </w:pPr>
            <w:r>
              <w:t xml:space="preserve">The right of pre-emption is a "</w:t>
            </w:r>
            <w:r>
              <w:rPr>
                <w:b/>
                <w:bCs/>
                <w:color w:val="2E7D32"/>
              </w:rPr>
              <w:t xml:space="preserve">feeble</w:t>
            </w:r>
            <w:r>
              <w:t xml:space="preserve">" or "</w:t>
            </w:r>
            <w:r>
              <w:rPr>
                <w:b/>
                <w:bCs/>
                <w:color w:val="2E7D32"/>
              </w:rPr>
              <w:t xml:space="preserve">weak</w:t>
            </w:r>
            <w:r>
              <w:t xml:space="preserve">" right (</w:t>
            </w:r>
            <w:r>
              <w:rPr>
                <w:i/>
                <w:iCs/>
              </w:rPr>
              <w:t xml:space="preserve">haq-e-za'if</w:t>
            </w:r>
            <w:r>
              <w:t xml:space="preserve">), because it restricts the owner's freedom to sell and the buyer's freedom to buy. Courts therefore insist on </w:t>
            </w:r>
            <w:r>
              <w:rPr>
                <w:b/>
                <w:bCs/>
                <w:color w:val="2E7D32"/>
              </w:rPr>
              <w:t xml:space="preserve">strict compliance</w:t>
            </w:r>
            <w:r>
              <w:t xml:space="preserve"> with every condition — the talbs, the time limits and the qualifications of the pre-emptor — and the pre-emptor must have the right at the time of sale, at the time of the suit and at the time of the decree.</w:t>
            </w:r>
          </w:p>
        </w:tc>
      </w:tr>
    </w:tbl>
    <w:p>
      <w:pPr>
        <w:spacing w:after="80"/>
      </w:pPr>
    </w:p>
    <w:p>
      <w:pPr>
        <w:spacing w:after="120" w:line="288"/>
      </w:pPr>
      <w:r>
        <w:rPr>
          <w:b/>
          <w:bCs/>
          <w:color w:val="2E7D32"/>
        </w:rPr>
        <w:t xml:space="preserve">Rationale:</w:t>
      </w:r>
      <w:r>
        <w:t xml:space="preserve"> to prevent the introduction of a </w:t>
      </w:r>
      <w:r>
        <w:rPr>
          <w:b/>
          <w:bCs/>
          <w:color w:val="2E7D32"/>
        </w:rPr>
        <w:t xml:space="preserve">stranger</w:t>
      </w:r>
      <w:r>
        <w:t xml:space="preserve"> into a co-ownership or a neighbourhood, which might cause inconvenience or harm (</w:t>
      </w:r>
      <w:r>
        <w:rPr>
          <w:i/>
          <w:iCs/>
        </w:rPr>
        <w:t xml:space="preserve">darar</w:t>
      </w:r>
      <w:r>
        <w:t xml:space="preserve">).</w:t>
      </w:r>
    </w:p>
    <w:p>
      <w:pPr>
        <w:pStyle w:val="Heading2"/>
        <w:keepNext/>
      </w:pPr>
      <w:bookmarkStart w:name="_h49" w:id="150"/>
      <w:r>
        <w:t xml:space="preserve">9.2 Who may pre-empt — the three classes (Hanafi)</w:t>
      </w:r>
      <w:bookmarkEnd w:id="150"/>
    </w:p>
    <w:p>
      <w:pPr>
        <w:pStyle w:val="ListParagraph"/>
        <w:numPr>
          <w:ilvl w:val="0"/>
          <w:numId w:val="27"/>
        </w:numPr>
        <w:spacing w:after="60" w:line="276"/>
      </w:pPr>
      <w:r>
        <w:rPr>
          <w:b/>
          <w:bCs/>
          <w:color w:val="2E7D32"/>
        </w:rPr>
        <w:t xml:space="preserve">Shafi-i-sharik</w:t>
      </w:r>
      <w:r>
        <w:t xml:space="preserve"> — a </w:t>
      </w:r>
      <w:r>
        <w:rPr>
          <w:b/>
          <w:bCs/>
          <w:color w:val="2E7D32"/>
        </w:rPr>
        <w:t xml:space="preserve">co-sharer</w:t>
      </w:r>
      <w:r>
        <w:t xml:space="preserve"> in the property sold (undivided ownership);</w:t>
      </w:r>
    </w:p>
    <w:p>
      <w:pPr>
        <w:pStyle w:val="ListParagraph"/>
        <w:numPr>
          <w:ilvl w:val="0"/>
          <w:numId w:val="27"/>
        </w:numPr>
        <w:spacing w:after="60" w:line="276"/>
      </w:pPr>
      <w:r>
        <w:rPr>
          <w:b/>
          <w:bCs/>
          <w:color w:val="2E7D32"/>
        </w:rPr>
        <w:t xml:space="preserve">Shafi-i-khalit</w:t>
      </w:r>
      <w:r>
        <w:t xml:space="preserve"> — a </w:t>
      </w:r>
      <w:r>
        <w:rPr>
          <w:b/>
          <w:bCs/>
          <w:color w:val="2E7D32"/>
        </w:rPr>
        <w:t xml:space="preserve">participator in the appendages</w:t>
      </w:r>
      <w:r>
        <w:t xml:space="preserve">, i.e., in rights attached to the property such as a right of </w:t>
      </w:r>
      <w:r>
        <w:rPr>
          <w:b/>
          <w:bCs/>
          <w:color w:val="2E7D32"/>
        </w:rPr>
        <w:t xml:space="preserve">way</w:t>
      </w:r>
      <w:r>
        <w:t xml:space="preserve"> or </w:t>
      </w:r>
      <w:r>
        <w:rPr>
          <w:b/>
          <w:bCs/>
          <w:color w:val="2E7D32"/>
        </w:rPr>
        <w:t xml:space="preserve">water</w:t>
      </w:r>
      <w:r>
        <w:t xml:space="preserve"> (</w:t>
      </w:r>
      <w:r>
        <w:rPr>
          <w:i/>
          <w:iCs/>
        </w:rPr>
        <w:t xml:space="preserve">haq-e-shirb</w:t>
      </w:r>
      <w:r>
        <w:t xml:space="preserve"> / </w:t>
      </w:r>
      <w:r>
        <w:rPr>
          <w:i/>
          <w:iCs/>
        </w:rPr>
        <w:t xml:space="preserve">haq-e-tariq</w:t>
      </w:r>
      <w:r>
        <w:t xml:space="preserve">);</w:t>
      </w:r>
    </w:p>
    <w:p>
      <w:pPr>
        <w:pStyle w:val="ListParagraph"/>
        <w:numPr>
          <w:ilvl w:val="0"/>
          <w:numId w:val="27"/>
        </w:numPr>
        <w:spacing w:after="60" w:line="276"/>
      </w:pPr>
      <w:r>
        <w:rPr>
          <w:b/>
          <w:bCs/>
          <w:color w:val="2E7D32"/>
        </w:rPr>
        <w:t xml:space="preserve">Shafi-i-jar</w:t>
      </w:r>
      <w:r>
        <w:t xml:space="preserve"> — the </w:t>
      </w:r>
      <w:r>
        <w:rPr>
          <w:b/>
          <w:bCs/>
          <w:color w:val="2E7D32"/>
        </w:rPr>
        <w:t xml:space="preserve">owner of adjoining</w:t>
      </w:r>
      <w:r>
        <w:t xml:space="preserve"> immovable property (neighbour).</w:t>
      </w:r>
    </w:p>
    <w:p>
      <w:pPr>
        <w:spacing w:after="120" w:line="288"/>
      </w:pPr>
      <w:r>
        <w:t xml:space="preserve">Each class </w:t>
      </w:r>
      <w:r>
        <w:rPr>
          <w:b/>
          <w:bCs/>
          <w:color w:val="2E7D32"/>
        </w:rPr>
        <w:t xml:space="preserve">excludes</w:t>
      </w:r>
      <w:r>
        <w:t xml:space="preserve"> the next; among persons of the same class, they share equally.</w:t>
      </w:r>
    </w:p>
    <w:p>
      <w:pPr>
        <w:pStyle w:val="Heading2"/>
        <w:keepNext/>
      </w:pPr>
      <w:bookmarkStart w:name="_h50" w:id="151"/>
      <w:r>
        <w:t xml:space="preserve">9.3 The three demands (talbs)</w:t>
      </w:r>
      <w:bookmarkEnd w:id="151"/>
    </w:p>
    <w:p>
      <w:pPr>
        <w:pStyle w:val="ListParagraph"/>
        <w:numPr>
          <w:ilvl w:val="0"/>
          <w:numId w:val="28"/>
        </w:numPr>
        <w:spacing w:after="60" w:line="276"/>
      </w:pPr>
      <w:r>
        <w:rPr>
          <w:b/>
          <w:bCs/>
          <w:color w:val="2E7D32"/>
        </w:rPr>
        <w:t xml:space="preserve">Talb-i-muwathibat</w:t>
      </w:r>
      <w:r>
        <w:t xml:space="preserve"> ("demand by jumping") — an </w:t>
      </w:r>
      <w:r>
        <w:rPr>
          <w:b/>
          <w:bCs/>
          <w:color w:val="2E7D32"/>
        </w:rPr>
        <w:t xml:space="preserve">immediate</w:t>
      </w:r>
      <w:r>
        <w:t xml:space="preserve"> declaration of the intention to pre-empt, made </w:t>
      </w:r>
      <w:r>
        <w:rPr>
          <w:b/>
          <w:bCs/>
          <w:color w:val="2E7D32"/>
        </w:rPr>
        <w:t xml:space="preserve">as soon as</w:t>
      </w:r>
      <w:r>
        <w:t xml:space="preserve"> the pre-emptor learns of the sale — in the same sitting or meeting (</w:t>
      </w:r>
      <w:r>
        <w:rPr>
          <w:i/>
          <w:iCs/>
        </w:rPr>
        <w:t xml:space="preserve">majlis</w:t>
      </w:r>
      <w:r>
        <w:t xml:space="preserve">). Any delay or conduct showing waiver defeats the right.</w:t>
      </w:r>
    </w:p>
    <w:p>
      <w:pPr>
        <w:pStyle w:val="ListParagraph"/>
        <w:numPr>
          <w:ilvl w:val="0"/>
          <w:numId w:val="28"/>
        </w:numPr>
        <w:spacing w:after="60" w:line="276"/>
      </w:pPr>
      <w:r>
        <w:rPr>
          <w:b/>
          <w:bCs/>
          <w:color w:val="2E7D32"/>
        </w:rPr>
        <w:t xml:space="preserve">Talb-i-ishhad</w:t>
      </w:r>
      <w:r>
        <w:t xml:space="preserve"> (demand with witnesses) — a confirmatory demand made in the presence of </w:t>
      </w:r>
      <w:r>
        <w:rPr>
          <w:b/>
          <w:bCs/>
          <w:color w:val="2E7D32"/>
        </w:rPr>
        <w:t xml:space="preserve">two witnesses</w:t>
      </w:r>
      <w:r>
        <w:t xml:space="preserve">, at the property, or before the seller or buyer. Under the </w:t>
      </w:r>
      <w:r>
        <w:rPr>
          <w:b/>
          <w:bCs/>
          <w:color w:val="2E7D32"/>
        </w:rPr>
        <w:t xml:space="preserve">Punjab Pre-emption Act 1991</w:t>
      </w:r>
      <w:r>
        <w:t xml:space="preserve"> (s. 13), this is a </w:t>
      </w:r>
      <w:r>
        <w:rPr>
          <w:b/>
          <w:bCs/>
          <w:color w:val="2E7D32"/>
        </w:rPr>
        <w:t xml:space="preserve">written notice</w:t>
      </w:r>
      <w:r>
        <w:t xml:space="preserve"> within </w:t>
      </w:r>
      <w:r>
        <w:rPr>
          <w:b/>
          <w:bCs/>
          <w:color w:val="2E7D32"/>
        </w:rPr>
        <w:t xml:space="preserve">two weeks</w:t>
      </w:r>
      <w:r>
        <w:t xml:space="preserve"> of knowledge, </w:t>
      </w:r>
      <w:r>
        <w:rPr>
          <w:b/>
          <w:bCs/>
          <w:color w:val="2E7D32"/>
        </w:rPr>
        <w:t xml:space="preserve">attested by two truthful witnesses</w:t>
      </w:r>
      <w:r>
        <w:t xml:space="preserve">, sent to the vendee by </w:t>
      </w:r>
      <w:r>
        <w:rPr>
          <w:b/>
          <w:bCs/>
          <w:color w:val="2E7D32"/>
        </w:rPr>
        <w:t xml:space="preserve">registered post</w:t>
      </w:r>
      <w:r>
        <w:t xml:space="preserve"> acknowledgment due.</w:t>
      </w:r>
    </w:p>
    <w:p>
      <w:pPr>
        <w:pStyle w:val="ListParagraph"/>
        <w:numPr>
          <w:ilvl w:val="0"/>
          <w:numId w:val="28"/>
        </w:numPr>
        <w:spacing w:after="60" w:line="276"/>
      </w:pPr>
      <w:r>
        <w:rPr>
          <w:b/>
          <w:bCs/>
          <w:color w:val="2E7D32"/>
        </w:rPr>
        <w:t xml:space="preserve">Talb-i-khusumat</w:t>
      </w:r>
      <w:r>
        <w:t xml:space="preserve"> (demand by litigation) — the </w:t>
      </w:r>
      <w:r>
        <w:rPr>
          <w:b/>
          <w:bCs/>
          <w:color w:val="2E7D32"/>
        </w:rPr>
        <w:t xml:space="preserve">suit</w:t>
      </w:r>
      <w:r>
        <w:t xml:space="preserve"> for pre-emption, filed within the period of limitation.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Government of NWFP v. Said Kamal Shah (PLD 1986 SC 360, Shariat Appellate Bench)</w:t>
            </w:r>
          </w:p>
          <w:p>
            <w:pPr>
              <w:spacing w:after="90" w:line="276"/>
            </w:pPr>
            <w:r>
              <w:rPr>
                <w:b/>
                <w:bCs/>
              </w:rPr>
              <w:t xml:space="preserve">Held.</w:t>
            </w:r>
            <w:r>
              <w:t xml:space="preserve"> The pre-emption laws then in force were </w:t>
            </w:r>
            <w:r>
              <w:rPr>
                <w:b/>
                <w:bCs/>
                <w:color w:val="2E7D32"/>
              </w:rPr>
              <w:t xml:space="preserve">repugnant</w:t>
            </w:r>
            <w:r>
              <w:t xml:space="preserve"> to the Injunctions of Islam to the extent they (i) allowed pre-emption on grounds other than those recognised by Islam (co-sharer, participator in appendages, neighbour), and (ii) did not require the </w:t>
            </w:r>
            <w:r>
              <w:rPr>
                <w:b/>
                <w:bCs/>
                <w:color w:val="2E7D32"/>
              </w:rPr>
              <w:t xml:space="preserve">talbs</w:t>
            </w:r>
            <w:r>
              <w:t xml:space="preserve">. The provisions ceased to have effect from </w:t>
            </w:r>
            <w:r>
              <w:rPr>
                <w:b/>
                <w:bCs/>
                <w:color w:val="2E7D32"/>
              </w:rPr>
              <w:t xml:space="preserve">31 July 1986</w:t>
            </w:r>
            <w:r>
              <w:t xml:space="preserve">. New Acts followed — the </w:t>
            </w:r>
            <w:r>
              <w:rPr>
                <w:b/>
                <w:bCs/>
                <w:color w:val="2E7D32"/>
              </w:rPr>
              <w:t xml:space="preserve">NWFP Pre-emption Act 1987</w:t>
            </w:r>
            <w:r>
              <w:t xml:space="preserve"> and the </w:t>
            </w:r>
            <w:r>
              <w:rPr>
                <w:b/>
                <w:bCs/>
                <w:color w:val="2E7D32"/>
              </w:rPr>
              <w:t xml:space="preserve">Punjab Pre-emption Act 1991</w:t>
            </w:r>
            <w:r>
              <w:t xml:space="preserve">, both requiring the talbs (and saving cases decided before 1 August 1986).</w:t>
            </w:r>
          </w:p>
        </w:tc>
      </w:tr>
    </w:tbl>
    <w:p>
      <w:pPr>
        <w:spacing w:after="80"/>
      </w:pPr>
    </w:p>
    <w:p>
      <w:pPr>
        <w:pStyle w:val="Heading2"/>
        <w:keepNext/>
      </w:pPr>
      <w:bookmarkStart w:name="_h51" w:id="152"/>
      <w:r>
        <w:t xml:space="preserve">9.4 The law applied in Islamabad</w:t>
      </w:r>
      <w:bookmarkEnd w:id="152"/>
    </w:p>
    <w:p>
      <w:pPr>
        <w:spacing w:after="120" w:line="288"/>
      </w:pPr>
      <w:r>
        <w:t xml:space="preserve">Pre-emption in the ICT has a complicated legislative history. According to an Islamabad High Court decision reported in 2020, the 1997 Ordinance that had repealed the </w:t>
      </w:r>
      <w:r>
        <w:rPr>
          <w:b/>
          <w:bCs/>
          <w:color w:val="2E7D32"/>
        </w:rPr>
        <w:t xml:space="preserve">Punjab Pre-emption Act 1913</w:t>
      </w:r>
      <w:r>
        <w:t xml:space="preserve"> for the ICT </w:t>
      </w:r>
      <w:r>
        <w:rPr>
          <w:b/>
          <w:bCs/>
          <w:color w:val="2E7D32"/>
        </w:rPr>
        <w:t xml:space="preserve">lapsed</w:t>
      </w:r>
      <w:r>
        <w:t xml:space="preserve"> after its constitutional life, so the </w:t>
      </w:r>
      <w:r>
        <w:rPr>
          <w:b/>
          <w:bCs/>
          <w:color w:val="2E7D32"/>
        </w:rPr>
        <w:t xml:space="preserve">1913 Act revived</w:t>
      </w:r>
      <w:r>
        <w:t xml:space="preserve"> in its application to the ICT; following </w:t>
      </w:r>
      <w:r>
        <w:rPr>
          <w:i/>
          <w:iCs/>
        </w:rPr>
        <w:t xml:space="preserve">Said Kamal Shah</w:t>
      </w:r>
      <w:r>
        <w:t xml:space="preserve">, the courts apply it </w:t>
      </w:r>
      <w:r>
        <w:rPr>
          <w:b/>
          <w:bCs/>
          <w:color w:val="2E7D32"/>
        </w:rPr>
        <w:t xml:space="preserve">together with the Islamic requirements</w:t>
      </w:r>
      <w:r>
        <w:t xml:space="preserve"> — the three </w:t>
      </w:r>
      <w:r>
        <w:rPr>
          <w:b/>
          <w:bCs/>
          <w:color w:val="2E7D32"/>
        </w:rPr>
        <w:t xml:space="preserve">talbs</w:t>
      </w:r>
      <w:r>
        <w:t xml:space="preserve"> and the three classes of pre-emptors. The Punjab Act of 1991 does not, as such, extend to the ICT. (Verify the current position before relying on it in practice; for the exam, state the Islamic law, the </w:t>
      </w:r>
      <w:r>
        <w:rPr>
          <w:i/>
          <w:iCs/>
        </w:rPr>
        <w:t xml:space="preserve">Said Kamal Shah</w:t>
      </w:r>
      <w:r>
        <w:t xml:space="preserve"> requirements and this position.)</w:t>
      </w:r>
    </w:p>
    <w:p>
      <w:pPr>
        <w:pStyle w:val="Heading2"/>
        <w:keepNext/>
      </w:pPr>
      <w:bookmarkStart w:name="_h52" w:id="153"/>
      <w:r>
        <w:t xml:space="preserve">9.5 Other rules</w:t>
      </w:r>
      <w:bookmarkEnd w:id="153"/>
    </w:p>
    <w:p>
      <w:pPr>
        <w:pStyle w:val="ListParagraph"/>
        <w:numPr>
          <w:ilvl w:val="0"/>
          <w:numId w:val="29"/>
        </w:numPr>
        <w:spacing w:after="60" w:line="276"/>
      </w:pPr>
      <w:r>
        <w:rPr>
          <w:b/>
          <w:bCs/>
          <w:color w:val="2E7D32"/>
        </w:rPr>
        <w:t xml:space="preserve">Subject</w:t>
      </w:r>
      <w:r>
        <w:t xml:space="preserve"> — pre-emption arises only on a </w:t>
      </w:r>
      <w:r>
        <w:rPr>
          <w:b/>
          <w:bCs/>
          <w:color w:val="2E7D32"/>
        </w:rPr>
        <w:t xml:space="preserve">sale</w:t>
      </w:r>
      <w:r>
        <w:t xml:space="preserve"> of </w:t>
      </w:r>
      <w:r>
        <w:rPr>
          <w:b/>
          <w:bCs/>
          <w:color w:val="2E7D32"/>
        </w:rPr>
        <w:t xml:space="preserve">immovable</w:t>
      </w:r>
      <w:r>
        <w:t xml:space="preserve"> property (including a sale disguised as a gift or exchange); </w:t>
      </w:r>
      <w:r>
        <w:rPr>
          <w:b/>
          <w:bCs/>
          <w:color w:val="2E7D32"/>
        </w:rPr>
        <w:t xml:space="preserve">not</w:t>
      </w:r>
      <w:r>
        <w:t xml:space="preserve"> on a gift, waqf, inheritance, bequest, lease, mortgage, or a </w:t>
      </w:r>
      <w:r>
        <w:rPr>
          <w:b/>
          <w:bCs/>
          <w:color w:val="2E7D32"/>
        </w:rPr>
        <w:t xml:space="preserve">hiba-bil-iwaz</w:t>
      </w:r>
      <w:r>
        <w:t xml:space="preserve"> that is genuinely a gift.</w:t>
      </w:r>
    </w:p>
    <w:p>
      <w:pPr>
        <w:pStyle w:val="ListParagraph"/>
        <w:numPr>
          <w:ilvl w:val="0"/>
          <w:numId w:val="29"/>
        </w:numPr>
        <w:spacing w:after="60" w:line="276"/>
      </w:pPr>
      <w:r>
        <w:rPr>
          <w:b/>
          <w:bCs/>
          <w:color w:val="2E7D32"/>
        </w:rPr>
        <w:t xml:space="preserve">Price</w:t>
      </w:r>
      <w:r>
        <w:t xml:space="preserve"> — the pre-emptor must pay the </w:t>
      </w:r>
      <w:r>
        <w:rPr>
          <w:b/>
          <w:bCs/>
          <w:color w:val="2E7D32"/>
        </w:rPr>
        <w:t xml:space="preserve">price actually paid</w:t>
      </w:r>
      <w:r>
        <w:t xml:space="preserve"> (or the market value if a fictitious price was shown to defeat pre-emption); the court may require </w:t>
      </w:r>
      <w:r>
        <w:rPr>
          <w:b/>
          <w:bCs/>
          <w:color w:val="2E7D32"/>
        </w:rPr>
        <w:t xml:space="preserve">deposit</w:t>
      </w:r>
      <w:r>
        <w:t xml:space="preserve"> of a part of the price (e.g., one-third) within a fixed time, failing which the suit is dismissed.</w:t>
      </w:r>
    </w:p>
    <w:p>
      <w:pPr>
        <w:pStyle w:val="ListParagraph"/>
        <w:numPr>
          <w:ilvl w:val="0"/>
          <w:numId w:val="29"/>
        </w:numPr>
        <w:spacing w:after="60" w:line="276"/>
      </w:pPr>
      <w:r>
        <w:rPr>
          <w:b/>
          <w:bCs/>
          <w:color w:val="2E7D32"/>
        </w:rPr>
        <w:t xml:space="preserve">Exemptions</w:t>
      </w:r>
      <w:r>
        <w:t xml:space="preserve"> — the statutes exclude certain properties from pre-emption (e.g., </w:t>
      </w:r>
      <w:r>
        <w:rPr>
          <w:b/>
          <w:bCs/>
          <w:color w:val="2E7D32"/>
        </w:rPr>
        <w:t xml:space="preserve">waqf</w:t>
      </w:r>
      <w:r>
        <w:t xml:space="preserve"> property and property acquired by or sold to the </w:t>
      </w:r>
      <w:r>
        <w:rPr>
          <w:b/>
          <w:bCs/>
          <w:color w:val="2E7D32"/>
        </w:rPr>
        <w:t xml:space="preserve">State</w:t>
      </w:r>
      <w:r>
        <w:t xml:space="preserve"> for public purposes); consult the applicable statute.</w:t>
      </w:r>
    </w:p>
    <w:p>
      <w:pPr>
        <w:pStyle w:val="ListParagraph"/>
        <w:numPr>
          <w:ilvl w:val="0"/>
          <w:numId w:val="29"/>
        </w:numPr>
        <w:spacing w:after="60" w:line="276"/>
      </w:pPr>
      <w:r>
        <w:rPr>
          <w:b/>
          <w:bCs/>
          <w:color w:val="2E7D32"/>
        </w:rPr>
        <w:t xml:space="preserve">Limitation</w:t>
      </w:r>
      <w:r>
        <w:t xml:space="preserve"> — </w:t>
      </w:r>
      <w:r>
        <w:rPr>
          <w:b/>
          <w:bCs/>
          <w:color w:val="2E7D32"/>
        </w:rPr>
        <w:t xml:space="preserve">Limitation Act, Art. 10</w:t>
      </w:r>
      <w:r>
        <w:t xml:space="preserve">: </w:t>
      </w:r>
      <w:r>
        <w:rPr>
          <w:b/>
          <w:bCs/>
          <w:color w:val="2E7D32"/>
        </w:rPr>
        <w:t xml:space="preserve">one year</w:t>
      </w:r>
      <w:r>
        <w:t xml:space="preserve"> from when the purchaser takes, under the sale, </w:t>
      </w:r>
      <w:r>
        <w:rPr>
          <w:b/>
          <w:bCs/>
          <w:color w:val="2E7D32"/>
        </w:rPr>
        <w:t xml:space="preserve">physical possession</w:t>
      </w:r>
      <w:r>
        <w:t xml:space="preserve"> of the whole of the property sold, or, where the subject does not admit of physical possession, when the </w:t>
      </w:r>
      <w:r>
        <w:rPr>
          <w:b/>
          <w:bCs/>
          <w:color w:val="2E7D32"/>
        </w:rPr>
        <w:t xml:space="preserve">instrument of sale is registered</w:t>
      </w:r>
      <w:r>
        <w:t xml:space="preserve">. (The Punjab Act 1991, s. 30, prescribes </w:t>
      </w:r>
      <w:r>
        <w:rPr>
          <w:b/>
          <w:bCs/>
          <w:color w:val="2E7D32"/>
        </w:rPr>
        <w:t xml:space="preserve">four months</w:t>
      </w:r>
      <w:r>
        <w:t xml:space="preserve"> from the registration / attestation of mutation / knowledge, as the case may be.) Sections 6 and 7 of the Limitation Act (disability) </w:t>
      </w:r>
      <w:r>
        <w:rPr>
          <w:b/>
          <w:bCs/>
          <w:color w:val="2E7D32"/>
        </w:rPr>
        <w:t xml:space="preserve">do not apply</w:t>
      </w:r>
      <w:r>
        <w:t xml:space="preserve"> to pre-emption suits (s. 8).</w:t>
      </w:r>
    </w:p>
    <w:p>
      <w:pPr>
        <w:pStyle w:val="ListParagraph"/>
        <w:numPr>
          <w:ilvl w:val="0"/>
          <w:numId w:val="29"/>
        </w:numPr>
        <w:spacing w:after="60" w:line="276"/>
      </w:pPr>
      <w:r>
        <w:rPr>
          <w:b/>
          <w:bCs/>
          <w:color w:val="2E7D32"/>
        </w:rPr>
        <w:t xml:space="preserve">Waiver and loss</w:t>
      </w:r>
      <w:r>
        <w:t xml:space="preserve"> — the right is lost by </w:t>
      </w:r>
      <w:r>
        <w:rPr>
          <w:b/>
          <w:bCs/>
          <w:color w:val="2E7D32"/>
        </w:rPr>
        <w:t xml:space="preserve">acquiescence</w:t>
      </w:r>
      <w:r>
        <w:t xml:space="preserve">, by </w:t>
      </w:r>
      <w:r>
        <w:rPr>
          <w:b/>
          <w:bCs/>
          <w:color w:val="2E7D32"/>
        </w:rPr>
        <w:t xml:space="preserve">delay</w:t>
      </w:r>
      <w:r>
        <w:t xml:space="preserve"> in making the talbs, by the pre-emptor's </w:t>
      </w:r>
      <w:r>
        <w:rPr>
          <w:b/>
          <w:bCs/>
          <w:color w:val="2E7D32"/>
        </w:rPr>
        <w:t xml:space="preserve">sale</w:t>
      </w:r>
      <w:r>
        <w:t xml:space="preserve"> of the property on which his right is based before the decree, or by </w:t>
      </w:r>
      <w:r>
        <w:rPr>
          <w:b/>
          <w:bCs/>
          <w:color w:val="2E7D32"/>
        </w:rPr>
        <w:t xml:space="preserve">compromise</w:t>
      </w:r>
      <w:r>
        <w:t xml:space="preserve"> for consideration.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Chapters 8–9 in eight lines</w:t>
            </w:r>
          </w:p>
          <w:p>
            <w:pPr>
              <w:pStyle w:val="ListParagraph"/>
              <w:numPr>
                <w:ilvl w:val="0"/>
                <w:numId w:val="12"/>
              </w:numPr>
              <w:spacing w:after="60" w:line="276"/>
            </w:pPr>
            <w:r>
              <w:t xml:space="preserve">Waqf: permanent dedication by a Muslim for a religious, pious or charitable purpose (1913 Act s. 2; ICT Act 2020 s. 2(n) with deemed waqfs — immemorial use, shrines, mosques).</w:t>
            </w:r>
          </w:p>
          <w:p>
            <w:pPr>
              <w:pStyle w:val="ListParagraph"/>
              <w:numPr>
                <w:ilvl w:val="0"/>
                <w:numId w:val="12"/>
              </w:numPr>
              <w:spacing w:after="60" w:line="276"/>
            </w:pPr>
            <w:r>
              <w:t xml:space="preserve">Essentials: perpetual, irrevocable, inalienable, unconditional, lawful object, competent waqif, ultimate charity.</w:t>
            </w:r>
          </w:p>
          <w:p>
            <w:pPr>
              <w:pStyle w:val="ListParagraph"/>
              <w:numPr>
                <w:ilvl w:val="0"/>
                <w:numId w:val="12"/>
              </w:numPr>
              <w:spacing w:after="60" w:line="276"/>
            </w:pPr>
            <w:r>
              <w:t xml:space="preserve">Family waqf invalid in </w:t>
            </w:r>
            <w:r>
              <w:rPr>
                <w:i/>
                <w:iCs/>
              </w:rPr>
              <w:t xml:space="preserve">Abul Fata</w:t>
            </w:r>
            <w:r>
              <w:t xml:space="preserve"> (1894 PC) — validated by the Mussalman Wakf Validating Act 1913.</w:t>
            </w:r>
          </w:p>
          <w:p>
            <w:pPr>
              <w:pStyle w:val="ListParagraph"/>
              <w:numPr>
                <w:ilvl w:val="0"/>
                <w:numId w:val="12"/>
              </w:numPr>
              <w:spacing w:after="60" w:line="276"/>
            </w:pPr>
            <w:r>
              <w:t xml:space="preserve">Mutawalli manages; no sale / mortgage without court permission; removal by court; cy-pres on failure.</w:t>
            </w:r>
          </w:p>
          <w:p>
            <w:pPr>
              <w:pStyle w:val="ListParagraph"/>
              <w:numPr>
                <w:ilvl w:val="0"/>
                <w:numId w:val="12"/>
              </w:numPr>
              <w:spacing w:after="60" w:line="276"/>
            </w:pPr>
            <w:r>
              <w:t xml:space="preserve">ICT Act 2020: Chief Administrator; registration; take-over (not in waqif's life without consent); High Court petition in 30 days; injunctions — hear Government first, max six months; bar of jurisdiction.</w:t>
            </w:r>
          </w:p>
          <w:p>
            <w:pPr>
              <w:pStyle w:val="ListParagraph"/>
              <w:numPr>
                <w:ilvl w:val="0"/>
                <w:numId w:val="12"/>
              </w:numPr>
              <w:spacing w:after="60" w:line="276"/>
            </w:pPr>
            <w:r>
              <w:t xml:space="preserve">Pre-emption: a weak right of substitution on the sale of immovable property; strict compliance.</w:t>
            </w:r>
          </w:p>
          <w:p>
            <w:pPr>
              <w:pStyle w:val="ListParagraph"/>
              <w:numPr>
                <w:ilvl w:val="0"/>
                <w:numId w:val="12"/>
              </w:numPr>
              <w:spacing w:after="60" w:line="276"/>
            </w:pPr>
            <w:r>
              <w:t xml:space="preserve">Classes: shafi-i-sharik → khalit → jar; talbs: muwathibat (immediate), ishhad (two witnesses; written notice in 2 weeks under the Punjab 1991 Act), khusumat (suit) — </w:t>
            </w:r>
            <w:r>
              <w:rPr>
                <w:i/>
                <w:iCs/>
              </w:rPr>
              <w:t xml:space="preserve">Said Kamal Shah</w:t>
            </w:r>
            <w:r>
              <w:t xml:space="preserve">, PLD 1986 SC 360.</w:t>
            </w:r>
          </w:p>
          <w:p>
            <w:pPr>
              <w:pStyle w:val="ListParagraph"/>
              <w:numPr>
                <w:ilvl w:val="0"/>
                <w:numId w:val="12"/>
              </w:numPr>
              <w:spacing w:after="60" w:line="276"/>
            </w:pPr>
            <w:r>
              <w:t xml:space="preserve">ICT: 1913 Act revived (IHC 2020) + Islamic requirements; limitation — Art. 10 (one year from possession / registration); ss. 6–7 LA excluded (s. 8).</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Law-II · Topic 2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ea4f84aa3cafbbe4017bb1d2ead5ca9506e1a78d.png"/><Relationship Id="rId11" Type="http://schemas.openxmlformats.org/officeDocument/2006/relationships/image" Target="media/bc88b0fa2cb3b0092c4d48260acc1d30fa8964e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 · Muslim Law of Property</dc:title>
  <dc:creator>Civil Judge Exam Preparation</dc:creator>
  <cp:lastModifiedBy>Un-named</cp:lastModifiedBy>
  <cp:revision>1</cp:revision>
  <dcterms:created xsi:type="dcterms:W3CDTF">2026-10-16T08:48:01.755Z</dcterms:created>
  <dcterms:modified xsi:type="dcterms:W3CDTF">2026-10-16T08:48:01.756Z</dcterms:modified>
</cp:coreProperties>
</file>

<file path=docProps/custom.xml><?xml version="1.0" encoding="utf-8"?>
<Properties xmlns="http://schemas.openxmlformats.org/officeDocument/2006/custom-properties" xmlns:vt="http://schemas.openxmlformats.org/officeDocument/2006/docPropsVTypes"/>
</file>