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trHeight w:val="4600" w:hRule="atLeast"/>
        </w:trPr>
        <w:tc>
          <w:tcPr>
            <w:tcW w:type="dxa" w:w="9026"/>
            <w:tcBorders>
              <w:top w:val="none" w:color="FFFFFF" w:sz="0"/>
              <w:left w:val="none" w:color="FFFFFF" w:sz="0"/>
              <w:bottom w:val="none" w:color="FFFFFF" w:sz="0"/>
              <w:right w:val="none" w:color="FFFFFF" w:sz="0"/>
            </w:tcBorders>
            <w:shd w:fill="1E2B45" w:color="auto" w:val="clear"/>
            <w:tcMar>
              <w:top w:type="dxa" w:w="400"/>
              <w:left w:type="dxa" w:w="500"/>
              <w:bottom w:type="dxa" w:w="400"/>
              <w:right w:type="dxa" w:w="500"/>
            </w:tcMar>
            <w:vAlign w:val="center"/>
          </w:tcPr>
          <w:p>
            <w:pPr>
              <w:spacing w:after="200"/>
            </w:pPr>
            <w:r>
              <w:rPr>
                <w:b/>
                <w:bCs/>
                <w:color w:val="CBD5E1"/>
                <w:spacing w:val="30"/>
                <w:sz w:val="22"/>
                <w:szCs w:val="22"/>
              </w:rPr>
              <w:t xml:space="preserve">CIVIL LAW PAPER II  ·  ISLAMABAD HIGH COURT  ·  CIVIL JUDGE-CUM-MAGISTRATE EXAMINATION 2026</w:t>
            </w:r>
          </w:p>
          <w:p>
            <w:pPr>
              <w:spacing w:after="160"/>
            </w:pPr>
            <w:r>
              <w:rPr>
                <w:b/>
                <w:bCs/>
                <w:color w:val="FFFFFF"/>
                <w:sz w:val="52"/>
                <w:szCs w:val="52"/>
              </w:rPr>
              <w:t xml:space="preserve">Topic 3 · The Limitation Act 1908</w:t>
            </w:r>
          </w:p>
          <w:p>
            <w:pPr>
              <w:spacing w:after="120"/>
            </w:pPr>
            <w:r>
              <w:rPr>
                <w:color w:val="E2E8F0"/>
                <w:sz w:val="28"/>
                <w:szCs w:val="28"/>
              </w:rPr>
              <w:t xml:space="preserve">Object and policy · bar of limitation (s. 3) · extension (s. 5) · disability (ss. 6–9) · computation and exclusions (ss. 12–18) · acknowledgment and part-payment (ss. 19–21) · continuing wrongs · easements · key Articles of the First Schedule</w:t>
            </w:r>
          </w:p>
          <w:p>
            <w:r>
              <w:rPr>
                <w:i/>
                <w:iCs/>
                <w:color w:val="A7F3D0"/>
                <w:sz w:val="24"/>
                <w:szCs w:val="24"/>
              </w:rPr>
              <w:t xml:space="preserve">Knowledge Base — every concept in simple words, with rationale, cases, illustrations and maxims</w:t>
            </w:r>
          </w:p>
        </w:tc>
      </w:tr>
    </w:tbl>
    <w:p>
      <w:pPr>
        <w:pBdr>
          <w:bottom w:val="single" w:color="CBD5E1" w:sz="6" w:space="6"/>
        </w:pBdr>
        <w:spacing w:after="160" w:before="500"/>
      </w:pPr>
    </w:p>
    <w:p>
      <w:pPr>
        <w:spacing w:after="90"/>
      </w:pPr>
      <w:r>
        <w:rPr>
          <w:b/>
          <w:bCs/>
          <w:color w:val="1F4E79"/>
          <w:sz w:val="22"/>
          <w:szCs w:val="22"/>
        </w:rPr>
        <w:t xml:space="preserve">Prepared for:  </w:t>
      </w:r>
      <w:r>
        <w:rPr>
          <w:sz w:val="22"/>
          <w:szCs w:val="22"/>
        </w:rPr>
        <w:t xml:space="preserve">Ihtisham Ul Haq  (Roll No. 999)</w:t>
      </w:r>
    </w:p>
    <w:p>
      <w:pPr>
        <w:spacing w:after="90"/>
      </w:pPr>
      <w:r>
        <w:rPr>
          <w:b/>
          <w:bCs/>
          <w:color w:val="1F4E79"/>
          <w:sz w:val="22"/>
          <w:szCs w:val="22"/>
        </w:rPr>
        <w:t xml:space="preserve">Paper:  </w:t>
      </w:r>
      <w:r>
        <w:rPr>
          <w:sz w:val="22"/>
          <w:szCs w:val="22"/>
        </w:rPr>
        <w:t xml:space="preserve">Civil Law-II — Tuesday, 27 October 2026, 2:00 PM to 5:00 PM (reporting 1:30 PM)</w:t>
      </w:r>
    </w:p>
    <w:p>
      <w:pPr>
        <w:spacing w:after="90"/>
      </w:pPr>
      <w:r>
        <w:rPr>
          <w:b/>
          <w:bCs/>
          <w:color w:val="1F4E79"/>
          <w:sz w:val="22"/>
          <w:szCs w:val="22"/>
        </w:rPr>
        <w:t xml:space="preserve">This volume:  </w:t>
      </w:r>
      <w:r>
        <w:rPr>
          <w:sz w:val="22"/>
          <w:szCs w:val="22"/>
        </w:rPr>
        <w:t xml:space="preserve">Topic 3 of 4 — Limitation Act 1908 (as in force in Pakistan)</w:t>
      </w:r>
    </w:p>
    <w:p>
      <w:pPr>
        <w:spacing w:after="90"/>
      </w:pPr>
      <w:r>
        <w:rPr>
          <w:b/>
          <w:bCs/>
          <w:color w:val="1F4E79"/>
          <w:sz w:val="22"/>
          <w:szCs w:val="22"/>
        </w:rPr>
        <w:t xml:space="preserve">Companion volumes:  </w:t>
      </w:r>
      <w:r>
        <w:rPr>
          <w:sz w:val="22"/>
          <w:szCs w:val="22"/>
        </w:rPr>
        <w:t xml:space="preserve">Topic 1 — Muslim family law · Topic 2 — Muslim law of property · Topic 4 — Specific Relief Act 1877 and Registration Act 1908</w:t>
      </w:r>
    </w:p>
    <w:p>
      <w:pPr>
        <w:spacing w:after="90"/>
      </w:pPr>
      <w:r>
        <w:rPr>
          <w:b/>
          <w:bCs/>
          <w:color w:val="1F4E79"/>
          <w:sz w:val="22"/>
          <w:szCs w:val="22"/>
        </w:rPr>
        <w:t xml:space="preserve">Text of the law used:  </w:t>
      </w:r>
      <w:r>
        <w:rPr>
          <w:sz w:val="22"/>
          <w:szCs w:val="22"/>
        </w:rPr>
        <w:t xml:space="preserve">Official text of the Limitation Act 1908 (pakistancode.gov.pk), including the omission of s. 28 and Article 144 by Act II of 1995</w:t>
      </w:r>
    </w:p>
    <w:p>
      <w:r>
        <w:br w:type="page"/>
      </w:r>
    </w:p>
    <w:p>
      <w:pPr>
        <w:spacing w:after="200"/>
      </w:pPr>
      <w:r>
        <w:rPr>
          <w:b/>
          <w:bCs/>
          <w:color w:val="1F4E79"/>
          <w:sz w:val="36"/>
          <w:szCs w:val="36"/>
        </w:rPr>
        <w:t xml:space="preserve">Contents</w:t>
      </w:r>
    </w:p>
    <w:p>
      <w:pPr>
        <w:tabs>
          <w:tab w:val="right" w:pos="9026" w:leader="dot"/>
        </w:tabs>
        <w:spacing w:after="40" w:before="120"/>
        <w:ind w:left="0"/>
      </w:pPr>
      <w:hyperlink w:history="1" w:anchor="_h0">
        <w:r>
          <w:rPr>
            <w:b/>
            <w:bCs/>
            <w:color w:val="1F4E79"/>
            <w:sz w:val="22"/>
            <w:szCs w:val="22"/>
          </w:rPr>
          <w:t xml:space="preserve">How to use this knowledge base</w:t>
        </w:r>
        <w:r>
          <w:rPr>
            <w:b/>
            <w:bCs/>
            <w:color w:val="1F4E79"/>
            <w:sz w:val="22"/>
            <w:szCs w:val="22"/>
          </w:rPr>
          <w:t xml:space="preserve">	3</w:t>
        </w:r>
      </w:hyperlink>
    </w:p>
    <w:p>
      <w:pPr>
        <w:tabs>
          <w:tab w:val="right" w:pos="9026" w:leader="dot"/>
        </w:tabs>
        <w:spacing w:after="20" w:before="0"/>
        <w:ind w:left="360"/>
      </w:pPr>
      <w:hyperlink w:history="1" w:anchor="_h1">
        <w:r>
          <w:rPr>
            <w:b w:val="false"/>
            <w:bCs w:val="false"/>
            <w:color w:val="1F2937"/>
            <w:sz w:val="20"/>
            <w:szCs w:val="20"/>
          </w:rPr>
          <w:t xml:space="preserve">What Topic 3 covers</w:t>
        </w:r>
        <w:r>
          <w:rPr>
            <w:b w:val="false"/>
            <w:bCs w:val="false"/>
            <w:color w:val="1F2937"/>
            <w:sz w:val="20"/>
            <w:szCs w:val="20"/>
          </w:rPr>
          <w:t xml:space="preserve">	3</w:t>
        </w:r>
      </w:hyperlink>
    </w:p>
    <w:p>
      <w:pPr>
        <w:tabs>
          <w:tab w:val="right" w:pos="9026" w:leader="dot"/>
        </w:tabs>
        <w:spacing w:after="20" w:before="0"/>
        <w:ind w:left="360"/>
      </w:pPr>
      <w:hyperlink w:history="1" w:anchor="_h2">
        <w:r>
          <w:rPr>
            <w:b w:val="false"/>
            <w:bCs w:val="false"/>
            <w:color w:val="1F2937"/>
            <w:sz w:val="20"/>
            <w:szCs w:val="20"/>
          </w:rPr>
          <w:t xml:space="preserve">How the exam asks the Limitation Act</w:t>
        </w:r>
        <w:r>
          <w:rPr>
            <w:b w:val="false"/>
            <w:bCs w:val="false"/>
            <w:color w:val="1F2937"/>
            <w:sz w:val="20"/>
            <w:szCs w:val="20"/>
          </w:rPr>
          <w:t xml:space="preserve">	3</w:t>
        </w:r>
      </w:hyperlink>
    </w:p>
    <w:p>
      <w:pPr>
        <w:tabs>
          <w:tab w:val="right" w:pos="9026" w:leader="dot"/>
        </w:tabs>
        <w:spacing w:after="40" w:before="120"/>
        <w:ind w:left="0"/>
      </w:pPr>
      <w:hyperlink w:history="1" w:anchor="_h3">
        <w:r>
          <w:rPr>
            <w:b/>
            <w:bCs/>
            <w:color w:val="1F4E79"/>
            <w:sz w:val="22"/>
            <w:szCs w:val="22"/>
          </w:rPr>
          <w:t xml:space="preserve">Chapter 1 · Object, policy and nature of the law of limitation</w:t>
        </w:r>
        <w:r>
          <w:rPr>
            <w:b/>
            <w:bCs/>
            <w:color w:val="1F4E79"/>
            <w:sz w:val="22"/>
            <w:szCs w:val="22"/>
          </w:rPr>
          <w:t xml:space="preserve">	5</w:t>
        </w:r>
      </w:hyperlink>
    </w:p>
    <w:p>
      <w:pPr>
        <w:tabs>
          <w:tab w:val="right" w:pos="9026" w:leader="dot"/>
        </w:tabs>
        <w:spacing w:after="20" w:before="0"/>
        <w:ind w:left="360"/>
      </w:pPr>
      <w:hyperlink w:history="1" w:anchor="_h4">
        <w:r>
          <w:rPr>
            <w:b w:val="false"/>
            <w:bCs w:val="false"/>
            <w:color w:val="1F2937"/>
            <w:sz w:val="20"/>
            <w:szCs w:val="20"/>
          </w:rPr>
          <w:t xml:space="preserve">1.1 What the law of limitation does</w:t>
        </w:r>
        <w:r>
          <w:rPr>
            <w:b w:val="false"/>
            <w:bCs w:val="false"/>
            <w:color w:val="1F2937"/>
            <w:sz w:val="20"/>
            <w:szCs w:val="20"/>
          </w:rPr>
          <w:t xml:space="preserve">	5</w:t>
        </w:r>
      </w:hyperlink>
    </w:p>
    <w:p>
      <w:pPr>
        <w:tabs>
          <w:tab w:val="right" w:pos="9026" w:leader="dot"/>
        </w:tabs>
        <w:spacing w:after="20" w:before="0"/>
        <w:ind w:left="360"/>
      </w:pPr>
      <w:hyperlink w:history="1" w:anchor="_h5">
        <w:r>
          <w:rPr>
            <w:b w:val="false"/>
            <w:bCs w:val="false"/>
            <w:color w:val="1F2937"/>
            <w:sz w:val="20"/>
            <w:szCs w:val="20"/>
          </w:rPr>
          <w:t xml:space="preserve">1.2 The policy reasons</w:t>
        </w:r>
        <w:r>
          <w:rPr>
            <w:b w:val="false"/>
            <w:bCs w:val="false"/>
            <w:color w:val="1F2937"/>
            <w:sz w:val="20"/>
            <w:szCs w:val="20"/>
          </w:rPr>
          <w:t xml:space="preserve">	5</w:t>
        </w:r>
      </w:hyperlink>
    </w:p>
    <w:p>
      <w:pPr>
        <w:tabs>
          <w:tab w:val="right" w:pos="9026" w:leader="dot"/>
        </w:tabs>
        <w:spacing w:after="20" w:before="0"/>
        <w:ind w:left="360"/>
      </w:pPr>
      <w:hyperlink w:history="1" w:anchor="_h6">
        <w:r>
          <w:rPr>
            <w:b w:val="false"/>
            <w:bCs w:val="false"/>
            <w:color w:val="1F2937"/>
            <w:sz w:val="20"/>
            <w:szCs w:val="20"/>
          </w:rPr>
          <w:t xml:space="preserve">1.3 Nature of the law</w:t>
        </w:r>
        <w:r>
          <w:rPr>
            <w:b w:val="false"/>
            <w:bCs w:val="false"/>
            <w:color w:val="1F2937"/>
            <w:sz w:val="20"/>
            <w:szCs w:val="20"/>
          </w:rPr>
          <w:t xml:space="preserve">	5</w:t>
        </w:r>
      </w:hyperlink>
    </w:p>
    <w:p>
      <w:pPr>
        <w:tabs>
          <w:tab w:val="right" w:pos="9026" w:leader="dot"/>
        </w:tabs>
        <w:spacing w:after="20" w:before="0"/>
        <w:ind w:left="360"/>
      </w:pPr>
      <w:hyperlink w:history="1" w:anchor="_h7">
        <w:r>
          <w:rPr>
            <w:b w:val="false"/>
            <w:bCs w:val="false"/>
            <w:color w:val="1F2937"/>
            <w:sz w:val="20"/>
            <w:szCs w:val="20"/>
          </w:rPr>
          <w:t xml:space="preserve">1.4 Definitions worth knowing — s. 2</w:t>
        </w:r>
        <w:r>
          <w:rPr>
            <w:b w:val="false"/>
            <w:bCs w:val="false"/>
            <w:color w:val="1F2937"/>
            <w:sz w:val="20"/>
            <w:szCs w:val="20"/>
          </w:rPr>
          <w:t xml:space="preserve">	6</w:t>
        </w:r>
      </w:hyperlink>
    </w:p>
    <w:p>
      <w:pPr>
        <w:tabs>
          <w:tab w:val="right" w:pos="9026" w:leader="dot"/>
        </w:tabs>
        <w:spacing w:after="40" w:before="120"/>
        <w:ind w:left="0"/>
      </w:pPr>
      <w:hyperlink w:history="1" w:anchor="_h8">
        <w:r>
          <w:rPr>
            <w:b/>
            <w:bCs/>
            <w:color w:val="1F4E79"/>
            <w:sz w:val="22"/>
            <w:szCs w:val="22"/>
          </w:rPr>
          <w:t xml:space="preserve">Chapter 2 · Section 3 — the bar, and the court's duty</w:t>
        </w:r>
        <w:r>
          <w:rPr>
            <w:b/>
            <w:bCs/>
            <w:color w:val="1F4E79"/>
            <w:sz w:val="22"/>
            <w:szCs w:val="22"/>
          </w:rPr>
          <w:t xml:space="preserve">	7</w:t>
        </w:r>
      </w:hyperlink>
    </w:p>
    <w:p>
      <w:pPr>
        <w:tabs>
          <w:tab w:val="right" w:pos="9026" w:leader="dot"/>
        </w:tabs>
        <w:spacing w:after="20" w:before="0"/>
        <w:ind w:left="360"/>
      </w:pPr>
      <w:hyperlink w:history="1" w:anchor="_h9">
        <w:r>
          <w:rPr>
            <w:b w:val="false"/>
            <w:bCs w:val="false"/>
            <w:color w:val="1F2937"/>
            <w:sz w:val="20"/>
            <w:szCs w:val="20"/>
          </w:rPr>
          <w:t xml:space="preserve">2.1 The text</w:t>
        </w:r>
        <w:r>
          <w:rPr>
            <w:b w:val="false"/>
            <w:bCs w:val="false"/>
            <w:color w:val="1F2937"/>
            <w:sz w:val="20"/>
            <w:szCs w:val="20"/>
          </w:rPr>
          <w:t xml:space="preserve">	7</w:t>
        </w:r>
      </w:hyperlink>
    </w:p>
    <w:p>
      <w:pPr>
        <w:tabs>
          <w:tab w:val="right" w:pos="9026" w:leader="dot"/>
        </w:tabs>
        <w:spacing w:after="20" w:before="0"/>
        <w:ind w:left="360"/>
      </w:pPr>
      <w:hyperlink w:history="1" w:anchor="_h10">
        <w:r>
          <w:rPr>
            <w:b w:val="false"/>
            <w:bCs w:val="false"/>
            <w:color w:val="1F2937"/>
            <w:sz w:val="20"/>
            <w:szCs w:val="20"/>
          </w:rPr>
          <w:t xml:space="preserve">2.2 Can the court notice limitation of its own motion? (KPHC 2026)</w:t>
        </w:r>
        <w:r>
          <w:rPr>
            <w:b w:val="false"/>
            <w:bCs w:val="false"/>
            <w:color w:val="1F2937"/>
            <w:sz w:val="20"/>
            <w:szCs w:val="20"/>
          </w:rPr>
          <w:t xml:space="preserve">	7</w:t>
        </w:r>
      </w:hyperlink>
    </w:p>
    <w:p>
      <w:pPr>
        <w:tabs>
          <w:tab w:val="right" w:pos="9026" w:leader="dot"/>
        </w:tabs>
        <w:spacing w:after="20" w:before="0"/>
        <w:ind w:left="360"/>
      </w:pPr>
      <w:hyperlink w:history="1" w:anchor="_h11">
        <w:r>
          <w:rPr>
            <w:b w:val="false"/>
            <w:bCs w:val="false"/>
            <w:color w:val="1F2937"/>
            <w:sz w:val="20"/>
            <w:szCs w:val="20"/>
          </w:rPr>
          <w:t xml:space="preserve">2.3 When is a suit "instituted"?</w:t>
        </w:r>
        <w:r>
          <w:rPr>
            <w:b w:val="false"/>
            <w:bCs w:val="false"/>
            <w:color w:val="1F2937"/>
            <w:sz w:val="20"/>
            <w:szCs w:val="20"/>
          </w:rPr>
          <w:t xml:space="preserve">	7</w:t>
        </w:r>
      </w:hyperlink>
    </w:p>
    <w:p>
      <w:pPr>
        <w:tabs>
          <w:tab w:val="right" w:pos="9026" w:leader="dot"/>
        </w:tabs>
        <w:spacing w:after="20" w:before="0"/>
        <w:ind w:left="360"/>
      </w:pPr>
      <w:hyperlink w:history="1" w:anchor="_h12">
        <w:r>
          <w:rPr>
            <w:b w:val="false"/>
            <w:bCs w:val="false"/>
            <w:color w:val="1F2937"/>
            <w:sz w:val="20"/>
            <w:szCs w:val="20"/>
          </w:rPr>
          <w:t xml:space="preserve">2.4 Court closed — s. 4</w:t>
        </w:r>
        <w:r>
          <w:rPr>
            <w:b w:val="false"/>
            <w:bCs w:val="false"/>
            <w:color w:val="1F2937"/>
            <w:sz w:val="20"/>
            <w:szCs w:val="20"/>
          </w:rPr>
          <w:t xml:space="preserve">	7</w:t>
        </w:r>
      </w:hyperlink>
    </w:p>
    <w:p>
      <w:pPr>
        <w:tabs>
          <w:tab w:val="right" w:pos="9026" w:leader="dot"/>
        </w:tabs>
        <w:spacing w:after="40" w:before="120"/>
        <w:ind w:left="0"/>
      </w:pPr>
      <w:hyperlink w:history="1" w:anchor="_h13">
        <w:r>
          <w:rPr>
            <w:b/>
            <w:bCs/>
            <w:color w:val="1F4E79"/>
            <w:sz w:val="22"/>
            <w:szCs w:val="22"/>
          </w:rPr>
          <w:t xml:space="preserve">Chapter 3 · Section 5 — extension of time for sufficient cause</w:t>
        </w:r>
        <w:r>
          <w:rPr>
            <w:b/>
            <w:bCs/>
            <w:color w:val="1F4E79"/>
            <w:sz w:val="22"/>
            <w:szCs w:val="22"/>
          </w:rPr>
          <w:t xml:space="preserve">	8</w:t>
        </w:r>
      </w:hyperlink>
    </w:p>
    <w:p>
      <w:pPr>
        <w:tabs>
          <w:tab w:val="right" w:pos="9026" w:leader="dot"/>
        </w:tabs>
        <w:spacing w:after="20" w:before="0"/>
        <w:ind w:left="360"/>
      </w:pPr>
      <w:hyperlink w:history="1" w:anchor="_h14">
        <w:r>
          <w:rPr>
            <w:b w:val="false"/>
            <w:bCs w:val="false"/>
            <w:color w:val="1F2937"/>
            <w:sz w:val="20"/>
            <w:szCs w:val="20"/>
          </w:rPr>
          <w:t xml:space="preserve">3.1 The text (Pakistan)</w:t>
        </w:r>
        <w:r>
          <w:rPr>
            <w:b w:val="false"/>
            <w:bCs w:val="false"/>
            <w:color w:val="1F2937"/>
            <w:sz w:val="20"/>
            <w:szCs w:val="20"/>
          </w:rPr>
          <w:t xml:space="preserve">	8</w:t>
        </w:r>
      </w:hyperlink>
    </w:p>
    <w:p>
      <w:pPr>
        <w:tabs>
          <w:tab w:val="right" w:pos="9026" w:leader="dot"/>
        </w:tabs>
        <w:spacing w:after="20" w:before="0"/>
        <w:ind w:left="360"/>
      </w:pPr>
      <w:hyperlink w:history="1" w:anchor="_h15">
        <w:r>
          <w:rPr>
            <w:b w:val="false"/>
            <w:bCs w:val="false"/>
            <w:color w:val="1F2937"/>
            <w:sz w:val="20"/>
            <w:szCs w:val="20"/>
          </w:rPr>
          <w:t xml:space="preserve">3.2 Scope</w:t>
        </w:r>
        <w:r>
          <w:rPr>
            <w:b w:val="false"/>
            <w:bCs w:val="false"/>
            <w:color w:val="1F2937"/>
            <w:sz w:val="20"/>
            <w:szCs w:val="20"/>
          </w:rPr>
          <w:t xml:space="preserve">	8</w:t>
        </w:r>
      </w:hyperlink>
    </w:p>
    <w:p>
      <w:pPr>
        <w:tabs>
          <w:tab w:val="right" w:pos="9026" w:leader="dot"/>
        </w:tabs>
        <w:spacing w:after="20" w:before="0"/>
        <w:ind w:left="360"/>
      </w:pPr>
      <w:hyperlink w:history="1" w:anchor="_h16">
        <w:r>
          <w:rPr>
            <w:b w:val="false"/>
            <w:bCs w:val="false"/>
            <w:color w:val="1F2937"/>
            <w:sz w:val="20"/>
            <w:szCs w:val="20"/>
          </w:rPr>
          <w:t xml:space="preserve">3.3 What is "sufficient cause"?</w:t>
        </w:r>
        <w:r>
          <w:rPr>
            <w:b w:val="false"/>
            <w:bCs w:val="false"/>
            <w:color w:val="1F2937"/>
            <w:sz w:val="20"/>
            <w:szCs w:val="20"/>
          </w:rPr>
          <w:t xml:space="preserve">	8</w:t>
        </w:r>
      </w:hyperlink>
    </w:p>
    <w:p>
      <w:pPr>
        <w:tabs>
          <w:tab w:val="right" w:pos="9026" w:leader="dot"/>
        </w:tabs>
        <w:spacing w:after="40" w:before="120"/>
        <w:ind w:left="0"/>
      </w:pPr>
      <w:hyperlink w:history="1" w:anchor="_h17">
        <w:r>
          <w:rPr>
            <w:b/>
            <w:bCs/>
            <w:color w:val="1F4E79"/>
            <w:sz w:val="22"/>
            <w:szCs w:val="22"/>
          </w:rPr>
          <w:t xml:space="preserve">Chapter 4 · Legal disability and continuous running of time (ss. 6 to 9)</w:t>
        </w:r>
        <w:r>
          <w:rPr>
            <w:b/>
            <w:bCs/>
            <w:color w:val="1F4E79"/>
            <w:sz w:val="22"/>
            <w:szCs w:val="22"/>
          </w:rPr>
          <w:t xml:space="preserve">	10</w:t>
        </w:r>
      </w:hyperlink>
    </w:p>
    <w:p>
      <w:pPr>
        <w:tabs>
          <w:tab w:val="right" w:pos="9026" w:leader="dot"/>
        </w:tabs>
        <w:spacing w:after="20" w:before="0"/>
        <w:ind w:left="360"/>
      </w:pPr>
      <w:hyperlink w:history="1" w:anchor="_h18">
        <w:r>
          <w:rPr>
            <w:b w:val="false"/>
            <w:bCs w:val="false"/>
            <w:color w:val="1F2937"/>
            <w:sz w:val="20"/>
            <w:szCs w:val="20"/>
          </w:rPr>
          <w:t xml:space="preserve">4.1 Legal disability — s. 6</w:t>
        </w:r>
        <w:r>
          <w:rPr>
            <w:b w:val="false"/>
            <w:bCs w:val="false"/>
            <w:color w:val="1F2937"/>
            <w:sz w:val="20"/>
            <w:szCs w:val="20"/>
          </w:rPr>
          <w:t xml:space="preserve">	10</w:t>
        </w:r>
      </w:hyperlink>
    </w:p>
    <w:p>
      <w:pPr>
        <w:tabs>
          <w:tab w:val="right" w:pos="9026" w:leader="dot"/>
        </w:tabs>
        <w:spacing w:after="20" w:before="0"/>
        <w:ind w:left="360"/>
      </w:pPr>
      <w:hyperlink w:history="1" w:anchor="_h19">
        <w:r>
          <w:rPr>
            <w:b w:val="false"/>
            <w:bCs w:val="false"/>
            <w:color w:val="1F2937"/>
            <w:sz w:val="20"/>
            <w:szCs w:val="20"/>
          </w:rPr>
          <w:t xml:space="preserve">4.2 Disability of one of several — s. 7</w:t>
        </w:r>
        <w:r>
          <w:rPr>
            <w:b w:val="false"/>
            <w:bCs w:val="false"/>
            <w:color w:val="1F2937"/>
            <w:sz w:val="20"/>
            <w:szCs w:val="20"/>
          </w:rPr>
          <w:t xml:space="preserve">	10</w:t>
        </w:r>
      </w:hyperlink>
    </w:p>
    <w:p>
      <w:pPr>
        <w:tabs>
          <w:tab w:val="right" w:pos="9026" w:leader="dot"/>
        </w:tabs>
        <w:spacing w:after="20" w:before="0"/>
        <w:ind w:left="360"/>
      </w:pPr>
      <w:hyperlink w:history="1" w:anchor="_h20">
        <w:r>
          <w:rPr>
            <w:b w:val="false"/>
            <w:bCs w:val="false"/>
            <w:color w:val="1F2937"/>
            <w:sz w:val="20"/>
            <w:szCs w:val="20"/>
          </w:rPr>
          <w:t xml:space="preserve">4.3 Special exceptions — s. 8</w:t>
        </w:r>
        <w:r>
          <w:rPr>
            <w:b w:val="false"/>
            <w:bCs w:val="false"/>
            <w:color w:val="1F2937"/>
            <w:sz w:val="20"/>
            <w:szCs w:val="20"/>
          </w:rPr>
          <w:t xml:space="preserve">	10</w:t>
        </w:r>
      </w:hyperlink>
    </w:p>
    <w:p>
      <w:pPr>
        <w:tabs>
          <w:tab w:val="right" w:pos="9026" w:leader="dot"/>
        </w:tabs>
        <w:spacing w:after="20" w:before="0"/>
        <w:ind w:left="360"/>
      </w:pPr>
      <w:hyperlink w:history="1" w:anchor="_h21">
        <w:r>
          <w:rPr>
            <w:b w:val="false"/>
            <w:bCs w:val="false"/>
            <w:color w:val="1F2937"/>
            <w:sz w:val="20"/>
            <w:szCs w:val="20"/>
          </w:rPr>
          <w:t xml:space="preserve">4.4 Continuous running — s. 9</w:t>
        </w:r>
        <w:r>
          <w:rPr>
            <w:b w:val="false"/>
            <w:bCs w:val="false"/>
            <w:color w:val="1F2937"/>
            <w:sz w:val="20"/>
            <w:szCs w:val="20"/>
          </w:rPr>
          <w:t xml:space="preserve">	10</w:t>
        </w:r>
      </w:hyperlink>
    </w:p>
    <w:p>
      <w:pPr>
        <w:tabs>
          <w:tab w:val="right" w:pos="9026" w:leader="dot"/>
        </w:tabs>
        <w:spacing w:after="40" w:before="120"/>
        <w:ind w:left="0"/>
      </w:pPr>
      <w:hyperlink w:history="1" w:anchor="_h22">
        <w:r>
          <w:rPr>
            <w:b/>
            <w:bCs/>
            <w:color w:val="1F4E79"/>
            <w:sz w:val="22"/>
            <w:szCs w:val="22"/>
          </w:rPr>
          <w:t xml:space="preserve">Chapter 5 · Computation of the period — exclusions (ss. 12 to 18, 22 to 25)</w:t>
        </w:r>
        <w:r>
          <w:rPr>
            <w:b/>
            <w:bCs/>
            <w:color w:val="1F4E79"/>
            <w:sz w:val="22"/>
            <w:szCs w:val="22"/>
          </w:rPr>
          <w:t xml:space="preserve">	12</w:t>
        </w:r>
      </w:hyperlink>
    </w:p>
    <w:p>
      <w:pPr>
        <w:tabs>
          <w:tab w:val="right" w:pos="9026" w:leader="dot"/>
        </w:tabs>
        <w:spacing w:after="20" w:before="0"/>
        <w:ind w:left="360"/>
      </w:pPr>
      <w:hyperlink w:history="1" w:anchor="_h23">
        <w:r>
          <w:rPr>
            <w:b w:val="false"/>
            <w:bCs w:val="false"/>
            <w:color w:val="1F2937"/>
            <w:sz w:val="20"/>
            <w:szCs w:val="20"/>
          </w:rPr>
          <w:t xml:space="preserve">5.1 The rules in one list (KPHC 2026; SHC 2022)</w:t>
        </w:r>
        <w:r>
          <w:rPr>
            <w:b w:val="false"/>
            <w:bCs w:val="false"/>
            <w:color w:val="1F2937"/>
            <w:sz w:val="20"/>
            <w:szCs w:val="20"/>
          </w:rPr>
          <w:t xml:space="preserve">	12</w:t>
        </w:r>
      </w:hyperlink>
    </w:p>
    <w:p>
      <w:pPr>
        <w:tabs>
          <w:tab w:val="right" w:pos="9026" w:leader="dot"/>
        </w:tabs>
        <w:spacing w:after="20" w:before="0"/>
        <w:ind w:left="360"/>
      </w:pPr>
      <w:hyperlink w:history="1" w:anchor="_h24">
        <w:r>
          <w:rPr>
            <w:b w:val="false"/>
            <w:bCs w:val="false"/>
            <w:color w:val="1F2937"/>
            <w:sz w:val="20"/>
            <w:szCs w:val="20"/>
          </w:rPr>
          <w:t xml:space="preserve">5.2 Section 14 — bona fide proceedings in a court without jurisdiction</w:t>
        </w:r>
        <w:r>
          <w:rPr>
            <w:b w:val="false"/>
            <w:bCs w:val="false"/>
            <w:color w:val="1F2937"/>
            <w:sz w:val="20"/>
            <w:szCs w:val="20"/>
          </w:rPr>
          <w:t xml:space="preserve">	13</w:t>
        </w:r>
      </w:hyperlink>
    </w:p>
    <w:p>
      <w:pPr>
        <w:tabs>
          <w:tab w:val="right" w:pos="9026" w:leader="dot"/>
        </w:tabs>
        <w:spacing w:after="20" w:before="0"/>
        <w:ind w:left="360"/>
      </w:pPr>
      <w:hyperlink w:history="1" w:anchor="_h25">
        <w:r>
          <w:rPr>
            <w:b w:val="false"/>
            <w:bCs w:val="false"/>
            <w:color w:val="1F2937"/>
            <w:sz w:val="20"/>
            <w:szCs w:val="20"/>
          </w:rPr>
          <w:t xml:space="preserve">5.3 Section 18 — fraud</w:t>
        </w:r>
        <w:r>
          <w:rPr>
            <w:b w:val="false"/>
            <w:bCs w:val="false"/>
            <w:color w:val="1F2937"/>
            <w:sz w:val="20"/>
            <w:szCs w:val="20"/>
          </w:rPr>
          <w:t xml:space="preserve">	13</w:t>
        </w:r>
      </w:hyperlink>
    </w:p>
    <w:p>
      <w:pPr>
        <w:tabs>
          <w:tab w:val="right" w:pos="9026" w:leader="dot"/>
        </w:tabs>
        <w:spacing w:after="20" w:before="0"/>
        <w:ind w:left="360"/>
      </w:pPr>
      <w:hyperlink w:history="1" w:anchor="_h26">
        <w:r>
          <w:rPr>
            <w:b w:val="false"/>
            <w:bCs w:val="false"/>
            <w:color w:val="1F2937"/>
            <w:sz w:val="20"/>
            <w:szCs w:val="20"/>
          </w:rPr>
          <w:t xml:space="preserve">5.4 Section 22 — new parties</w:t>
        </w:r>
        <w:r>
          <w:rPr>
            <w:b w:val="false"/>
            <w:bCs w:val="false"/>
            <w:color w:val="1F2937"/>
            <w:sz w:val="20"/>
            <w:szCs w:val="20"/>
          </w:rPr>
          <w:t xml:space="preserve">	13</w:t>
        </w:r>
      </w:hyperlink>
    </w:p>
    <w:p>
      <w:pPr>
        <w:tabs>
          <w:tab w:val="right" w:pos="9026" w:leader="dot"/>
        </w:tabs>
        <w:spacing w:after="20" w:before="0"/>
        <w:ind w:left="360"/>
      </w:pPr>
      <w:hyperlink w:history="1" w:anchor="_h27">
        <w:r>
          <w:rPr>
            <w:b w:val="false"/>
            <w:bCs w:val="false"/>
            <w:color w:val="1F2937"/>
            <w:sz w:val="20"/>
            <w:szCs w:val="20"/>
          </w:rPr>
          <w:t xml:space="preserve">5.5 Section 23 — continuing breaches and wrongs</w:t>
        </w:r>
        <w:r>
          <w:rPr>
            <w:b w:val="false"/>
            <w:bCs w:val="false"/>
            <w:color w:val="1F2937"/>
            <w:sz w:val="20"/>
            <w:szCs w:val="20"/>
          </w:rPr>
          <w:t xml:space="preserve">	14</w:t>
        </w:r>
      </w:hyperlink>
    </w:p>
    <w:p>
      <w:pPr>
        <w:tabs>
          <w:tab w:val="right" w:pos="9026" w:leader="dot"/>
        </w:tabs>
        <w:spacing w:after="20" w:before="0"/>
        <w:ind w:left="360"/>
      </w:pPr>
      <w:hyperlink w:history="1" w:anchor="_h28">
        <w:r>
          <w:rPr>
            <w:b w:val="false"/>
            <w:bCs w:val="false"/>
            <w:color w:val="1F2937"/>
            <w:sz w:val="20"/>
            <w:szCs w:val="20"/>
          </w:rPr>
          <w:t xml:space="preserve">5.6 Section 24 — act not actionable without special damage</w:t>
        </w:r>
        <w:r>
          <w:rPr>
            <w:b w:val="false"/>
            <w:bCs w:val="false"/>
            <w:color w:val="1F2937"/>
            <w:sz w:val="20"/>
            <w:szCs w:val="20"/>
          </w:rPr>
          <w:t xml:space="preserve">	14</w:t>
        </w:r>
      </w:hyperlink>
    </w:p>
    <w:p>
      <w:pPr>
        <w:tabs>
          <w:tab w:val="right" w:pos="9026" w:leader="dot"/>
        </w:tabs>
        <w:spacing w:after="40" w:before="120"/>
        <w:ind w:left="0"/>
      </w:pPr>
      <w:hyperlink w:history="1" w:anchor="_h29">
        <w:r>
          <w:rPr>
            <w:b/>
            <w:bCs/>
            <w:color w:val="1F4E79"/>
            <w:sz w:val="22"/>
            <w:szCs w:val="22"/>
          </w:rPr>
          <w:t xml:space="preserve">Chapter 6 · Acknowledgment and part-payment (ss. 19 to 21)</w:t>
        </w:r>
        <w:r>
          <w:rPr>
            <w:b/>
            <w:bCs/>
            <w:color w:val="1F4E79"/>
            <w:sz w:val="22"/>
            <w:szCs w:val="22"/>
          </w:rPr>
          <w:t xml:space="preserve">	15</w:t>
        </w:r>
      </w:hyperlink>
    </w:p>
    <w:p>
      <w:pPr>
        <w:tabs>
          <w:tab w:val="right" w:pos="9026" w:leader="dot"/>
        </w:tabs>
        <w:spacing w:after="20" w:before="0"/>
        <w:ind w:left="360"/>
      </w:pPr>
      <w:hyperlink w:history="1" w:anchor="_h30">
        <w:r>
          <w:rPr>
            <w:b w:val="false"/>
            <w:bCs w:val="false"/>
            <w:color w:val="1F2937"/>
            <w:sz w:val="20"/>
            <w:szCs w:val="20"/>
          </w:rPr>
          <w:t xml:space="preserve">6.1 Acknowledgment in writing — s. 19</w:t>
        </w:r>
        <w:r>
          <w:rPr>
            <w:b w:val="false"/>
            <w:bCs w:val="false"/>
            <w:color w:val="1F2937"/>
            <w:sz w:val="20"/>
            <w:szCs w:val="20"/>
          </w:rPr>
          <w:t xml:space="preserve">	15</w:t>
        </w:r>
      </w:hyperlink>
    </w:p>
    <w:p>
      <w:pPr>
        <w:tabs>
          <w:tab w:val="right" w:pos="9026" w:leader="dot"/>
        </w:tabs>
        <w:spacing w:after="20" w:before="0"/>
        <w:ind w:left="360"/>
      </w:pPr>
      <w:hyperlink w:history="1" w:anchor="_h31">
        <w:r>
          <w:rPr>
            <w:b w:val="false"/>
            <w:bCs w:val="false"/>
            <w:color w:val="1F2937"/>
            <w:sz w:val="20"/>
            <w:szCs w:val="20"/>
          </w:rPr>
          <w:t xml:space="preserve">6.2 Part-payment — s. 20</w:t>
        </w:r>
        <w:r>
          <w:rPr>
            <w:b w:val="false"/>
            <w:bCs w:val="false"/>
            <w:color w:val="1F2937"/>
            <w:sz w:val="20"/>
            <w:szCs w:val="20"/>
          </w:rPr>
          <w:t xml:space="preserve">	16</w:t>
        </w:r>
      </w:hyperlink>
    </w:p>
    <w:p>
      <w:pPr>
        <w:tabs>
          <w:tab w:val="right" w:pos="9026" w:leader="dot"/>
        </w:tabs>
        <w:spacing w:after="20" w:before="0"/>
        <w:ind w:left="360"/>
      </w:pPr>
      <w:hyperlink w:history="1" w:anchor="_h32">
        <w:r>
          <w:rPr>
            <w:b w:val="false"/>
            <w:bCs w:val="false"/>
            <w:color w:val="1F2937"/>
            <w:sz w:val="20"/>
            <w:szCs w:val="20"/>
          </w:rPr>
          <w:t xml:space="preserve">6.3 Joint contractors — s. 21(2)</w:t>
        </w:r>
        <w:r>
          <w:rPr>
            <w:b w:val="false"/>
            <w:bCs w:val="false"/>
            <w:color w:val="1F2937"/>
            <w:sz w:val="20"/>
            <w:szCs w:val="20"/>
          </w:rPr>
          <w:t xml:space="preserve">	16</w:t>
        </w:r>
      </w:hyperlink>
    </w:p>
    <w:p>
      <w:pPr>
        <w:tabs>
          <w:tab w:val="right" w:pos="9026" w:leader="dot"/>
        </w:tabs>
        <w:spacing w:after="40" w:before="120"/>
        <w:ind w:left="0"/>
      </w:pPr>
      <w:hyperlink w:history="1" w:anchor="_h33">
        <w:r>
          <w:rPr>
            <w:b/>
            <w:bCs/>
            <w:color w:val="1F4E79"/>
            <w:sz w:val="22"/>
            <w:szCs w:val="22"/>
          </w:rPr>
          <w:t xml:space="preserve">Chapter 7 · Trusts, foreign contracts, easements, adverse possession and special laws</w:t>
        </w:r>
        <w:r>
          <w:rPr>
            <w:b/>
            <w:bCs/>
            <w:color w:val="1F4E79"/>
            <w:sz w:val="22"/>
            <w:szCs w:val="22"/>
          </w:rPr>
          <w:t xml:space="preserve">	18</w:t>
        </w:r>
      </w:hyperlink>
    </w:p>
    <w:p>
      <w:pPr>
        <w:tabs>
          <w:tab w:val="right" w:pos="9026" w:leader="dot"/>
        </w:tabs>
        <w:spacing w:after="20" w:before="0"/>
        <w:ind w:left="360"/>
      </w:pPr>
      <w:hyperlink w:history="1" w:anchor="_h34">
        <w:r>
          <w:rPr>
            <w:b w:val="false"/>
            <w:bCs w:val="false"/>
            <w:color w:val="1F2937"/>
            <w:sz w:val="20"/>
            <w:szCs w:val="20"/>
          </w:rPr>
          <w:t xml:space="preserve">7.1 Express trusts — s. 10</w:t>
        </w:r>
        <w:r>
          <w:rPr>
            <w:b w:val="false"/>
            <w:bCs w:val="false"/>
            <w:color w:val="1F2937"/>
            <w:sz w:val="20"/>
            <w:szCs w:val="20"/>
          </w:rPr>
          <w:t xml:space="preserve">	18</w:t>
        </w:r>
      </w:hyperlink>
    </w:p>
    <w:p>
      <w:pPr>
        <w:tabs>
          <w:tab w:val="right" w:pos="9026" w:leader="dot"/>
        </w:tabs>
        <w:spacing w:after="20" w:before="0"/>
        <w:ind w:left="360"/>
      </w:pPr>
      <w:hyperlink w:history="1" w:anchor="_h35">
        <w:r>
          <w:rPr>
            <w:b w:val="false"/>
            <w:bCs w:val="false"/>
            <w:color w:val="1F2937"/>
            <w:sz w:val="20"/>
            <w:szCs w:val="20"/>
          </w:rPr>
          <w:t xml:space="preserve">7.2 Foreign contracts — s. 11</w:t>
        </w:r>
        <w:r>
          <w:rPr>
            <w:b w:val="false"/>
            <w:bCs w:val="false"/>
            <w:color w:val="1F2937"/>
            <w:sz w:val="20"/>
            <w:szCs w:val="20"/>
          </w:rPr>
          <w:t xml:space="preserve">	18</w:t>
        </w:r>
      </w:hyperlink>
    </w:p>
    <w:p>
      <w:pPr>
        <w:tabs>
          <w:tab w:val="right" w:pos="9026" w:leader="dot"/>
        </w:tabs>
        <w:spacing w:after="20" w:before="0"/>
        <w:ind w:left="360"/>
      </w:pPr>
      <w:hyperlink w:history="1" w:anchor="_h36">
        <w:r>
          <w:rPr>
            <w:b w:val="false"/>
            <w:bCs w:val="false"/>
            <w:color w:val="1F2937"/>
            <w:sz w:val="20"/>
            <w:szCs w:val="20"/>
          </w:rPr>
          <w:t xml:space="preserve">7.3 Easements by prescription — ss. 26, 27</w:t>
        </w:r>
        <w:r>
          <w:rPr>
            <w:b w:val="false"/>
            <w:bCs w:val="false"/>
            <w:color w:val="1F2937"/>
            <w:sz w:val="20"/>
            <w:szCs w:val="20"/>
          </w:rPr>
          <w:t xml:space="preserve">	18</w:t>
        </w:r>
      </w:hyperlink>
    </w:p>
    <w:p>
      <w:pPr>
        <w:tabs>
          <w:tab w:val="right" w:pos="9026" w:leader="dot"/>
        </w:tabs>
        <w:spacing w:after="20" w:before="0"/>
        <w:ind w:left="360"/>
      </w:pPr>
      <w:hyperlink w:history="1" w:anchor="_h37">
        <w:r>
          <w:rPr>
            <w:b w:val="false"/>
            <w:bCs w:val="false"/>
            <w:color w:val="1F2937"/>
            <w:sz w:val="20"/>
            <w:szCs w:val="20"/>
          </w:rPr>
          <w:t xml:space="preserve">7.4 Adverse possession in Pakistan after 1995</w:t>
        </w:r>
        <w:r>
          <w:rPr>
            <w:b w:val="false"/>
            <w:bCs w:val="false"/>
            <w:color w:val="1F2937"/>
            <w:sz w:val="20"/>
            <w:szCs w:val="20"/>
          </w:rPr>
          <w:t xml:space="preserve">	18</w:t>
        </w:r>
      </w:hyperlink>
    </w:p>
    <w:p>
      <w:pPr>
        <w:tabs>
          <w:tab w:val="right" w:pos="9026" w:leader="dot"/>
        </w:tabs>
        <w:spacing w:after="20" w:before="0"/>
        <w:ind w:left="360"/>
      </w:pPr>
      <w:hyperlink w:history="1" w:anchor="_h38">
        <w:r>
          <w:rPr>
            <w:b w:val="false"/>
            <w:bCs w:val="false"/>
            <w:color w:val="1F2937"/>
            <w:sz w:val="20"/>
            <w:szCs w:val="20"/>
          </w:rPr>
          <w:t xml:space="preserve">7.5 Special and local laws — s. 29(2)</w:t>
        </w:r>
        <w:r>
          <w:rPr>
            <w:b w:val="false"/>
            <w:bCs w:val="false"/>
            <w:color w:val="1F2937"/>
            <w:sz w:val="20"/>
            <w:szCs w:val="20"/>
          </w:rPr>
          <w:t xml:space="preserve">	19</w:t>
        </w:r>
      </w:hyperlink>
    </w:p>
    <w:p>
      <w:pPr>
        <w:tabs>
          <w:tab w:val="right" w:pos="9026" w:leader="dot"/>
        </w:tabs>
        <w:spacing w:after="20" w:before="0"/>
        <w:ind w:left="360"/>
      </w:pPr>
      <w:hyperlink w:history="1" w:anchor="_h39">
        <w:r>
          <w:rPr>
            <w:b w:val="false"/>
            <w:bCs w:val="false"/>
            <w:color w:val="1F2937"/>
            <w:sz w:val="20"/>
            <w:szCs w:val="20"/>
          </w:rPr>
          <w:t xml:space="preserve">7.6 Does limitation shield a transaction tainted by illegality or fraud? (LHC 2022)</w:t>
        </w:r>
        <w:r>
          <w:rPr>
            <w:b w:val="false"/>
            <w:bCs w:val="false"/>
            <w:color w:val="1F2937"/>
            <w:sz w:val="20"/>
            <w:szCs w:val="20"/>
          </w:rPr>
          <w:t xml:space="preserve">	19</w:t>
        </w:r>
      </w:hyperlink>
    </w:p>
    <w:p>
      <w:pPr>
        <w:tabs>
          <w:tab w:val="right" w:pos="9026" w:leader="dot"/>
        </w:tabs>
        <w:spacing w:after="40" w:before="120"/>
        <w:ind w:left="0"/>
      </w:pPr>
      <w:hyperlink w:history="1" w:anchor="_h40">
        <w:r>
          <w:rPr>
            <w:b/>
            <w:bCs/>
            <w:color w:val="1F4E79"/>
            <w:sz w:val="22"/>
            <w:szCs w:val="22"/>
          </w:rPr>
          <w:t xml:space="preserve">Chapter 8 · The key Articles of the First Schedule</w:t>
        </w:r>
        <w:r>
          <w:rPr>
            <w:b/>
            <w:bCs/>
            <w:color w:val="1F4E79"/>
            <w:sz w:val="22"/>
            <w:szCs w:val="22"/>
          </w:rPr>
          <w:t xml:space="preserve">	20</w:t>
        </w:r>
      </w:hyperlink>
    </w:p>
    <w:p>
      <w:r>
        <w:rPr>
          <w:color w:val="FFFFFF"/>
          <w:sz w:val="2"/>
          <w:szCs w:val="2"/>
        </w:rPr>
        <w:t xml:space="preserve">zzTOCENDzz</w:t>
      </w:r>
    </w:p>
    <w:p>
      <w:pPr>
        <w:pStyle w:val="Heading1"/>
        <w:keepNext/>
        <w:pageBreakBefore/>
      </w:pPr>
      <w:bookmarkStart w:name="_h0" w:id="101"/>
      <w:r>
        <w:t xml:space="preserve">How to use this knowledge base</w:t>
      </w:r>
      <w:bookmarkEnd w:id="101"/>
    </w:p>
    <w:p>
      <w:pPr>
        <w:pStyle w:val="Heading2"/>
        <w:keepNext/>
      </w:pPr>
      <w:bookmarkStart w:name="_h1" w:id="102"/>
      <w:r>
        <w:t xml:space="preserve">What Topic 3 covers</w:t>
      </w:r>
      <w:bookmarkEnd w:id="102"/>
    </w:p>
    <w:p>
      <w:pPr>
        <w:spacing w:after="120" w:line="288"/>
      </w:pPr>
      <w:r>
        <w:t xml:space="preserve">The Limitation Act 1908 has five Parts and a long </w:t>
      </w:r>
      <w:r>
        <w:rPr>
          <w:b/>
          <w:bCs/>
          <w:color w:val="2E7D32"/>
        </w:rPr>
        <w:t xml:space="preserve">First Schedule</w:t>
      </w:r>
      <w:r>
        <w:t xml:space="preserve">:</w:t>
      </w:r>
    </w:p>
    <w:p>
      <w:pPr>
        <w:pStyle w:val="ListParagraph"/>
        <w:numPr>
          <w:ilvl w:val="0"/>
          <w:numId w:val="2"/>
        </w:numPr>
        <w:spacing w:after="60" w:line="276"/>
      </w:pPr>
      <w:r>
        <w:rPr>
          <w:b/>
          <w:bCs/>
          <w:color w:val="2E7D32"/>
        </w:rPr>
        <w:t xml:space="preserve">Part I</w:t>
      </w:r>
      <w:r>
        <w:t xml:space="preserve"> — preliminary and definitions (ss. 1–2);</w:t>
      </w:r>
    </w:p>
    <w:p>
      <w:pPr>
        <w:pStyle w:val="ListParagraph"/>
        <w:numPr>
          <w:ilvl w:val="0"/>
          <w:numId w:val="2"/>
        </w:numPr>
        <w:spacing w:after="60" w:line="276"/>
      </w:pPr>
      <w:r>
        <w:rPr>
          <w:b/>
          <w:bCs/>
          <w:color w:val="2E7D32"/>
        </w:rPr>
        <w:t xml:space="preserve">Part II</w:t>
      </w:r>
      <w:r>
        <w:t xml:space="preserve"> — limitation of suits, appeals and applications: the bar (s. 3), court closed (s. 4), extension (s. 5), legal disability (ss. 6–8), continuous running (s. 9), trusts (s. 10), foreign contracts (s. 11);</w:t>
      </w:r>
    </w:p>
    <w:p>
      <w:pPr>
        <w:pStyle w:val="ListParagraph"/>
        <w:numPr>
          <w:ilvl w:val="0"/>
          <w:numId w:val="2"/>
        </w:numPr>
        <w:spacing w:after="60" w:line="276"/>
      </w:pPr>
      <w:r>
        <w:rPr>
          <w:b/>
          <w:bCs/>
          <w:color w:val="2E7D32"/>
        </w:rPr>
        <w:t xml:space="preserve">Part III</w:t>
      </w:r>
      <w:r>
        <w:t xml:space="preserve"> — computation of the period: exclusions (ss. 12–16), death (s. 17), fraud (s. 18), acknowledgment (s. 19), part-payment (s. 20), agents and joint contractors (s. 21), new parties (s. 22), continuing wrongs (s. 23), special damage (s. 24), Gregorian calendar (s. 25);</w:t>
      </w:r>
    </w:p>
    <w:p>
      <w:pPr>
        <w:pStyle w:val="ListParagraph"/>
        <w:numPr>
          <w:ilvl w:val="0"/>
          <w:numId w:val="2"/>
        </w:numPr>
        <w:spacing w:after="60" w:line="276"/>
      </w:pPr>
      <w:r>
        <w:rPr>
          <w:b/>
          <w:bCs/>
          <w:color w:val="2E7D32"/>
        </w:rPr>
        <w:t xml:space="preserve">Part IV</w:t>
      </w:r>
      <w:r>
        <w:t xml:space="preserve"> — acquisition of easements by prescription (ss. 26–27) (s. 28 omitted in 1995);</w:t>
      </w:r>
    </w:p>
    <w:p>
      <w:pPr>
        <w:pStyle w:val="ListParagraph"/>
        <w:numPr>
          <w:ilvl w:val="0"/>
          <w:numId w:val="2"/>
        </w:numPr>
        <w:spacing w:after="60" w:line="276"/>
      </w:pPr>
      <w:r>
        <w:rPr>
          <w:b/>
          <w:bCs/>
          <w:color w:val="2E7D32"/>
        </w:rPr>
        <w:t xml:space="preserve">Part V</w:t>
      </w:r>
      <w:r>
        <w:t xml:space="preserve"> — savings (s. 29);</w:t>
      </w:r>
    </w:p>
    <w:p>
      <w:pPr>
        <w:pStyle w:val="ListParagraph"/>
        <w:numPr>
          <w:ilvl w:val="0"/>
          <w:numId w:val="2"/>
        </w:numPr>
        <w:spacing w:after="60" w:line="276"/>
      </w:pPr>
      <w:r>
        <w:rPr>
          <w:b/>
          <w:bCs/>
          <w:color w:val="2E7D32"/>
        </w:rPr>
        <w:t xml:space="preserve">First Schedule</w:t>
      </w:r>
      <w:r>
        <w:t xml:space="preserve"> — </w:t>
      </w:r>
      <w:r>
        <w:rPr>
          <w:b/>
          <w:bCs/>
          <w:color w:val="2E7D32"/>
        </w:rPr>
        <w:t xml:space="preserve">183 Articles</w:t>
      </w:r>
      <w:r>
        <w:t xml:space="preserve"> fixing the periods: </w:t>
      </w:r>
      <w:r>
        <w:rPr>
          <w:b/>
          <w:bCs/>
          <w:color w:val="2E7D32"/>
        </w:rPr>
        <w:t xml:space="preserve">suits</w:t>
      </w:r>
      <w:r>
        <w:t xml:space="preserve"> (Arts. 1–149), </w:t>
      </w:r>
      <w:r>
        <w:rPr>
          <w:b/>
          <w:bCs/>
          <w:color w:val="2E7D32"/>
        </w:rPr>
        <w:t xml:space="preserve">appeals</w:t>
      </w:r>
      <w:r>
        <w:t xml:space="preserve"> (Arts. 150–157) and </w:t>
      </w:r>
      <w:r>
        <w:rPr>
          <w:b/>
          <w:bCs/>
          <w:color w:val="2E7D32"/>
        </w:rPr>
        <w:t xml:space="preserve">applications</w:t>
      </w:r>
      <w:r>
        <w:t xml:space="preserve"> (Arts. 158–183).</w:t>
      </w:r>
    </w:p>
    <w:p>
      <w:pPr>
        <w:spacing w:after="120" w:line="288"/>
      </w:pPr>
      <w:r>
        <w:t xml:space="preserve">The bare Act </w:t>
      </w:r>
      <w:r>
        <w:rPr>
          <w:b/>
          <w:bCs/>
          <w:color w:val="2E7D32"/>
        </w:rPr>
        <w:t xml:space="preserve">may</w:t>
      </w:r>
      <w:r>
        <w:t xml:space="preserve"> be consulted in the exam. So the knowledge base concentrates on </w:t>
      </w:r>
      <w:r>
        <w:rPr>
          <w:b/>
          <w:bCs/>
          <w:color w:val="2E7D32"/>
        </w:rPr>
        <w:t xml:space="preserve">principles</w:t>
      </w:r>
      <w:r>
        <w:t xml:space="preserve">, </w:t>
      </w:r>
      <w:r>
        <w:rPr>
          <w:b/>
          <w:bCs/>
          <w:color w:val="2E7D32"/>
        </w:rPr>
        <w:t xml:space="preserve">conditions</w:t>
      </w:r>
      <w:r>
        <w:t xml:space="preserve"> and </w:t>
      </w:r>
      <w:r>
        <w:rPr>
          <w:b/>
          <w:bCs/>
          <w:color w:val="2E7D32"/>
        </w:rPr>
        <w:t xml:space="preserve">case law</w:t>
      </w:r>
      <w:r>
        <w:t xml:space="preserve"> — the things the bare Act does not tell you — and on the </w:t>
      </w:r>
      <w:r>
        <w:rPr>
          <w:b/>
          <w:bCs/>
          <w:color w:val="2E7D32"/>
        </w:rPr>
        <w:t xml:space="preserve">key Articles</w:t>
      </w:r>
      <w:r>
        <w:t xml:space="preserve"> you must find quickly.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E2B45" w:sz="24"/>
              <w:bottom w:val="none" w:color="FFFFFF" w:sz="0"/>
              <w:right w:val="none" w:color="FFFFFF" w:sz="0"/>
            </w:tcBorders>
            <w:shd w:fill="EEF0F6" w:color="auto" w:val="clear"/>
            <w:tcMar>
              <w:top w:type="dxa" w:w="110"/>
              <w:left w:type="dxa" w:w="200"/>
              <w:bottom w:type="dxa" w:w="60"/>
              <w:right w:type="dxa" w:w="180"/>
            </w:tcMar>
          </w:tcPr>
          <w:p>
            <w:pPr>
              <w:keepNext/>
              <w:spacing w:after="80"/>
            </w:pPr>
            <w:r>
              <w:rPr>
                <w:b/>
                <w:bCs/>
                <w:color w:val="1E2B45"/>
                <w:spacing w:val="20"/>
                <w:sz w:val="18"/>
                <w:szCs w:val="18"/>
              </w:rPr>
              <w:t xml:space="preserve">ISLAMABAD-SPECIFIC LAW</w:t>
            </w:r>
            <w:r>
              <w:rPr>
                <w:color w:val="1E2B45"/>
                <w:sz w:val="18"/>
                <w:szCs w:val="18"/>
              </w:rPr>
              <w:t xml:space="preserve">  ·  </w:t>
            </w:r>
            <w:r>
              <w:rPr>
                <w:b/>
                <w:bCs/>
                <w:color w:val="1E2B45"/>
                <w:sz w:val="18"/>
                <w:szCs w:val="18"/>
              </w:rPr>
              <w:t xml:space="preserve">Pakistani features</w:t>
            </w:r>
          </w:p>
          <w:p>
            <w:pPr>
              <w:pStyle w:val="ListParagraph"/>
              <w:numPr>
                <w:ilvl w:val="0"/>
                <w:numId w:val="3"/>
              </w:numPr>
              <w:spacing w:after="60" w:line="276"/>
            </w:pPr>
            <w:r>
              <w:rPr>
                <w:b/>
                <w:bCs/>
                <w:color w:val="2E7D32"/>
              </w:rPr>
              <w:t xml:space="preserve">Section 28</w:t>
            </w:r>
            <w:r>
              <w:t xml:space="preserve"> (extinguishment of the right to property at the end of the limitation period for possession) and </w:t>
            </w:r>
            <w:r>
              <w:rPr>
                <w:b/>
                <w:bCs/>
                <w:color w:val="2E7D32"/>
              </w:rPr>
              <w:t xml:space="preserve">Article 144</w:t>
            </w:r>
            <w:r>
              <w:t xml:space="preserve"> (adverse possession — 12 years) were </w:t>
            </w:r>
            <w:r>
              <w:rPr>
                <w:b/>
                <w:bCs/>
                <w:color w:val="2E7D32"/>
              </w:rPr>
              <w:t xml:space="preserve">omitted by Act II of 1995</w:t>
            </w:r>
            <w:r>
              <w:t xml:space="preserve">, after the Shariat Appellate Bench held that acquiring title by adverse possession is repugnant to the Injunctions of Islam (</w:t>
            </w:r>
            <w:r>
              <w:rPr>
                <w:i/>
                <w:iCs/>
              </w:rPr>
              <w:t xml:space="preserve">Maqbool Ahmad v. Hakoomat-e-Pakistan</w:t>
            </w:r>
            <w:r>
              <w:t xml:space="preserve">, 1991 SCMR 2063).</w:t>
            </w:r>
          </w:p>
          <w:p>
            <w:pPr>
              <w:pStyle w:val="ListParagraph"/>
              <w:numPr>
                <w:ilvl w:val="0"/>
                <w:numId w:val="3"/>
              </w:numPr>
              <w:spacing w:after="60" w:line="276"/>
            </w:pPr>
            <w:r>
              <w:rPr>
                <w:b/>
                <w:bCs/>
                <w:color w:val="2E7D32"/>
              </w:rPr>
              <w:t xml:space="preserve">Section 5</w:t>
            </w:r>
            <w:r>
              <w:t xml:space="preserve"> applies to an "appeal or application for </w:t>
            </w:r>
            <w:r>
              <w:rPr>
                <w:b/>
                <w:bCs/>
                <w:color w:val="2E7D32"/>
              </w:rPr>
              <w:t xml:space="preserve">a revision</w:t>
            </w:r>
            <w:r>
              <w:t xml:space="preserve"> or a review of judgment or for leave to appeal" and to other applications to which it is made applicable by any enactment — it does </w:t>
            </w:r>
            <w:r>
              <w:rPr>
                <w:b/>
                <w:bCs/>
                <w:color w:val="2E7D32"/>
              </w:rPr>
              <w:t xml:space="preserve">not</w:t>
            </w:r>
            <w:r>
              <w:t xml:space="preserve"> apply to </w:t>
            </w:r>
            <w:r>
              <w:rPr>
                <w:b/>
                <w:bCs/>
                <w:color w:val="2E7D32"/>
              </w:rPr>
              <w:t xml:space="preserve">suits</w:t>
            </w:r>
            <w:r>
              <w:t xml:space="preserve">.</w:t>
            </w:r>
          </w:p>
          <w:p>
            <w:pPr>
              <w:pStyle w:val="ListParagraph"/>
              <w:numPr>
                <w:ilvl w:val="0"/>
                <w:numId w:val="3"/>
              </w:numPr>
              <w:spacing w:after="60" w:line="276"/>
            </w:pPr>
            <w:r>
              <w:rPr>
                <w:b/>
                <w:bCs/>
                <w:color w:val="2E7D32"/>
              </w:rPr>
              <w:t xml:space="preserve">Section 15(2)</w:t>
            </w:r>
            <w:r>
              <w:t xml:space="preserve"> (time of a statutory notice, e.g., s. 80 CPC, excluded) was </w:t>
            </w:r>
            <w:r>
              <w:rPr>
                <w:b/>
                <w:bCs/>
                <w:color w:val="2E7D32"/>
              </w:rPr>
              <w:t xml:space="preserve">added by Act XIII of 1991</w:t>
            </w:r>
            <w:r>
              <w:t xml:space="preserve">.</w:t>
            </w:r>
          </w:p>
          <w:p>
            <w:pPr>
              <w:pStyle w:val="ListParagraph"/>
              <w:numPr>
                <w:ilvl w:val="0"/>
                <w:numId w:val="3"/>
              </w:numPr>
              <w:spacing w:after="60" w:line="276"/>
            </w:pPr>
            <w:r>
              <w:rPr>
                <w:b/>
                <w:bCs/>
                <w:color w:val="2E7D32"/>
              </w:rPr>
              <w:t xml:space="preserve">Article 182</w:t>
            </w:r>
            <w:r>
              <w:t xml:space="preserve"> (execution) was </w:t>
            </w:r>
            <w:r>
              <w:rPr>
                <w:b/>
                <w:bCs/>
                <w:color w:val="2E7D32"/>
              </w:rPr>
              <w:t xml:space="preserve">omitted in 1972</w:t>
            </w:r>
            <w:r>
              <w:t xml:space="preserve">; execution applications fall under </w:t>
            </w:r>
            <w:r>
              <w:rPr>
                <w:b/>
                <w:bCs/>
                <w:color w:val="2E7D32"/>
              </w:rPr>
              <w:t xml:space="preserve">Article 181</w:t>
            </w:r>
            <w:r>
              <w:t xml:space="preserve"> (three years), read with </w:t>
            </w:r>
            <w:r>
              <w:rPr>
                <w:b/>
                <w:bCs/>
                <w:color w:val="2E7D32"/>
              </w:rPr>
              <w:t xml:space="preserve">s. 48 CPC</w:t>
            </w:r>
            <w:r>
              <w:t xml:space="preserve"> (six years).</w:t>
            </w:r>
          </w:p>
          <w:p>
            <w:pPr>
              <w:pStyle w:val="ListParagraph"/>
              <w:numPr>
                <w:ilvl w:val="0"/>
                <w:numId w:val="3"/>
              </w:numPr>
              <w:spacing w:after="60" w:line="276"/>
            </w:pPr>
            <w:r>
              <w:rPr>
                <w:b/>
                <w:bCs/>
                <w:color w:val="2E7D32"/>
              </w:rPr>
              <w:t xml:space="preserve">Article 149</w:t>
            </w:r>
            <w:r>
              <w:t xml:space="preserve"> — suits by or on behalf of the </w:t>
            </w:r>
            <w:r>
              <w:rPr>
                <w:b/>
                <w:bCs/>
                <w:color w:val="2E7D32"/>
              </w:rPr>
              <w:t xml:space="preserve">Federal Government</w:t>
            </w:r>
            <w:r>
              <w:t xml:space="preserve"> or a Provincial Government: </w:t>
            </w:r>
            <w:r>
              <w:rPr>
                <w:b/>
                <w:bCs/>
                <w:color w:val="2E7D32"/>
              </w:rPr>
              <w:t xml:space="preserve">sixty years</w:t>
            </w:r>
            <w:r>
              <w:t xml:space="preserve">.</w:t>
            </w:r>
          </w:p>
          <w:p>
            <w:pPr>
              <w:pStyle w:val="ListParagraph"/>
              <w:numPr>
                <w:ilvl w:val="0"/>
                <w:numId w:val="3"/>
              </w:numPr>
              <w:spacing w:after="60" w:line="276"/>
            </w:pPr>
            <w:r>
              <w:rPr>
                <w:b/>
                <w:bCs/>
                <w:color w:val="2E7D32"/>
              </w:rPr>
              <w:t xml:space="preserve">Article 103 / 104</w:t>
            </w:r>
            <w:r>
              <w:t xml:space="preserve"> — prompt and deferred </w:t>
            </w:r>
            <w:r>
              <w:rPr>
                <w:b/>
                <w:bCs/>
                <w:color w:val="2E7D32"/>
              </w:rPr>
              <w:t xml:space="preserve">dower</w:t>
            </w:r>
            <w:r>
              <w:t xml:space="preserve"> (Topic 1).</w:t>
            </w:r>
          </w:p>
        </w:tc>
      </w:tr>
    </w:tbl>
    <w:p>
      <w:pPr>
        <w:spacing w:after="80"/>
      </w:pPr>
    </w:p>
    <w:p>
      <w:pPr>
        <w:pStyle w:val="Heading2"/>
        <w:keepNext/>
      </w:pPr>
      <w:bookmarkStart w:name="_h2" w:id="103"/>
      <w:r>
        <w:t xml:space="preserve">How the exam asks the Limitation Act</w:t>
      </w:r>
      <w:bookmarkEnd w:id="103"/>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7"/>
        <w:gridCol w:w="6319"/>
      </w:tblGrid>
      <w:tr>
        <w:trPr>
          <w:cantSplit/>
          <w:tblHeader/>
        </w:trPr>
        <w:tc>
          <w:tcPr>
            <w:tcW w:type="dxa" w:w="2707"/>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Paper</w:t>
            </w:r>
          </w:p>
        </w:tc>
        <w:tc>
          <w:tcPr>
            <w:tcW w:type="dxa" w:w="6319"/>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What it asked</w:t>
            </w:r>
          </w:p>
        </w:tc>
      </w:tr>
      <w:tr>
        <w:trPr>
          <w:cantSplit/>
          <w:tblHeader w:val="false"/>
        </w:trPr>
        <w:tc>
          <w:tcPr>
            <w:tcW w:type="dxa" w:w="270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KP High Court, Civil Law-II, 2026</w:t>
            </w:r>
          </w:p>
        </w:tc>
        <w:tc>
          <w:tcPr>
            <w:tcW w:type="dxa" w:w="631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Rules regarding the computation of the period of limitation</w:t>
            </w:r>
            <w:r>
              <w:rPr>
                <w:sz w:val="20"/>
                <w:szCs w:val="20"/>
              </w:rPr>
              <w:t xml:space="preserve">; can a court </w:t>
            </w:r>
            <w:r>
              <w:rPr>
                <w:b/>
                <w:bCs/>
                <w:color w:val="2E7D32"/>
                <w:sz w:val="20"/>
                <w:szCs w:val="20"/>
              </w:rPr>
              <w:t xml:space="preserve">of its own motion</w:t>
            </w:r>
            <w:r>
              <w:rPr>
                <w:sz w:val="20"/>
                <w:szCs w:val="20"/>
              </w:rPr>
              <w:t xml:space="preserve"> notice limitation without the opposing party's objection?</w:t>
            </w:r>
          </w:p>
        </w:tc>
      </w:tr>
      <w:tr>
        <w:trPr>
          <w:cantSplit/>
          <w:tblHeader w:val="false"/>
        </w:trPr>
        <w:tc>
          <w:tcPr>
            <w:tcW w:type="dxa" w:w="270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Lahore High Court, Civil Law-I, 2023</w:t>
            </w:r>
          </w:p>
        </w:tc>
        <w:tc>
          <w:tcPr>
            <w:tcW w:type="dxa" w:w="631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What constitutes an </w:t>
            </w:r>
            <w:r>
              <w:rPr>
                <w:b/>
                <w:bCs/>
                <w:color w:val="2E7D32"/>
                <w:sz w:val="20"/>
                <w:szCs w:val="20"/>
              </w:rPr>
              <w:t xml:space="preserve">acknowledgment in writing</w:t>
            </w:r>
            <w:r>
              <w:rPr>
                <w:sz w:val="20"/>
                <w:szCs w:val="20"/>
              </w:rPr>
              <w:t xml:space="preserve"> under s. 19; effect of an </w:t>
            </w:r>
            <w:r>
              <w:rPr>
                <w:b/>
                <w:bCs/>
                <w:color w:val="2E7D32"/>
                <w:sz w:val="20"/>
                <w:szCs w:val="20"/>
              </w:rPr>
              <w:t xml:space="preserve">undated</w:t>
            </w:r>
            <w:r>
              <w:rPr>
                <w:sz w:val="20"/>
                <w:szCs w:val="20"/>
              </w:rPr>
              <w:t xml:space="preserve"> acknowledgment; whether an acknowledgment </w:t>
            </w:r>
            <w:r>
              <w:rPr>
                <w:b/>
                <w:bCs/>
                <w:color w:val="2E7D32"/>
                <w:sz w:val="20"/>
                <w:szCs w:val="20"/>
              </w:rPr>
              <w:t xml:space="preserve">revives</w:t>
            </w:r>
            <w:r>
              <w:rPr>
                <w:sz w:val="20"/>
                <w:szCs w:val="20"/>
              </w:rPr>
              <w:t xml:space="preserve"> an expired limitation</w:t>
            </w:r>
          </w:p>
        </w:tc>
      </w:tr>
      <w:tr>
        <w:trPr>
          <w:cantSplit/>
          <w:tblHeader w:val="false"/>
        </w:trPr>
        <w:tc>
          <w:tcPr>
            <w:tcW w:type="dxa" w:w="270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Lahore High Court, Civil Law-I, 2022 and 2020</w:t>
            </w:r>
          </w:p>
        </w:tc>
        <w:tc>
          <w:tcPr>
            <w:tcW w:type="dxa" w:w="631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w:t>
            </w:r>
            <w:r>
              <w:rPr>
                <w:b/>
                <w:bCs/>
                <w:color w:val="2E7D32"/>
                <w:sz w:val="20"/>
                <w:szCs w:val="20"/>
              </w:rPr>
              <w:t xml:space="preserve">Where once time has begun to run, no subsequent disability or inability to sue can stop it</w:t>
            </w:r>
            <w:r>
              <w:rPr>
                <w:sz w:val="20"/>
                <w:szCs w:val="20"/>
              </w:rPr>
              <w:t xml:space="preserve">" (s. 9) — explain with case law; whether limitation </w:t>
            </w:r>
            <w:r>
              <w:rPr>
                <w:b/>
                <w:bCs/>
                <w:color w:val="2E7D32"/>
                <w:sz w:val="20"/>
                <w:szCs w:val="20"/>
              </w:rPr>
              <w:t xml:space="preserve">shields</w:t>
            </w:r>
            <w:r>
              <w:rPr>
                <w:sz w:val="20"/>
                <w:szCs w:val="20"/>
              </w:rPr>
              <w:t xml:space="preserve"> a transaction suffering from a legal infirmity or </w:t>
            </w:r>
            <w:r>
              <w:rPr>
                <w:b/>
                <w:bCs/>
                <w:color w:val="2E7D32"/>
                <w:sz w:val="20"/>
                <w:szCs w:val="20"/>
              </w:rPr>
              <w:t xml:space="preserve">fraud</w:t>
            </w:r>
          </w:p>
        </w:tc>
      </w:tr>
      <w:tr>
        <w:trPr>
          <w:cantSplit/>
          <w:tblHeader w:val="false"/>
        </w:trPr>
        <w:tc>
          <w:tcPr>
            <w:tcW w:type="dxa" w:w="270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Sindh High Court, 2022</w:t>
            </w:r>
          </w:p>
        </w:tc>
        <w:tc>
          <w:tcPr>
            <w:tcW w:type="dxa" w:w="631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Any three provisions</w:t>
            </w:r>
            <w:r>
              <w:rPr>
                <w:sz w:val="20"/>
                <w:szCs w:val="20"/>
              </w:rPr>
              <w:t xml:space="preserve"> under which time can be </w:t>
            </w:r>
            <w:r>
              <w:rPr>
                <w:b/>
                <w:bCs/>
                <w:color w:val="2E7D32"/>
                <w:sz w:val="20"/>
                <w:szCs w:val="20"/>
              </w:rPr>
              <w:t xml:space="preserve">excluded</w:t>
            </w:r>
            <w:r>
              <w:rPr>
                <w:sz w:val="20"/>
                <w:szCs w:val="20"/>
              </w:rPr>
              <w:t xml:space="preserve"> in computing limitation</w:t>
            </w:r>
          </w:p>
        </w:tc>
      </w:tr>
      <w:tr>
        <w:trPr>
          <w:cantSplit/>
          <w:tblHeader w:val="false"/>
        </w:trPr>
        <w:tc>
          <w:tcPr>
            <w:tcW w:type="dxa" w:w="270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LHC ASJ, Civil Law-I, 2025</w:t>
            </w:r>
          </w:p>
        </w:tc>
        <w:tc>
          <w:tcPr>
            <w:tcW w:type="dxa" w:w="631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w:t>
            </w:r>
            <w:r>
              <w:rPr>
                <w:b/>
                <w:bCs/>
                <w:color w:val="2E7D32"/>
                <w:sz w:val="20"/>
                <w:szCs w:val="20"/>
              </w:rPr>
              <w:t xml:space="preserve">Law helps the vigilant</w:t>
            </w:r>
            <w:r>
              <w:rPr>
                <w:sz w:val="20"/>
                <w:szCs w:val="20"/>
              </w:rPr>
              <w:t xml:space="preserve">" — the policy of limitation, </w:t>
            </w:r>
            <w:r>
              <w:rPr>
                <w:b/>
                <w:bCs/>
                <w:color w:val="2E7D32"/>
                <w:sz w:val="20"/>
                <w:szCs w:val="20"/>
              </w:rPr>
              <w:t xml:space="preserve">sufficient cause</w:t>
            </w:r>
            <w:r>
              <w:rPr>
                <w:sz w:val="20"/>
                <w:szCs w:val="20"/>
              </w:rPr>
              <w:t xml:space="preserve">, mandatory or directory, efficiency of courts</w:t>
            </w:r>
          </w:p>
        </w:tc>
      </w:tr>
      <w:tr>
        <w:trPr>
          <w:cantSplit/>
          <w:tblHeader w:val="false"/>
        </w:trPr>
        <w:tc>
          <w:tcPr>
            <w:tcW w:type="dxa" w:w="270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LHC ASJ, Civil Law-II, 2025</w:t>
            </w:r>
          </w:p>
        </w:tc>
        <w:tc>
          <w:tcPr>
            <w:tcW w:type="dxa" w:w="631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Limitation for setting aside an </w:t>
            </w:r>
            <w:r>
              <w:rPr>
                <w:b/>
                <w:bCs/>
                <w:color w:val="2E7D32"/>
                <w:sz w:val="20"/>
                <w:szCs w:val="20"/>
              </w:rPr>
              <w:t xml:space="preserve">ex parte decree</w:t>
            </w:r>
            <w:r>
              <w:rPr>
                <w:sz w:val="20"/>
                <w:szCs w:val="20"/>
              </w:rPr>
              <w:t xml:space="preserve"> — thirty days or three years?</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C2570C" w:sz="24"/>
              <w:bottom w:val="none" w:color="FFFFFF" w:sz="0"/>
              <w:right w:val="none" w:color="FFFFFF" w:sz="0"/>
            </w:tcBorders>
            <w:shd w:fill="FDF3EA" w:color="auto" w:val="clear"/>
            <w:tcMar>
              <w:top w:type="dxa" w:w="110"/>
              <w:left w:type="dxa" w:w="200"/>
              <w:bottom w:type="dxa" w:w="60"/>
              <w:right w:type="dxa" w:w="180"/>
            </w:tcMar>
          </w:tcPr>
          <w:p>
            <w:pPr>
              <w:keepNext/>
              <w:spacing w:after="80"/>
            </w:pPr>
            <w:r>
              <w:rPr>
                <w:b/>
                <w:bCs/>
                <w:color w:val="C2570C"/>
                <w:spacing w:val="20"/>
                <w:sz w:val="18"/>
                <w:szCs w:val="18"/>
              </w:rPr>
              <w:t xml:space="preserve">EXAM TIP</w:t>
            </w:r>
            <w:r>
              <w:rPr>
                <w:color w:val="C2570C"/>
                <w:sz w:val="18"/>
                <w:szCs w:val="18"/>
              </w:rPr>
              <w:t xml:space="preserve">  ·  </w:t>
            </w:r>
            <w:r>
              <w:rPr>
                <w:b/>
                <w:bCs/>
                <w:color w:val="C2570C"/>
                <w:sz w:val="18"/>
                <w:szCs w:val="18"/>
              </w:rPr>
              <w:t xml:space="preserve">The pattern</w:t>
            </w:r>
          </w:p>
          <w:p>
            <w:pPr>
              <w:spacing w:after="90" w:line="276"/>
            </w:pPr>
            <w:r>
              <w:t xml:space="preserve">Six things are asked again and again: the </w:t>
            </w:r>
            <w:r>
              <w:rPr>
                <w:b/>
                <w:bCs/>
                <w:color w:val="2E7D32"/>
              </w:rPr>
              <w:t xml:space="preserve">policy</w:t>
            </w:r>
            <w:r>
              <w:t xml:space="preserve"> of limitation; the court's </w:t>
            </w:r>
            <w:r>
              <w:rPr>
                <w:b/>
                <w:bCs/>
                <w:color w:val="2E7D32"/>
              </w:rPr>
              <w:t xml:space="preserve">duty under s. 3</w:t>
            </w:r>
            <w:r>
              <w:t xml:space="preserve">; </w:t>
            </w:r>
            <w:r>
              <w:rPr>
                <w:b/>
                <w:bCs/>
                <w:color w:val="2E7D32"/>
              </w:rPr>
              <w:t xml:space="preserve">sufficient cause</w:t>
            </w:r>
            <w:r>
              <w:t xml:space="preserve"> under s. 5; </w:t>
            </w:r>
            <w:r>
              <w:rPr>
                <w:b/>
                <w:bCs/>
                <w:color w:val="2E7D32"/>
              </w:rPr>
              <w:t xml:space="preserve">s. 9</w:t>
            </w:r>
            <w:r>
              <w:t xml:space="preserve">; the </w:t>
            </w:r>
            <w:r>
              <w:rPr>
                <w:b/>
                <w:bCs/>
                <w:color w:val="2E7D32"/>
              </w:rPr>
              <w:t xml:space="preserve">exclusions</w:t>
            </w:r>
            <w:r>
              <w:t xml:space="preserve"> (ss. 12–15); and </w:t>
            </w:r>
            <w:r>
              <w:rPr>
                <w:b/>
                <w:bCs/>
                <w:color w:val="2E7D32"/>
              </w:rPr>
              <w:t xml:space="preserve">acknowledgment</w:t>
            </w:r>
            <w:r>
              <w:t xml:space="preserve"> (s. 19). Master Chapters 1–6.</w:t>
            </w:r>
          </w:p>
        </w:tc>
      </w:tr>
    </w:tbl>
    <w:p>
      <w:pPr>
        <w:spacing w:after="80"/>
      </w:pPr>
    </w:p>
    <w:p>
      <w:pPr>
        <w:pStyle w:val="Heading1"/>
        <w:keepNext/>
        <w:pageBreakBefore/>
      </w:pPr>
      <w:bookmarkStart w:name="_h3" w:id="104"/>
      <w:r>
        <w:t xml:space="preserve">Chapter 1 · Object, policy and nature of the law of limitation</w:t>
      </w:r>
      <w:bookmarkEnd w:id="104"/>
    </w:p>
    <w:p>
      <w:pPr>
        <w:pStyle w:val="Heading2"/>
        <w:keepNext/>
      </w:pPr>
      <w:bookmarkStart w:name="_h4" w:id="105"/>
      <w:r>
        <w:t xml:space="preserve">1.1 What the law of limitation does</w:t>
      </w:r>
      <w:bookmarkEnd w:id="105"/>
    </w:p>
    <w:p>
      <w:pPr>
        <w:spacing w:after="120" w:line="288"/>
      </w:pPr>
      <w:r>
        <w:t xml:space="preserve">The Limitation Act fixes the </w:t>
      </w:r>
      <w:r>
        <w:rPr>
          <w:b/>
          <w:bCs/>
          <w:color w:val="2E7D32"/>
        </w:rPr>
        <w:t xml:space="preserve">time within which</w:t>
      </w:r>
      <w:r>
        <w:t xml:space="preserve"> a suit must be filed, an appeal preferred or an application made. After that time, the </w:t>
      </w:r>
      <w:r>
        <w:rPr>
          <w:b/>
          <w:bCs/>
          <w:color w:val="2E7D32"/>
        </w:rPr>
        <w:t xml:space="preserve">remedy</w:t>
      </w:r>
      <w:r>
        <w:t xml:space="preserve"> in court is </w:t>
      </w:r>
      <w:r>
        <w:rPr>
          <w:b/>
          <w:bCs/>
          <w:color w:val="2E7D32"/>
        </w:rPr>
        <w:t xml:space="preserve">barred</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6B2D6B" w:sz="24"/>
              <w:bottom w:val="none" w:color="FFFFFF" w:sz="0"/>
              <w:right w:val="none" w:color="FFFFFF" w:sz="0"/>
            </w:tcBorders>
            <w:shd w:fill="F6EFF6" w:color="auto" w:val="clear"/>
            <w:tcMar>
              <w:top w:type="dxa" w:w="110"/>
              <w:left w:type="dxa" w:w="200"/>
              <w:bottom w:type="dxa" w:w="60"/>
              <w:right w:type="dxa" w:w="180"/>
            </w:tcMar>
          </w:tcPr>
          <w:p>
            <w:pPr>
              <w:keepNext/>
              <w:spacing w:after="80"/>
            </w:pPr>
            <w:r>
              <w:rPr>
                <w:b/>
                <w:bCs/>
                <w:color w:val="6B2D6B"/>
                <w:spacing w:val="20"/>
                <w:sz w:val="18"/>
                <w:szCs w:val="18"/>
              </w:rPr>
              <w:t xml:space="preserve">LEGAL MAXIM</w:t>
            </w:r>
            <w:r>
              <w:rPr>
                <w:color w:val="6B2D6B"/>
                <w:sz w:val="18"/>
                <w:szCs w:val="18"/>
              </w:rPr>
              <w:t xml:space="preserve">  ·  </w:t>
            </w:r>
            <w:r>
              <w:rPr>
                <w:b/>
                <w:bCs/>
                <w:color w:val="6B2D6B"/>
                <w:sz w:val="18"/>
                <w:szCs w:val="18"/>
              </w:rPr>
              <w:t xml:space="preserve">Interest reipublicae ut sit finis litium — it is in the interest of the State that there be an end to litigation</w:t>
            </w:r>
          </w:p>
          <w:p>
            <w:pPr>
              <w:spacing w:after="90" w:line="276"/>
            </w:pPr>
            <w:r>
              <w:t xml:space="preserve">Disputes must be brought to court while the evidence is fresh, and settled transactions must not be reopened after long delay.</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6B2D6B" w:sz="24"/>
              <w:bottom w:val="none" w:color="FFFFFF" w:sz="0"/>
              <w:right w:val="none" w:color="FFFFFF" w:sz="0"/>
            </w:tcBorders>
            <w:shd w:fill="F6EFF6" w:color="auto" w:val="clear"/>
            <w:tcMar>
              <w:top w:type="dxa" w:w="110"/>
              <w:left w:type="dxa" w:w="200"/>
              <w:bottom w:type="dxa" w:w="60"/>
              <w:right w:type="dxa" w:w="180"/>
            </w:tcMar>
          </w:tcPr>
          <w:p>
            <w:pPr>
              <w:keepNext/>
              <w:spacing w:after="80"/>
            </w:pPr>
            <w:r>
              <w:rPr>
                <w:b/>
                <w:bCs/>
                <w:color w:val="6B2D6B"/>
                <w:spacing w:val="20"/>
                <w:sz w:val="18"/>
                <w:szCs w:val="18"/>
              </w:rPr>
              <w:t xml:space="preserve">LEGAL MAXIM</w:t>
            </w:r>
            <w:r>
              <w:rPr>
                <w:color w:val="6B2D6B"/>
                <w:sz w:val="18"/>
                <w:szCs w:val="18"/>
              </w:rPr>
              <w:t xml:space="preserve">  ·  </w:t>
            </w:r>
            <w:r>
              <w:rPr>
                <w:b/>
                <w:bCs/>
                <w:color w:val="6B2D6B"/>
                <w:sz w:val="18"/>
                <w:szCs w:val="18"/>
              </w:rPr>
              <w:t xml:space="preserve">Vigilantibus non dormientibus jura subveniunt — the law helps the vigilant, not those who sleep over their rights</w:t>
            </w:r>
          </w:p>
          <w:p>
            <w:pPr>
              <w:spacing w:after="90" w:line="276"/>
            </w:pPr>
            <w:r>
              <w:t xml:space="preserve">A person who sleeps over his rights for longer than the law allows cannot complain if the law refuses him its help. This is the theme of the ASJ 2025 question.</w:t>
            </w:r>
          </w:p>
        </w:tc>
      </w:tr>
    </w:tbl>
    <w:p>
      <w:pPr>
        <w:spacing w:after="80"/>
      </w:pPr>
    </w:p>
    <w:p>
      <w:pPr>
        <w:pStyle w:val="Heading2"/>
        <w:keepNext/>
      </w:pPr>
      <w:bookmarkStart w:name="_h5" w:id="106"/>
      <w:r>
        <w:t xml:space="preserve">1.2 The policy reasons</w:t>
      </w:r>
      <w:bookmarkEnd w:id="106"/>
    </w:p>
    <w:p>
      <w:pPr>
        <w:pStyle w:val="ListParagraph"/>
        <w:numPr>
          <w:ilvl w:val="0"/>
          <w:numId w:val="4"/>
        </w:numPr>
        <w:spacing w:after="60" w:line="276"/>
      </w:pPr>
      <w:r>
        <w:rPr>
          <w:b/>
          <w:bCs/>
          <w:color w:val="2E7D32"/>
        </w:rPr>
        <w:t xml:space="preserve">Certainty and repose</w:t>
      </w:r>
      <w:r>
        <w:t xml:space="preserve"> — people must be able to arrange their affairs knowing that old claims will not be revived.</w:t>
      </w:r>
    </w:p>
    <w:p>
      <w:pPr>
        <w:pStyle w:val="ListParagraph"/>
        <w:numPr>
          <w:ilvl w:val="0"/>
          <w:numId w:val="4"/>
        </w:numPr>
        <w:spacing w:after="60" w:line="276"/>
      </w:pPr>
      <w:r>
        <w:rPr>
          <w:b/>
          <w:bCs/>
          <w:color w:val="2E7D32"/>
        </w:rPr>
        <w:t xml:space="preserve">Evidence</w:t>
      </w:r>
      <w:r>
        <w:t xml:space="preserve"> — with time, witnesses die, memories fade and documents are lost; the defendant should not have to defend stale claims.</w:t>
      </w:r>
    </w:p>
    <w:p>
      <w:pPr>
        <w:pStyle w:val="ListParagraph"/>
        <w:numPr>
          <w:ilvl w:val="0"/>
          <w:numId w:val="4"/>
        </w:numPr>
        <w:spacing w:after="60" w:line="276"/>
      </w:pPr>
      <w:r>
        <w:rPr>
          <w:b/>
          <w:bCs/>
          <w:color w:val="2E7D32"/>
        </w:rPr>
        <w:t xml:space="preserve">Diligence</w:t>
      </w:r>
      <w:r>
        <w:t xml:space="preserve"> — the law encourages claimants to act promptly.</w:t>
      </w:r>
    </w:p>
    <w:p>
      <w:pPr>
        <w:pStyle w:val="ListParagraph"/>
        <w:numPr>
          <w:ilvl w:val="0"/>
          <w:numId w:val="4"/>
        </w:numPr>
        <w:spacing w:after="60" w:line="276"/>
      </w:pPr>
      <w:r>
        <w:rPr>
          <w:b/>
          <w:bCs/>
          <w:color w:val="2E7D32"/>
        </w:rPr>
        <w:t xml:space="preserve">Efficiency of courts</w:t>
      </w:r>
      <w:r>
        <w:t xml:space="preserve"> — strict limitation reduces the volume of stale and frivolous litigation and the backlog of cases.</w:t>
      </w:r>
    </w:p>
    <w:p>
      <w:pPr>
        <w:pStyle w:val="ListParagraph"/>
        <w:numPr>
          <w:ilvl w:val="0"/>
          <w:numId w:val="4"/>
        </w:numPr>
        <w:spacing w:after="60" w:line="276"/>
      </w:pPr>
      <w:r>
        <w:rPr>
          <w:b/>
          <w:bCs/>
          <w:color w:val="2E7D32"/>
        </w:rPr>
        <w:t xml:space="preserve">Balance</w:t>
      </w:r>
      <w:r>
        <w:t xml:space="preserve"> — the Act is not merciless: it extends time for </w:t>
      </w:r>
      <w:r>
        <w:rPr>
          <w:b/>
          <w:bCs/>
          <w:color w:val="2E7D32"/>
        </w:rPr>
        <w:t xml:space="preserve">disability</w:t>
      </w:r>
      <w:r>
        <w:t xml:space="preserve"> (ss. 6–8), </w:t>
      </w:r>
      <w:r>
        <w:rPr>
          <w:b/>
          <w:bCs/>
          <w:color w:val="2E7D32"/>
        </w:rPr>
        <w:t xml:space="preserve">fraud</w:t>
      </w:r>
      <w:r>
        <w:t xml:space="preserve"> (s. 18), </w:t>
      </w:r>
      <w:r>
        <w:rPr>
          <w:b/>
          <w:bCs/>
          <w:color w:val="2E7D32"/>
        </w:rPr>
        <w:t xml:space="preserve">acknowledgment</w:t>
      </w:r>
      <w:r>
        <w:t xml:space="preserve"> (s. 19), bona fide proceedings in the </w:t>
      </w:r>
      <w:r>
        <w:rPr>
          <w:b/>
          <w:bCs/>
          <w:color w:val="2E7D32"/>
        </w:rPr>
        <w:t xml:space="preserve">wrong court</w:t>
      </w:r>
      <w:r>
        <w:t xml:space="preserve"> (s. 14), and, for appeals and applications, </w:t>
      </w:r>
      <w:r>
        <w:rPr>
          <w:b/>
          <w:bCs/>
          <w:color w:val="2E7D32"/>
        </w:rPr>
        <w:t xml:space="preserve">sufficient cause</w:t>
      </w:r>
      <w:r>
        <w:t xml:space="preserve"> (s. 5).</w:t>
      </w:r>
    </w:p>
    <w:p>
      <w:pPr>
        <w:pStyle w:val="Heading2"/>
        <w:keepNext/>
      </w:pPr>
      <w:bookmarkStart w:name="_h6" w:id="107"/>
      <w:r>
        <w:t xml:space="preserve">1.3 Nature of the law</w:t>
      </w:r>
      <w:bookmarkEnd w:id="107"/>
    </w:p>
    <w:p>
      <w:pPr>
        <w:pStyle w:val="ListParagraph"/>
        <w:numPr>
          <w:ilvl w:val="0"/>
          <w:numId w:val="5"/>
        </w:numPr>
        <w:spacing w:after="60" w:line="276"/>
      </w:pPr>
      <w:r>
        <w:rPr>
          <w:b/>
          <w:bCs/>
          <w:color w:val="2E7D32"/>
        </w:rPr>
        <w:t xml:space="preserve">Procedural</w:t>
      </w:r>
      <w:r>
        <w:t xml:space="preserve"> law, applied according to the law in force at the date of the </w:t>
      </w:r>
      <w:r>
        <w:rPr>
          <w:b/>
          <w:bCs/>
          <w:color w:val="2E7D32"/>
        </w:rPr>
        <w:t xml:space="preserve">institution</w:t>
      </w:r>
      <w:r>
        <w:t xml:space="preserve"> of the suit. But it creates </w:t>
      </w:r>
      <w:r>
        <w:rPr>
          <w:b/>
          <w:bCs/>
          <w:color w:val="2E7D32"/>
        </w:rPr>
        <w:t xml:space="preserve">vested rights</w:t>
      </w:r>
      <w:r>
        <w:t xml:space="preserve">: once a claim is barred, the defendant acquires a </w:t>
      </w:r>
      <w:r>
        <w:rPr>
          <w:b/>
          <w:bCs/>
          <w:color w:val="2E7D32"/>
        </w:rPr>
        <w:t xml:space="preserve">vested right</w:t>
      </w:r>
      <w:r>
        <w:t xml:space="preserve"> not to be sued, which a later amendment does not take away unless it does so expressly.</w:t>
      </w:r>
    </w:p>
    <w:p>
      <w:pPr>
        <w:pStyle w:val="ListParagraph"/>
        <w:numPr>
          <w:ilvl w:val="0"/>
          <w:numId w:val="5"/>
        </w:numPr>
        <w:spacing w:after="60" w:line="276"/>
      </w:pPr>
      <w:r>
        <w:rPr>
          <w:b/>
          <w:bCs/>
          <w:color w:val="2E7D32"/>
        </w:rPr>
        <w:t xml:space="preserve">Bars the remedy, not the right</w:t>
      </w:r>
      <w:r>
        <w:t xml:space="preserve"> — the right survives, though it cannot be enforced by suit. Consequences: (i) a creditor may </w:t>
      </w:r>
      <w:r>
        <w:rPr>
          <w:b/>
          <w:bCs/>
          <w:color w:val="2E7D32"/>
        </w:rPr>
        <w:t xml:space="preserve">appropriate</w:t>
      </w:r>
      <w:r>
        <w:t xml:space="preserve"> a payment to a time-barred debt (Contract Act s. 60); (ii) a </w:t>
      </w:r>
      <w:r>
        <w:rPr>
          <w:b/>
          <w:bCs/>
          <w:color w:val="2E7D32"/>
        </w:rPr>
        <w:t xml:space="preserve">written, signed promise</w:t>
      </w:r>
      <w:r>
        <w:t xml:space="preserve"> to pay a time-barred debt is a new contract (Contract Act s. 25(3)); (iii) a lien or security may still be enforced in some cases. (Formerly, </w:t>
      </w:r>
      <w:r>
        <w:rPr>
          <w:b/>
          <w:bCs/>
          <w:color w:val="2E7D32"/>
        </w:rPr>
        <w:t xml:space="preserve">s. 28</w:t>
      </w:r>
      <w:r>
        <w:t xml:space="preserve"> extinguished the </w:t>
      </w:r>
      <w:r>
        <w:rPr>
          <w:b/>
          <w:bCs/>
          <w:color w:val="2E7D32"/>
        </w:rPr>
        <w:t xml:space="preserve">right</w:t>
      </w:r>
      <w:r>
        <w:t xml:space="preserve"> to property itself after the period for possession — that section was </w:t>
      </w:r>
      <w:r>
        <w:rPr>
          <w:b/>
          <w:bCs/>
          <w:color w:val="2E7D32"/>
        </w:rPr>
        <w:t xml:space="preserve">omitted in 1995</w:t>
      </w:r>
      <w:r>
        <w:t xml:space="preserve">.)</w:t>
      </w:r>
    </w:p>
    <w:p>
      <w:pPr>
        <w:pStyle w:val="ListParagraph"/>
        <w:numPr>
          <w:ilvl w:val="0"/>
          <w:numId w:val="5"/>
        </w:numPr>
        <w:spacing w:after="60" w:line="276"/>
      </w:pPr>
      <w:r>
        <w:rPr>
          <w:b/>
          <w:bCs/>
          <w:color w:val="2E7D32"/>
        </w:rPr>
        <w:t xml:space="preserve">Strictly construed</w:t>
      </w:r>
      <w:r>
        <w:t xml:space="preserve"> — the Act is applied strictly; equitable considerations do </w:t>
      </w:r>
      <w:r>
        <w:rPr>
          <w:b/>
          <w:bCs/>
          <w:color w:val="2E7D32"/>
        </w:rPr>
        <w:t xml:space="preserve">not</w:t>
      </w:r>
      <w:r>
        <w:t xml:space="preserve"> extend limitation, and courts cannot extend time on grounds of hardship except as the Act permits.</w:t>
      </w:r>
    </w:p>
    <w:p>
      <w:pPr>
        <w:pStyle w:val="ListParagraph"/>
        <w:numPr>
          <w:ilvl w:val="0"/>
          <w:numId w:val="5"/>
        </w:numPr>
        <w:spacing w:after="60" w:line="276"/>
      </w:pPr>
      <w:r>
        <w:rPr>
          <w:b/>
          <w:bCs/>
          <w:color w:val="2E7D32"/>
        </w:rPr>
        <w:t xml:space="preserve">Not a mere technicality</w:t>
      </w:r>
      <w:r>
        <w:t xml:space="preserve"> — "the law of limitation is not to be treated as a technicality; on the expiry of the period, a valuable right accrues to the other party" (</w:t>
      </w:r>
      <w:r>
        <w:rPr>
          <w:i/>
          <w:iCs/>
        </w:rPr>
        <w:t xml:space="preserve">Hakim Muhammad Buta v. Habib Ahmad</w:t>
      </w:r>
      <w:r>
        <w:t xml:space="preserve">, PLD 1985 SC 153).</w:t>
      </w:r>
    </w:p>
    <w:p>
      <w:pPr>
        <w:pStyle w:val="Heading2"/>
        <w:keepNext/>
      </w:pPr>
      <w:bookmarkStart w:name="_h7" w:id="108"/>
      <w:r>
        <w:t xml:space="preserve">1.4 Definitions worth knowing — s. 2</w:t>
      </w:r>
      <w:bookmarkEnd w:id="108"/>
    </w:p>
    <w:p>
      <w:pPr>
        <w:pStyle w:val="ListParagraph"/>
        <w:numPr>
          <w:ilvl w:val="0"/>
          <w:numId w:val="6"/>
        </w:numPr>
        <w:spacing w:after="60" w:line="276"/>
      </w:pPr>
      <w:r>
        <w:rPr>
          <w:b/>
          <w:bCs/>
          <w:color w:val="2E7D32"/>
        </w:rPr>
        <w:t xml:space="preserve">"Suit" does not include an appeal or an application</w:t>
      </w:r>
      <w:r>
        <w:t xml:space="preserve"> (s. 2(10)) — this is why s. 5 does not apply to suits.</w:t>
      </w:r>
    </w:p>
    <w:p>
      <w:pPr>
        <w:pStyle w:val="ListParagraph"/>
        <w:numPr>
          <w:ilvl w:val="0"/>
          <w:numId w:val="6"/>
        </w:numPr>
        <w:spacing w:after="60" w:line="276"/>
      </w:pPr>
      <w:r>
        <w:rPr>
          <w:b/>
          <w:bCs/>
          <w:color w:val="2E7D32"/>
        </w:rPr>
        <w:t xml:space="preserve">"Good faith"</w:t>
      </w:r>
      <w:r>
        <w:t xml:space="preserve"> — "nothing shall be deemed to be done in good faith which is not done with </w:t>
      </w:r>
      <w:r>
        <w:rPr>
          <w:b/>
          <w:bCs/>
          <w:color w:val="2E7D32"/>
        </w:rPr>
        <w:t xml:space="preserve">due care and attention</w:t>
      </w:r>
      <w:r>
        <w:t xml:space="preserve">" (s. 2(7)) — important for s. 14.</w:t>
      </w:r>
    </w:p>
    <w:p>
      <w:pPr>
        <w:pStyle w:val="ListParagraph"/>
        <w:numPr>
          <w:ilvl w:val="0"/>
          <w:numId w:val="6"/>
        </w:numPr>
        <w:spacing w:after="60" w:line="276"/>
      </w:pPr>
      <w:r>
        <w:rPr>
          <w:b/>
          <w:bCs/>
          <w:color w:val="2E7D32"/>
        </w:rPr>
        <w:t xml:space="preserve">"Plaintiff" / "defendant" / "applicant"</w:t>
      </w:r>
      <w:r>
        <w:t xml:space="preserve"> include persons </w:t>
      </w:r>
      <w:r>
        <w:rPr>
          <w:b/>
          <w:bCs/>
          <w:color w:val="2E7D32"/>
        </w:rPr>
        <w:t xml:space="preserve">from or through whom</w:t>
      </w:r>
      <w:r>
        <w:t xml:space="preserve"> they derive their right or liability (successors are bound by time running against their predecessors).</w:t>
      </w:r>
    </w:p>
    <w:p>
      <w:pPr>
        <w:pStyle w:val="ListParagraph"/>
        <w:numPr>
          <w:ilvl w:val="0"/>
          <w:numId w:val="6"/>
        </w:numPr>
        <w:spacing w:after="60" w:line="276"/>
      </w:pPr>
      <w:r>
        <w:rPr>
          <w:b/>
          <w:bCs/>
          <w:color w:val="2E7D32"/>
        </w:rPr>
        <w:t xml:space="preserve">"Trustee"</w:t>
      </w:r>
      <w:r>
        <w:t xml:space="preserve"> does not include a benamidar, a mortgagee in possession after satisfaction, or a wrong-doer in possession without title (s. 2(11)) — relevant to s. 10.</w:t>
      </w:r>
    </w:p>
    <w:p>
      <w:pPr>
        <w:pStyle w:val="Heading1"/>
        <w:keepNext/>
        <w:pageBreakBefore/>
      </w:pPr>
      <w:bookmarkStart w:name="_h8" w:id="109"/>
      <w:r>
        <w:t xml:space="preserve">Chapter 2 · Section 3 — the bar, and the court's duty</w:t>
      </w:r>
      <w:bookmarkEnd w:id="109"/>
    </w:p>
    <w:p>
      <w:pPr>
        <w:pStyle w:val="Heading2"/>
        <w:keepNext/>
      </w:pPr>
      <w:bookmarkStart w:name="_h9" w:id="110"/>
      <w:r>
        <w:t xml:space="preserve">2.1 The text</w:t>
      </w:r>
      <w:bookmarkEnd w:id="110"/>
    </w:p>
    <w:p>
      <w:pPr>
        <w:pBdr>
          <w:left w:val="single" w:color="7A9CC6" w:sz="18" w:space="10"/>
        </w:pBdr>
        <w:shd w:fill="F3F6FA" w:color="auto" w:val="clear"/>
        <w:spacing w:after="100" w:line="276"/>
        <w:ind w:left="360" w:right="240"/>
      </w:pPr>
      <w:r>
        <w:rPr>
          <w:color w:val="1E3A5F"/>
        </w:rPr>
        <w:t xml:space="preserve">"3. Subject to the provisions contained in sections 4 to 25 (inclusive), every suit instituted, appeal preferred, and application made, after the period of limitation prescribed therefor by the first schedule </w:t>
      </w:r>
      <w:r>
        <w:rPr>
          <w:b/>
          <w:bCs/>
          <w:color w:val="1E3A5F"/>
        </w:rPr>
        <w:t xml:space="preserve">shall be dismissed, although limitation has not been set up as a defence</w:t>
      </w:r>
      <w:r>
        <w:rPr>
          <w:color w:val="1E3A5F"/>
        </w:rPr>
        <w:t xml:space="preserve">. Explanation.— A suit is instituted, in ordinary cases, when the plaint is presented to the proper officer; in the case of a pauper, when his application for leave to sue as a pauper is made; and, in the case of a claim against a company which is being wound up by the Court, when the claimant first sends in his claim to the official liquidator."</w:t>
      </w:r>
    </w:p>
    <w:p>
      <w:pPr>
        <w:pStyle w:val="Heading2"/>
        <w:keepNext/>
      </w:pPr>
      <w:bookmarkStart w:name="_h10" w:id="111"/>
      <w:r>
        <w:t xml:space="preserve">2.2 Can the court notice limitation of its own motion? (KPHC 2026)</w:t>
      </w:r>
      <w:bookmarkEnd w:id="111"/>
    </w:p>
    <w:p>
      <w:pPr>
        <w:spacing w:after="120" w:line="288"/>
      </w:pPr>
      <w:r>
        <w:rPr>
          <w:b/>
          <w:bCs/>
          <w:color w:val="2E7D32"/>
        </w:rPr>
        <w:t xml:space="preserve">Yes — it must.</w:t>
      </w:r>
      <w:r>
        <w:t xml:space="preserve"> The words "</w:t>
      </w:r>
      <w:r>
        <w:rPr>
          <w:b/>
          <w:bCs/>
          <w:color w:val="2E7D32"/>
        </w:rPr>
        <w:t xml:space="preserve">shall be dismissed, although limitation has not been set up as a defence</w:t>
      </w:r>
      <w:r>
        <w:t xml:space="preserve">" impose a </w:t>
      </w:r>
      <w:r>
        <w:rPr>
          <w:b/>
          <w:bCs/>
          <w:color w:val="2E7D32"/>
        </w:rPr>
        <w:t xml:space="preserve">mandatory duty</w:t>
      </w:r>
      <w:r>
        <w:t xml:space="preserve"> on the court:</w:t>
      </w:r>
    </w:p>
    <w:p>
      <w:pPr>
        <w:pStyle w:val="ListParagraph"/>
        <w:numPr>
          <w:ilvl w:val="0"/>
          <w:numId w:val="7"/>
        </w:numPr>
        <w:spacing w:after="60" w:line="276"/>
      </w:pPr>
      <w:r>
        <w:t xml:space="preserve">The court must examine limitation </w:t>
      </w:r>
      <w:r>
        <w:rPr>
          <w:b/>
          <w:bCs/>
          <w:color w:val="2E7D32"/>
        </w:rPr>
        <w:t xml:space="preserve">itself</w:t>
      </w:r>
      <w:r>
        <w:t xml:space="preserve">, whether or not the defendant pleads it, and even if the defendant is </w:t>
      </w:r>
      <w:r>
        <w:rPr>
          <w:b/>
          <w:bCs/>
          <w:color w:val="2E7D32"/>
        </w:rPr>
        <w:t xml:space="preserve">ex parte</w:t>
      </w:r>
      <w:r>
        <w:t xml:space="preserve">.</w:t>
      </w:r>
    </w:p>
    <w:p>
      <w:pPr>
        <w:pStyle w:val="ListParagraph"/>
        <w:numPr>
          <w:ilvl w:val="0"/>
          <w:numId w:val="7"/>
        </w:numPr>
        <w:spacing w:after="60" w:line="276"/>
      </w:pPr>
      <w:r>
        <w:rPr>
          <w:b/>
          <w:bCs/>
          <w:color w:val="2E7D32"/>
        </w:rPr>
        <w:t xml:space="preserve">Waiver, consent or admission</w:t>
      </w:r>
      <w:r>
        <w:t xml:space="preserve"> by the defendant cannot confer jurisdiction on a court to entertain a time-barred suit; parties cannot by agreement extend limitation (and a contract shortening it is void — Contract Act s. 28).</w:t>
      </w:r>
    </w:p>
    <w:p>
      <w:pPr>
        <w:pStyle w:val="ListParagraph"/>
        <w:numPr>
          <w:ilvl w:val="0"/>
          <w:numId w:val="7"/>
        </w:numPr>
        <w:spacing w:after="60" w:line="276"/>
      </w:pPr>
      <w:r>
        <w:rPr>
          <w:b/>
          <w:bCs/>
          <w:color w:val="2E7D32"/>
        </w:rPr>
        <w:t xml:space="preserve">At any stage</w:t>
      </w:r>
      <w:r>
        <w:t xml:space="preserve"> — limitation may be raised and decided at any stage, </w:t>
      </w:r>
      <w:r>
        <w:rPr>
          <w:b/>
          <w:bCs/>
          <w:color w:val="2E7D32"/>
        </w:rPr>
        <w:t xml:space="preserve">including in appeal or revision</w:t>
      </w:r>
      <w:r>
        <w:t xml:space="preserve">, since it goes to the root of the court's power to grant relief.</w:t>
      </w:r>
    </w:p>
    <w:p>
      <w:pPr>
        <w:pStyle w:val="ListParagraph"/>
        <w:numPr>
          <w:ilvl w:val="0"/>
          <w:numId w:val="7"/>
        </w:numPr>
        <w:spacing w:after="60" w:line="276"/>
      </w:pPr>
      <w:r>
        <w:rPr>
          <w:b/>
          <w:bCs/>
          <w:color w:val="2E7D32"/>
        </w:rPr>
        <w:t xml:space="preserve">Plaint barred on its face</w:t>
      </w:r>
      <w:r>
        <w:t xml:space="preserve"> — the court shall </w:t>
      </w:r>
      <w:r>
        <w:rPr>
          <w:b/>
          <w:bCs/>
          <w:color w:val="2E7D32"/>
        </w:rPr>
        <w:t xml:space="preserve">reject</w:t>
      </w:r>
      <w:r>
        <w:t xml:space="preserve"> the plaint under </w:t>
      </w:r>
      <w:r>
        <w:rPr>
          <w:b/>
          <w:bCs/>
          <w:color w:val="2E7D32"/>
        </w:rPr>
        <w:t xml:space="preserve">O. VII r. 11(d) CPC</w:t>
      </w:r>
      <w:r>
        <w:t xml:space="preserve"> where the suit "appears from the statement in the plaint to be barred by any law".</w:t>
      </w:r>
    </w:p>
    <w:p>
      <w:pPr>
        <w:pStyle w:val="ListParagraph"/>
        <w:numPr>
          <w:ilvl w:val="0"/>
          <w:numId w:val="7"/>
        </w:numPr>
        <w:spacing w:after="60" w:line="276"/>
      </w:pPr>
      <w:r>
        <w:rPr>
          <w:b/>
          <w:bCs/>
          <w:color w:val="2E7D32"/>
        </w:rPr>
        <w:t xml:space="preserve">Mixed question of law and fact</w:t>
      </w:r>
      <w:r>
        <w:t xml:space="preserve"> — where limitation depends on disputed facts (e.g., the date of knowledge of fraud, or of dispossession), the court should </w:t>
      </w:r>
      <w:r>
        <w:rPr>
          <w:b/>
          <w:bCs/>
          <w:color w:val="2E7D32"/>
        </w:rPr>
        <w:t xml:space="preserve">frame an issue</w:t>
      </w:r>
      <w:r>
        <w:t xml:space="preserve"> and decide it on evidence, rather than dismiss summarily.</w:t>
      </w:r>
    </w:p>
    <w:p>
      <w:pPr>
        <w:pStyle w:val="ListParagraph"/>
        <w:numPr>
          <w:ilvl w:val="0"/>
          <w:numId w:val="7"/>
        </w:numPr>
        <w:spacing w:after="60" w:line="276"/>
      </w:pPr>
      <w:r>
        <w:rPr>
          <w:b/>
          <w:bCs/>
          <w:color w:val="2E7D32"/>
        </w:rPr>
        <w:t xml:space="preserve">Fair hearing</w:t>
      </w:r>
      <w:r>
        <w:t xml:space="preserve"> — before dismissing a suit as barred on a point not raised by the defendant, the court should give the plaintiff an </w:t>
      </w:r>
      <w:r>
        <w:rPr>
          <w:b/>
          <w:bCs/>
          <w:color w:val="2E7D32"/>
        </w:rPr>
        <w:t xml:space="preserve">opportunity</w:t>
      </w:r>
      <w:r>
        <w:t xml:space="preserve"> to explain (e.g., to show an exclusion under ss. 12–18 or an acknowledgment under s. 19).</w:t>
      </w:r>
    </w:p>
    <w:p>
      <w:pPr>
        <w:pStyle w:val="ListParagraph"/>
        <w:numPr>
          <w:ilvl w:val="0"/>
          <w:numId w:val="7"/>
        </w:numPr>
        <w:spacing w:after="60" w:line="276"/>
      </w:pPr>
      <w:r>
        <w:t xml:space="preserve">The plaintiff must plead the grounds of </w:t>
      </w:r>
      <w:r>
        <w:rPr>
          <w:b/>
          <w:bCs/>
          <w:color w:val="2E7D32"/>
        </w:rPr>
        <w:t xml:space="preserve">exemption</w:t>
      </w:r>
      <w:r>
        <w:t xml:space="preserve"> from limitation — </w:t>
      </w:r>
      <w:r>
        <w:rPr>
          <w:b/>
          <w:bCs/>
          <w:color w:val="2E7D32"/>
        </w:rPr>
        <w:t xml:space="preserve">O. VII r. 6 CPC</w:t>
      </w:r>
      <w:r>
        <w:t xml:space="preserve">: where the suit is instituted after the period, the plaint shall show the ground on which exemption is claimed.</w:t>
      </w:r>
    </w:p>
    <w:p>
      <w:pPr>
        <w:pStyle w:val="Heading2"/>
        <w:keepNext/>
      </w:pPr>
      <w:bookmarkStart w:name="_h11" w:id="112"/>
      <w:r>
        <w:t xml:space="preserve">2.3 When is a suit "instituted"?</w:t>
      </w:r>
      <w:bookmarkEnd w:id="112"/>
    </w:p>
    <w:p>
      <w:pPr>
        <w:spacing w:after="120" w:line="288"/>
      </w:pPr>
      <w:r>
        <w:t xml:space="preserve">When the </w:t>
      </w:r>
      <w:r>
        <w:rPr>
          <w:b/>
          <w:bCs/>
          <w:color w:val="2E7D32"/>
        </w:rPr>
        <w:t xml:space="preserve">plaint is presented to the proper officer</w:t>
      </w:r>
      <w:r>
        <w:t xml:space="preserve"> of the court having jurisdiction — not when summons is issued. A plaint presented to a court without jurisdiction and later returned (O. VII r. 10) is instituted in the proper court only when </w:t>
      </w:r>
      <w:r>
        <w:rPr>
          <w:b/>
          <w:bCs/>
          <w:color w:val="2E7D32"/>
        </w:rPr>
        <w:t xml:space="preserve">re-presented</w:t>
      </w:r>
      <w:r>
        <w:t xml:space="preserve"> there; the plaintiff may then claim exclusion under </w:t>
      </w:r>
      <w:r>
        <w:rPr>
          <w:b/>
          <w:bCs/>
          <w:color w:val="2E7D32"/>
        </w:rPr>
        <w:t xml:space="preserve">s. 14</w:t>
      </w:r>
      <w:r>
        <w:t xml:space="preserve">.</w:t>
      </w:r>
    </w:p>
    <w:p>
      <w:pPr>
        <w:pStyle w:val="Heading2"/>
        <w:keepNext/>
      </w:pPr>
      <w:bookmarkStart w:name="_h12" w:id="113"/>
      <w:r>
        <w:t xml:space="preserve">2.4 Court closed — s. 4</w:t>
      </w:r>
      <w:bookmarkEnd w:id="113"/>
    </w:p>
    <w:p>
      <w:pPr>
        <w:spacing w:after="120" w:line="288"/>
      </w:pPr>
      <w:r>
        <w:t xml:space="preserve">"Where the period of limitation prescribed for any suit, appeal or application </w:t>
      </w:r>
      <w:r>
        <w:rPr>
          <w:b/>
          <w:bCs/>
          <w:color w:val="2E7D32"/>
        </w:rPr>
        <w:t xml:space="preserve">expires on a day when the Court is closed</w:t>
      </w:r>
      <w:r>
        <w:t xml:space="preserve">, the suit, appeal or application may be instituted, preferred or made on the day that the </w:t>
      </w:r>
      <w:r>
        <w:rPr>
          <w:b/>
          <w:bCs/>
          <w:color w:val="2E7D32"/>
        </w:rPr>
        <w:t xml:space="preserve">Court re-opens</w:t>
      </w:r>
      <w:r>
        <w:t xml:space="preserve">." (It applies only where the period </w:t>
      </w:r>
      <w:r>
        <w:rPr>
          <w:b/>
          <w:bCs/>
          <w:color w:val="2E7D32"/>
        </w:rPr>
        <w:t xml:space="preserve">expires</w:t>
      </w:r>
      <w:r>
        <w:t xml:space="preserve"> on a closed day — not where the court was closed during the period.)</w:t>
      </w:r>
    </w:p>
    <w:p>
      <w:pPr>
        <w:pStyle w:val="Heading1"/>
        <w:keepNext/>
        <w:pageBreakBefore/>
      </w:pPr>
      <w:bookmarkStart w:name="_h13" w:id="114"/>
      <w:r>
        <w:t xml:space="preserve">Chapter 3 · Section 5 — extension of time for sufficient cause</w:t>
      </w:r>
      <w:bookmarkEnd w:id="114"/>
    </w:p>
    <w:p>
      <w:pPr>
        <w:pStyle w:val="Heading2"/>
        <w:keepNext/>
      </w:pPr>
      <w:bookmarkStart w:name="_h14" w:id="115"/>
      <w:r>
        <w:t xml:space="preserve">3.1 The text (Pakistan)</w:t>
      </w:r>
      <w:bookmarkEnd w:id="115"/>
    </w:p>
    <w:p>
      <w:pPr>
        <w:pBdr>
          <w:left w:val="single" w:color="7A9CC6" w:sz="18" w:space="10"/>
        </w:pBdr>
        <w:shd w:fill="F3F6FA" w:color="auto" w:val="clear"/>
        <w:spacing w:after="100" w:line="276"/>
        <w:ind w:left="360" w:right="240"/>
      </w:pPr>
      <w:r>
        <w:rPr>
          <w:color w:val="1E3A5F"/>
        </w:rPr>
        <w:t xml:space="preserve">"5. Any </w:t>
      </w:r>
      <w:r>
        <w:rPr>
          <w:b/>
          <w:bCs/>
          <w:color w:val="1E3A5F"/>
        </w:rPr>
        <w:t xml:space="preserve">appeal</w:t>
      </w:r>
      <w:r>
        <w:rPr>
          <w:color w:val="1E3A5F"/>
        </w:rPr>
        <w:t xml:space="preserve"> or </w:t>
      </w:r>
      <w:r>
        <w:rPr>
          <w:b/>
          <w:bCs/>
          <w:color w:val="1E3A5F"/>
        </w:rPr>
        <w:t xml:space="preserve">application for a revision or a review of judgment</w:t>
      </w:r>
      <w:r>
        <w:rPr>
          <w:color w:val="1E3A5F"/>
        </w:rPr>
        <w:t xml:space="preserve"> or for </w:t>
      </w:r>
      <w:r>
        <w:rPr>
          <w:b/>
          <w:bCs/>
          <w:color w:val="1E3A5F"/>
        </w:rPr>
        <w:t xml:space="preserve">leave to appeal</w:t>
      </w:r>
      <w:r>
        <w:rPr>
          <w:color w:val="1E3A5F"/>
        </w:rPr>
        <w:t xml:space="preserve"> or any other application to which this section may be made applicable by or under any enactment for the time being in force may be admitted after the period of limitation prescribed therefor, when the appellant or applicant satisfies the Court that he had </w:t>
      </w:r>
      <w:r>
        <w:rPr>
          <w:b/>
          <w:bCs/>
          <w:color w:val="1E3A5F"/>
        </w:rPr>
        <w:t xml:space="preserve">sufficient cause</w:t>
      </w:r>
      <w:r>
        <w:rPr>
          <w:color w:val="1E3A5F"/>
        </w:rPr>
        <w:t xml:space="preserve"> for not preferring the appeal or making the application within such period. Explanation.— The fact that the appellant or applicant was </w:t>
      </w:r>
      <w:r>
        <w:rPr>
          <w:b/>
          <w:bCs/>
          <w:color w:val="1E3A5F"/>
        </w:rPr>
        <w:t xml:space="preserve">misled by any order, practice or judgment of the High Court</w:t>
      </w:r>
      <w:r>
        <w:rPr>
          <w:color w:val="1E3A5F"/>
        </w:rPr>
        <w:t xml:space="preserve"> in ascertaining or computing the prescribed period of limitation may be sufficient cause within the meaning of this section."</w:t>
      </w:r>
    </w:p>
    <w:p>
      <w:pPr>
        <w:pStyle w:val="Heading2"/>
        <w:keepNext/>
      </w:pPr>
      <w:bookmarkStart w:name="_h15" w:id="116"/>
      <w:r>
        <w:t xml:space="preserve">3.2 Scope</w:t>
      </w:r>
      <w:bookmarkEnd w:id="116"/>
    </w:p>
    <w:p>
      <w:pPr>
        <w:pStyle w:val="ListParagraph"/>
        <w:numPr>
          <w:ilvl w:val="0"/>
          <w:numId w:val="8"/>
        </w:numPr>
        <w:spacing w:after="60" w:line="276"/>
      </w:pPr>
      <w:r>
        <w:t xml:space="preserve">Applies to </w:t>
      </w:r>
      <w:r>
        <w:rPr>
          <w:b/>
          <w:bCs/>
          <w:color w:val="2E7D32"/>
        </w:rPr>
        <w:t xml:space="preserve">appeals</w:t>
      </w:r>
      <w:r>
        <w:t xml:space="preserve">, </w:t>
      </w:r>
      <w:r>
        <w:rPr>
          <w:b/>
          <w:bCs/>
          <w:color w:val="2E7D32"/>
        </w:rPr>
        <w:t xml:space="preserve">revisions</w:t>
      </w:r>
      <w:r>
        <w:t xml:space="preserve">, </w:t>
      </w:r>
      <w:r>
        <w:rPr>
          <w:b/>
          <w:bCs/>
          <w:color w:val="2E7D32"/>
        </w:rPr>
        <w:t xml:space="preserve">reviews</w:t>
      </w:r>
      <w:r>
        <w:t xml:space="preserve">, </w:t>
      </w:r>
      <w:r>
        <w:rPr>
          <w:b/>
          <w:bCs/>
          <w:color w:val="2E7D32"/>
        </w:rPr>
        <w:t xml:space="preserve">leave to appeal</w:t>
      </w:r>
      <w:r>
        <w:t xml:space="preserve">, and other applications </w:t>
      </w:r>
      <w:r>
        <w:rPr>
          <w:b/>
          <w:bCs/>
          <w:color w:val="2E7D32"/>
        </w:rPr>
        <w:t xml:space="preserve">made applicable</w:t>
      </w:r>
      <w:r>
        <w:t xml:space="preserve"> by an enactment (e.g., </w:t>
      </w:r>
      <w:r>
        <w:rPr>
          <w:b/>
          <w:bCs/>
          <w:color w:val="2E7D32"/>
        </w:rPr>
        <w:t xml:space="preserve">O. IX r. 13</w:t>
      </w:r>
      <w:r>
        <w:t xml:space="preserve">, by its second proviso, and </w:t>
      </w:r>
      <w:r>
        <w:rPr>
          <w:b/>
          <w:bCs/>
          <w:color w:val="2E7D32"/>
        </w:rPr>
        <w:t xml:space="preserve">O. XXII r. 9</w:t>
      </w:r>
      <w:r>
        <w:t xml:space="preserve"> in the CPC as amended in Pakistan; many special laws apply s. 5).</w:t>
      </w:r>
    </w:p>
    <w:p>
      <w:pPr>
        <w:pStyle w:val="ListParagraph"/>
        <w:numPr>
          <w:ilvl w:val="0"/>
          <w:numId w:val="8"/>
        </w:numPr>
        <w:spacing w:after="60" w:line="276"/>
      </w:pPr>
      <w:r>
        <w:t xml:space="preserve">Does </w:t>
      </w:r>
      <w:r>
        <w:rPr>
          <w:b/>
          <w:bCs/>
          <w:color w:val="2E7D32"/>
        </w:rPr>
        <w:t xml:space="preserve">not</w:t>
      </w:r>
      <w:r>
        <w:t xml:space="preserve"> apply to </w:t>
      </w:r>
      <w:r>
        <w:rPr>
          <w:b/>
          <w:bCs/>
          <w:color w:val="2E7D32"/>
        </w:rPr>
        <w:t xml:space="preserve">suits</w:t>
      </w:r>
      <w:r>
        <w:t xml:space="preserve">. A time-barred suit cannot be saved by "sufficient cause" — only by an exclusion in ss. 4–25.</w:t>
      </w:r>
    </w:p>
    <w:p>
      <w:pPr>
        <w:pStyle w:val="ListParagraph"/>
        <w:numPr>
          <w:ilvl w:val="0"/>
          <w:numId w:val="8"/>
        </w:numPr>
        <w:spacing w:after="60" w:line="276"/>
      </w:pPr>
      <w:r>
        <w:t xml:space="preserve">Does </w:t>
      </w:r>
      <w:r>
        <w:rPr>
          <w:b/>
          <w:bCs/>
          <w:color w:val="2E7D32"/>
        </w:rPr>
        <w:t xml:space="preserve">not</w:t>
      </w:r>
      <w:r>
        <w:t xml:space="preserve"> apply to applications for </w:t>
      </w:r>
      <w:r>
        <w:rPr>
          <w:b/>
          <w:bCs/>
          <w:color w:val="2E7D32"/>
        </w:rPr>
        <w:t xml:space="preserve">execution</w:t>
      </w:r>
      <w:r>
        <w:t xml:space="preserve">.</w:t>
      </w:r>
    </w:p>
    <w:p>
      <w:pPr>
        <w:pStyle w:val="Heading2"/>
        <w:keepNext/>
      </w:pPr>
      <w:bookmarkStart w:name="_h16" w:id="117"/>
      <w:r>
        <w:t xml:space="preserve">3.3 What is "sufficient cause"?</w:t>
      </w:r>
      <w:bookmarkEnd w:id="117"/>
    </w:p>
    <w:p>
      <w:pPr>
        <w:spacing w:after="120" w:line="288"/>
      </w:pPr>
      <w:r>
        <w:t xml:space="preserve">There is no fixed list; the court looks at whether the applicant acted </w:t>
      </w:r>
      <w:r>
        <w:rPr>
          <w:b/>
          <w:bCs/>
          <w:color w:val="2E7D32"/>
        </w:rPr>
        <w:t xml:space="preserve">diligently</w:t>
      </w:r>
      <w:r>
        <w:t xml:space="preserve"> and in </w:t>
      </w:r>
      <w:r>
        <w:rPr>
          <w:b/>
          <w:bCs/>
          <w:color w:val="2E7D32"/>
        </w:rPr>
        <w:t xml:space="preserve">good faith</w:t>
      </w:r>
      <w:r>
        <w:t xml:space="preserve"> and was </w:t>
      </w:r>
      <w:r>
        <w:rPr>
          <w:b/>
          <w:bCs/>
          <w:color w:val="2E7D32"/>
        </w:rPr>
        <w:t xml:space="preserve">prevented</w:t>
      </w:r>
      <w:r>
        <w:t xml:space="preserve"> by circumstances beyond his control. The principles:</w:t>
      </w:r>
    </w:p>
    <w:p>
      <w:pPr>
        <w:pStyle w:val="ListParagraph"/>
        <w:numPr>
          <w:ilvl w:val="0"/>
          <w:numId w:val="9"/>
        </w:numPr>
        <w:spacing w:after="60" w:line="276"/>
      </w:pPr>
      <w:r>
        <w:rPr>
          <w:b/>
          <w:bCs/>
          <w:color w:val="2E7D32"/>
        </w:rPr>
        <w:t xml:space="preserve">Each day's delay must be explained</w:t>
      </w:r>
      <w:r>
        <w:t xml:space="preserve"> — after the period expires, the applicant must account for the </w:t>
      </w:r>
      <w:r>
        <w:rPr>
          <w:b/>
          <w:bCs/>
          <w:color w:val="2E7D32"/>
        </w:rPr>
        <w:t xml:space="preserve">whole</w:t>
      </w:r>
      <w:r>
        <w:t xml:space="preserve"> period of delay, not only the first days.</w:t>
      </w:r>
    </w:p>
    <w:p>
      <w:pPr>
        <w:pStyle w:val="ListParagraph"/>
        <w:numPr>
          <w:ilvl w:val="0"/>
          <w:numId w:val="9"/>
        </w:numPr>
        <w:spacing w:after="60" w:line="276"/>
      </w:pPr>
      <w:r>
        <w:rPr>
          <w:b/>
          <w:bCs/>
          <w:color w:val="2E7D32"/>
        </w:rPr>
        <w:t xml:space="preserve">Bona fides and diligence</w:t>
      </w:r>
      <w:r>
        <w:t xml:space="preserve"> — a party who was negligent, indifferent or acted mala fide gets no extension.</w:t>
      </w:r>
    </w:p>
    <w:p>
      <w:pPr>
        <w:pStyle w:val="ListParagraph"/>
        <w:numPr>
          <w:ilvl w:val="0"/>
          <w:numId w:val="9"/>
        </w:numPr>
        <w:spacing w:after="60" w:line="276"/>
      </w:pPr>
      <w:r>
        <w:rPr>
          <w:b/>
          <w:bCs/>
          <w:color w:val="2E7D32"/>
        </w:rPr>
        <w:t xml:space="preserve">Discretion to be exercised judicially</w:t>
      </w:r>
      <w:r>
        <w:t xml:space="preserve"> — liberally where there is no negligence and the delay is short, strictly where it is long or unexplained; the right that has </w:t>
      </w:r>
      <w:r>
        <w:rPr>
          <w:b/>
          <w:bCs/>
          <w:color w:val="2E7D32"/>
        </w:rPr>
        <w:t xml:space="preserve">accrued</w:t>
      </w:r>
      <w:r>
        <w:t xml:space="preserve"> to the other side is a strong consideration.</w:t>
      </w:r>
    </w:p>
    <w:p>
      <w:pPr>
        <w:pStyle w:val="ListParagraph"/>
        <w:numPr>
          <w:ilvl w:val="0"/>
          <w:numId w:val="9"/>
        </w:numPr>
        <w:spacing w:after="60" w:line="276"/>
      </w:pPr>
      <w:r>
        <w:rPr>
          <w:b/>
          <w:bCs/>
          <w:color w:val="2E7D32"/>
        </w:rPr>
        <w:t xml:space="preserve">Government and public bodies</w:t>
      </w:r>
      <w:r>
        <w:t xml:space="preserve"> get </w:t>
      </w:r>
      <w:r>
        <w:rPr>
          <w:b/>
          <w:bCs/>
          <w:color w:val="2E7D32"/>
        </w:rPr>
        <w:t xml:space="preserve">no preferential treatment</w:t>
      </w:r>
      <w:r>
        <w:t xml:space="preserve">; departmental red-tape and file movement are </w:t>
      </w:r>
      <w:r>
        <w:rPr>
          <w:b/>
          <w:bCs/>
          <w:color w:val="2E7D32"/>
        </w:rPr>
        <w:t xml:space="preserve">not</w:t>
      </w:r>
      <w:r>
        <w:t xml:space="preserve"> in themselves sufficient cause.</w:t>
      </w:r>
    </w:p>
    <w:p>
      <w:pPr>
        <w:pStyle w:val="ListParagraph"/>
        <w:numPr>
          <w:ilvl w:val="0"/>
          <w:numId w:val="9"/>
        </w:numPr>
        <w:spacing w:after="60" w:line="276"/>
      </w:pPr>
      <w:r>
        <w:rPr>
          <w:b/>
          <w:bCs/>
          <w:color w:val="2E7D32"/>
        </w:rPr>
        <w:t xml:space="preserve">Common examples</w:t>
      </w:r>
      <w:r>
        <w:t xml:space="preserve"> of sufficient cause: serious </w:t>
      </w:r>
      <w:r>
        <w:rPr>
          <w:b/>
          <w:bCs/>
          <w:color w:val="2E7D32"/>
        </w:rPr>
        <w:t xml:space="preserve">illness</w:t>
      </w:r>
      <w:r>
        <w:t xml:space="preserve"> of the party (proved by credible medical evidence); </w:t>
      </w:r>
      <w:r>
        <w:rPr>
          <w:b/>
          <w:bCs/>
          <w:color w:val="2E7D32"/>
        </w:rPr>
        <w:t xml:space="preserve">death</w:t>
      </w:r>
      <w:r>
        <w:t xml:space="preserve"> in the family; </w:t>
      </w:r>
      <w:r>
        <w:rPr>
          <w:b/>
          <w:bCs/>
          <w:color w:val="2E7D32"/>
        </w:rPr>
        <w:t xml:space="preserve">mistake or negligence of counsel</w:t>
      </w:r>
      <w:r>
        <w:t xml:space="preserve"> in some cases (where the litigant was not at fault — courts are divided and look at the facts); being </w:t>
      </w:r>
      <w:r>
        <w:rPr>
          <w:b/>
          <w:bCs/>
          <w:color w:val="2E7D32"/>
        </w:rPr>
        <w:t xml:space="preserve">misled</w:t>
      </w:r>
      <w:r>
        <w:t xml:space="preserve"> by an order of the court or by the office (Explanation); </w:t>
      </w:r>
      <w:r>
        <w:rPr>
          <w:b/>
          <w:bCs/>
          <w:color w:val="2E7D32"/>
        </w:rPr>
        <w:t xml:space="preserve">wrong advice</w:t>
      </w:r>
      <w:r>
        <w:t xml:space="preserve"> of counsel on a doubtful point of law; </w:t>
      </w:r>
      <w:r>
        <w:rPr>
          <w:b/>
          <w:bCs/>
          <w:color w:val="2E7D32"/>
        </w:rPr>
        <w:t xml:space="preserve">non-service</w:t>
      </w:r>
      <w:r>
        <w:t xml:space="preserve"> or lack of knowledge of the order; a bona fide proceeding in a </w:t>
      </w:r>
      <w:r>
        <w:rPr>
          <w:b/>
          <w:bCs/>
          <w:color w:val="2E7D32"/>
        </w:rPr>
        <w:t xml:space="preserve">wrong forum</w:t>
      </w:r>
      <w:r>
        <w:t xml:space="preserve"> (by analogy with s. 14).</w:t>
      </w:r>
    </w:p>
    <w:p>
      <w:pPr>
        <w:pStyle w:val="ListParagraph"/>
        <w:numPr>
          <w:ilvl w:val="0"/>
          <w:numId w:val="9"/>
        </w:numPr>
        <w:spacing w:after="60" w:line="276"/>
      </w:pPr>
      <w:r>
        <w:rPr>
          <w:b/>
          <w:bCs/>
          <w:color w:val="2E7D32"/>
        </w:rPr>
        <w:t xml:space="preserve">Not sufficient</w:t>
      </w:r>
      <w:r>
        <w:t xml:space="preserve">: ignorance of law; mere poverty; carelessness; waiting for a copy without applying for it; pursuing negotiations; mis-calculation without justification.</w:t>
      </w:r>
    </w:p>
    <w:p>
      <w:pPr>
        <w:pStyle w:val="ListParagraph"/>
        <w:numPr>
          <w:ilvl w:val="0"/>
          <w:numId w:val="9"/>
        </w:numPr>
        <w:spacing w:after="60" w:line="276"/>
      </w:pPr>
      <w:r>
        <w:rPr>
          <w:b/>
          <w:bCs/>
          <w:color w:val="2E7D32"/>
        </w:rPr>
        <w:t xml:space="preserve">Limitation for an application to condone</w:t>
      </w:r>
      <w:r>
        <w:t xml:space="preserve"> — none as such, but the application must be made </w:t>
      </w:r>
      <w:r>
        <w:rPr>
          <w:b/>
          <w:bCs/>
          <w:color w:val="2E7D32"/>
        </w:rPr>
        <w:t xml:space="preserve">promptly</w:t>
      </w:r>
      <w:r>
        <w:t xml:space="preserve">, with an </w:t>
      </w:r>
      <w:r>
        <w:rPr>
          <w:b/>
          <w:bCs/>
          <w:color w:val="2E7D32"/>
        </w:rPr>
        <w:t xml:space="preserve">affidavit</w:t>
      </w:r>
      <w:r>
        <w:t xml:space="preserve">, and the condonation must be decided </w:t>
      </w:r>
      <w:r>
        <w:rPr>
          <w:b/>
          <w:bCs/>
          <w:color w:val="2E7D32"/>
        </w:rPr>
        <w:t xml:space="preserve">before</w:t>
      </w:r>
      <w:r>
        <w:t xml:space="preserve"> the merits.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475569" w:sz="24"/>
              <w:bottom w:val="none" w:color="FFFFFF" w:sz="0"/>
              <w:right w:val="none" w:color="FFFFFF" w:sz="0"/>
            </w:tcBorders>
            <w:shd w:fill="F3F5F8" w:color="auto" w:val="clear"/>
            <w:tcMar>
              <w:top w:type="dxa" w:w="110"/>
              <w:left w:type="dxa" w:w="200"/>
              <w:bottom w:type="dxa" w:w="60"/>
              <w:right w:type="dxa" w:w="180"/>
            </w:tcMar>
          </w:tcPr>
          <w:p>
            <w:pPr>
              <w:keepNext/>
              <w:spacing w:after="80"/>
            </w:pPr>
            <w:r>
              <w:rPr>
                <w:b/>
                <w:bCs/>
                <w:color w:val="475569"/>
                <w:spacing w:val="20"/>
                <w:sz w:val="18"/>
                <w:szCs w:val="18"/>
              </w:rPr>
              <w:t xml:space="preserve">ILLUSTRATION</w:t>
            </w:r>
            <w:r>
              <w:rPr>
                <w:color w:val="475569"/>
                <w:sz w:val="18"/>
                <w:szCs w:val="18"/>
              </w:rPr>
              <w:t xml:space="preserve">  ·  </w:t>
            </w:r>
            <w:r>
              <w:rPr>
                <w:b/>
                <w:bCs/>
                <w:color w:val="475569"/>
                <w:sz w:val="18"/>
                <w:szCs w:val="18"/>
              </w:rPr>
              <w:t xml:space="preserve">Setting aside an ex parte decree (LHC ASJ 2025)</w:t>
            </w:r>
          </w:p>
          <w:p>
            <w:pPr>
              <w:spacing w:after="90" w:line="276"/>
            </w:pPr>
            <w:r>
              <w:t xml:space="preserve">Article 164: an application by a defendant to set aside a decree passed </w:t>
            </w:r>
            <w:r>
              <w:rPr>
                <w:b/>
                <w:bCs/>
                <w:color w:val="2E7D32"/>
              </w:rPr>
              <w:t xml:space="preserve">ex parte</w:t>
            </w:r>
            <w:r>
              <w:t xml:space="preserve"> — </w:t>
            </w:r>
            <w:r>
              <w:rPr>
                <w:b/>
                <w:bCs/>
                <w:color w:val="2E7D32"/>
              </w:rPr>
              <w:t xml:space="preserve">thirty days</w:t>
            </w:r>
            <w:r>
              <w:t xml:space="preserve"> from the date of the decree, or, where the summons was </w:t>
            </w:r>
            <w:r>
              <w:rPr>
                <w:b/>
                <w:bCs/>
                <w:color w:val="2E7D32"/>
              </w:rPr>
              <w:t xml:space="preserve">not duly served</w:t>
            </w:r>
            <w:r>
              <w:t xml:space="preserve">, from when the applicant </w:t>
            </w:r>
            <w:r>
              <w:rPr>
                <w:b/>
                <w:bCs/>
                <w:color w:val="2E7D32"/>
              </w:rPr>
              <w:t xml:space="preserve">has knowledge</w:t>
            </w:r>
            <w:r>
              <w:t xml:space="preserve"> of the decree. The second proviso to </w:t>
            </w:r>
            <w:r>
              <w:rPr>
                <w:b/>
                <w:bCs/>
                <w:color w:val="2E7D32"/>
              </w:rPr>
              <w:t xml:space="preserve">O. IX r. 13 CPC</w:t>
            </w:r>
            <w:r>
              <w:t xml:space="preserve"> (as amended in Pakistan) makes </w:t>
            </w:r>
            <w:r>
              <w:rPr>
                <w:b/>
                <w:bCs/>
                <w:color w:val="2E7D32"/>
              </w:rPr>
              <w:t xml:space="preserve">s. 5</w:t>
            </w:r>
            <w:r>
              <w:t xml:space="preserve"> applicable, so a defendant who misses the 30 days may seek condonation on </w:t>
            </w:r>
            <w:r>
              <w:rPr>
                <w:b/>
                <w:bCs/>
                <w:color w:val="2E7D32"/>
              </w:rPr>
              <w:t xml:space="preserve">sufficient cause</w:t>
            </w:r>
            <w:r>
              <w:t xml:space="preserve">. "Three years" (Art. 181) is not the period, because Art. 164 specifically provides for such applications.</w:t>
            </w:r>
          </w:p>
        </w:tc>
      </w:tr>
    </w:tbl>
    <w:p>
      <w:pPr>
        <w:spacing w:after="80"/>
      </w:pPr>
    </w:p>
    <w:p>
      <w:pPr>
        <w:pStyle w:val="Heading1"/>
        <w:keepNext/>
        <w:pageBreakBefore/>
      </w:pPr>
      <w:bookmarkStart w:name="_h17" w:id="118"/>
      <w:r>
        <w:t xml:space="preserve">Chapter 4 · Legal disability and continuous running of time (ss. 6 to 9)</w:t>
      </w:r>
      <w:bookmarkEnd w:id="118"/>
    </w:p>
    <w:p>
      <w:pPr>
        <w:pStyle w:val="Heading2"/>
        <w:keepNext/>
      </w:pPr>
      <w:bookmarkStart w:name="_h18" w:id="119"/>
      <w:r>
        <w:t xml:space="preserve">4.1 Legal disability — s. 6</w:t>
      </w:r>
      <w:bookmarkEnd w:id="119"/>
    </w:p>
    <w:p>
      <w:pPr>
        <w:spacing w:after="120" w:line="288"/>
      </w:pPr>
      <w:r>
        <w:t xml:space="preserve">Where the person entitled to sue (or to apply for execution) is, </w:t>
      </w:r>
      <w:r>
        <w:rPr>
          <w:b/>
          <w:bCs/>
          <w:color w:val="2E7D32"/>
        </w:rPr>
        <w:t xml:space="preserve">at the time from which limitation is to be reckoned</w:t>
      </w:r>
      <w:r>
        <w:t xml:space="preserve">, a </w:t>
      </w:r>
      <w:r>
        <w:rPr>
          <w:b/>
          <w:bCs/>
          <w:color w:val="2E7D32"/>
        </w:rPr>
        <w:t xml:space="preserve">minor</w:t>
      </w:r>
      <w:r>
        <w:t xml:space="preserve">, </w:t>
      </w:r>
      <w:r>
        <w:rPr>
          <w:b/>
          <w:bCs/>
          <w:color w:val="2E7D32"/>
        </w:rPr>
        <w:t xml:space="preserve">insane</w:t>
      </w:r>
      <w:r>
        <w:t xml:space="preserve"> or an </w:t>
      </w:r>
      <w:r>
        <w:rPr>
          <w:b/>
          <w:bCs/>
          <w:color w:val="2E7D32"/>
        </w:rPr>
        <w:t xml:space="preserve">idiot</w:t>
      </w:r>
      <w:r>
        <w:t xml:space="preserve">, he may sue </w:t>
      </w:r>
      <w:r>
        <w:rPr>
          <w:b/>
          <w:bCs/>
          <w:color w:val="2E7D32"/>
        </w:rPr>
        <w:t xml:space="preserve">within the same period after the disability has ceased</w:t>
      </w:r>
      <w:r>
        <w:t xml:space="preserve"> (s. 6(1)).</w:t>
      </w:r>
    </w:p>
    <w:p>
      <w:pPr>
        <w:pStyle w:val="ListParagraph"/>
        <w:numPr>
          <w:ilvl w:val="0"/>
          <w:numId w:val="10"/>
        </w:numPr>
        <w:spacing w:after="60" w:line="276"/>
      </w:pPr>
      <w:r>
        <w:rPr>
          <w:b/>
          <w:bCs/>
          <w:color w:val="2E7D32"/>
        </w:rPr>
        <w:t xml:space="preserve">Two disabilities at once</w:t>
      </w:r>
      <w:r>
        <w:t xml:space="preserve">, or a </w:t>
      </w:r>
      <w:r>
        <w:rPr>
          <w:b/>
          <w:bCs/>
          <w:color w:val="2E7D32"/>
        </w:rPr>
        <w:t xml:space="preserve">second disability before the first ceases</w:t>
      </w:r>
      <w:r>
        <w:t xml:space="preserve"> — time runs from when </w:t>
      </w:r>
      <w:r>
        <w:rPr>
          <w:b/>
          <w:bCs/>
          <w:color w:val="2E7D32"/>
        </w:rPr>
        <w:t xml:space="preserve">both</w:t>
      </w:r>
      <w:r>
        <w:t xml:space="preserve"> cease (s. 6(2)); </w:t>
      </w:r>
      <w:r>
        <w:rPr>
          <w:i/>
          <w:iCs/>
        </w:rPr>
        <w:t xml:space="preserve">illus. (b) to s. 6</w:t>
      </w:r>
      <w:r>
        <w:t xml:space="preserve">: Z, a minor, becomes insane before majority — time runs from when both cease.</w:t>
      </w:r>
    </w:p>
    <w:p>
      <w:pPr>
        <w:pStyle w:val="ListParagraph"/>
        <w:numPr>
          <w:ilvl w:val="0"/>
          <w:numId w:val="10"/>
        </w:numPr>
        <w:spacing w:after="60" w:line="276"/>
      </w:pPr>
      <w:r>
        <w:rPr>
          <w:b/>
          <w:bCs/>
          <w:color w:val="2E7D32"/>
        </w:rPr>
        <w:t xml:space="preserve">Death during disability</w:t>
      </w:r>
      <w:r>
        <w:t xml:space="preserve"> — his </w:t>
      </w:r>
      <w:r>
        <w:rPr>
          <w:b/>
          <w:bCs/>
          <w:color w:val="2E7D32"/>
        </w:rPr>
        <w:t xml:space="preserve">legal representative</w:t>
      </w:r>
      <w:r>
        <w:t xml:space="preserve"> may sue within the same period after the death (s. 6(3)).</w:t>
      </w:r>
    </w:p>
    <w:p>
      <w:pPr>
        <w:pStyle w:val="ListParagraph"/>
        <w:numPr>
          <w:ilvl w:val="0"/>
          <w:numId w:val="10"/>
        </w:numPr>
        <w:spacing w:after="60" w:line="276"/>
      </w:pPr>
      <w:r>
        <w:t xml:space="preserve">The disability must exist </w:t>
      </w:r>
      <w:r>
        <w:rPr>
          <w:b/>
          <w:bCs/>
          <w:color w:val="2E7D32"/>
        </w:rPr>
        <w:t xml:space="preserve">when the right accrues</w:t>
      </w:r>
      <w:r>
        <w:t xml:space="preserve">; a disability arising </w:t>
      </w:r>
      <w:r>
        <w:rPr>
          <w:b/>
          <w:bCs/>
          <w:color w:val="2E7D32"/>
        </w:rPr>
        <w:t xml:space="preserve">later</w:t>
      </w:r>
      <w:r>
        <w:t xml:space="preserve"> does not help (s. 9).</w:t>
      </w:r>
    </w:p>
    <w:p>
      <w:pPr>
        <w:pStyle w:val="Heading2"/>
        <w:keepNext/>
      </w:pPr>
      <w:bookmarkStart w:name="_h19" w:id="120"/>
      <w:r>
        <w:t xml:space="preserve">4.2 Disability of one of several — s. 7</w:t>
      </w:r>
      <w:bookmarkEnd w:id="120"/>
    </w:p>
    <w:p>
      <w:pPr>
        <w:spacing w:after="120" w:line="288"/>
      </w:pPr>
      <w:r>
        <w:t xml:space="preserve">Where one of several persons </w:t>
      </w:r>
      <w:r>
        <w:rPr>
          <w:b/>
          <w:bCs/>
          <w:color w:val="2E7D32"/>
        </w:rPr>
        <w:t xml:space="preserve">jointly entitled</w:t>
      </w:r>
      <w:r>
        <w:t xml:space="preserve"> is under disability: if a </w:t>
      </w:r>
      <w:r>
        <w:rPr>
          <w:b/>
          <w:bCs/>
          <w:color w:val="2E7D32"/>
        </w:rPr>
        <w:t xml:space="preserve">discharge</w:t>
      </w:r>
      <w:r>
        <w:t xml:space="preserve"> can be given </w:t>
      </w:r>
      <w:r>
        <w:rPr>
          <w:b/>
          <w:bCs/>
          <w:color w:val="2E7D32"/>
        </w:rPr>
        <w:t xml:space="preserve">without</w:t>
      </w:r>
      <w:r>
        <w:t xml:space="preserve"> his concurrence, time runs against </w:t>
      </w:r>
      <w:r>
        <w:rPr>
          <w:b/>
          <w:bCs/>
          <w:color w:val="2E7D32"/>
        </w:rPr>
        <w:t xml:space="preserve">all</w:t>
      </w:r>
      <w:r>
        <w:t xml:space="preserve">; if not, time does not run against any until one becomes capable of giving a discharge, or the disability ceases. </w:t>
      </w:r>
      <w:r>
        <w:rPr>
          <w:i/>
          <w:iCs/>
        </w:rPr>
        <w:t xml:space="preserve">Illus. (a):</w:t>
      </w:r>
      <w:r>
        <w:t xml:space="preserve"> partners B (insane) and C (minor) — D can give a discharge — time runs against all; </w:t>
      </w:r>
      <w:r>
        <w:rPr>
          <w:i/>
          <w:iCs/>
        </w:rPr>
        <w:t xml:space="preserve">(b):</w:t>
      </w:r>
      <w:r>
        <w:t xml:space="preserve"> E and F insane, G a minor — no one can discharge — time does not run.</w:t>
      </w:r>
    </w:p>
    <w:p>
      <w:pPr>
        <w:pStyle w:val="Heading2"/>
        <w:keepNext/>
      </w:pPr>
      <w:bookmarkStart w:name="_h20" w:id="121"/>
      <w:r>
        <w:t xml:space="preserve">4.3 Special exceptions — s. 8</w:t>
      </w:r>
      <w:bookmarkEnd w:id="121"/>
    </w:p>
    <w:p>
      <w:pPr>
        <w:spacing w:after="120" w:line="288"/>
      </w:pPr>
      <w:r>
        <w:t xml:space="preserve">Sections 6 and 7 </w:t>
      </w:r>
      <w:r>
        <w:rPr>
          <w:b/>
          <w:bCs/>
          <w:color w:val="2E7D32"/>
        </w:rPr>
        <w:t xml:space="preserve">do not apply</w:t>
      </w:r>
      <w:r>
        <w:t xml:space="preserve"> to suits to enforce </w:t>
      </w:r>
      <w:r>
        <w:rPr>
          <w:b/>
          <w:bCs/>
          <w:color w:val="2E7D32"/>
        </w:rPr>
        <w:t xml:space="preserve">rights of pre-emption</w:t>
      </w:r>
      <w:r>
        <w:t xml:space="preserve">, and </w:t>
      </w:r>
      <w:r>
        <w:rPr>
          <w:b/>
          <w:bCs/>
          <w:color w:val="2E7D32"/>
        </w:rPr>
        <w:t xml:space="preserve">do not extend</w:t>
      </w:r>
      <w:r>
        <w:t xml:space="preserve"> the period for more than </w:t>
      </w:r>
      <w:r>
        <w:rPr>
          <w:b/>
          <w:bCs/>
          <w:color w:val="2E7D32"/>
        </w:rPr>
        <w:t xml:space="preserve">three years</w:t>
      </w:r>
      <w:r>
        <w:t xml:space="preserve"> from the cessation of the disability or the death of the person affected. </w:t>
      </w:r>
      <w:r>
        <w:rPr>
          <w:i/>
          <w:iCs/>
        </w:rPr>
        <w:t xml:space="preserve">Illus. (a):</w:t>
      </w:r>
      <w:r>
        <w:t xml:space="preserve"> a right to a legacy (12 years) accrued during minority; majority attained 11 years later — normally 1 year left; s. 8 gives up to </w:t>
      </w:r>
      <w:r>
        <w:rPr>
          <w:b/>
          <w:bCs/>
          <w:color w:val="2E7D32"/>
        </w:rPr>
        <w:t xml:space="preserve">three years</w:t>
      </w:r>
      <w:r>
        <w:t xml:space="preserve"> from majority.</w:t>
      </w:r>
    </w:p>
    <w:p>
      <w:pPr>
        <w:pStyle w:val="Heading2"/>
        <w:keepNext/>
      </w:pPr>
      <w:bookmarkStart w:name="_h21" w:id="122"/>
      <w:r>
        <w:t xml:space="preserve">4.4 Continuous running — s. 9</w:t>
      </w:r>
      <w:bookmarkEnd w:id="122"/>
    </w:p>
    <w:p>
      <w:pPr>
        <w:pBdr>
          <w:left w:val="single" w:color="7A9CC6" w:sz="18" w:space="10"/>
        </w:pBdr>
        <w:shd w:fill="F3F6FA" w:color="auto" w:val="clear"/>
        <w:spacing w:after="100" w:line="276"/>
        <w:ind w:left="360" w:right="240"/>
      </w:pPr>
      <w:r>
        <w:rPr>
          <w:color w:val="1E3A5F"/>
        </w:rPr>
        <w:t xml:space="preserve">"9. Where </w:t>
      </w:r>
      <w:r>
        <w:rPr>
          <w:b/>
          <w:bCs/>
          <w:color w:val="1E3A5F"/>
        </w:rPr>
        <w:t xml:space="preserve">once time has begun to run, no subsequent disability or inability to sue stops it</w:t>
      </w:r>
      <w:r>
        <w:rPr>
          <w:color w:val="1E3A5F"/>
        </w:rPr>
        <w:t xml:space="preserve">: Provided that where letters of administration to the estate of a creditor have been granted to his debtor, the running of the time prescribed for a suit to recover the debt shall be suspended while the administration continues."</w:t>
      </w:r>
    </w:p>
    <w:p>
      <w:pPr>
        <w:spacing w:after="120" w:line="288"/>
      </w:pPr>
      <w:r>
        <w:rPr>
          <w:b/>
          <w:bCs/>
          <w:color w:val="2E7D32"/>
        </w:rPr>
        <w:t xml:space="preserve">Meaning.</w:t>
      </w:r>
      <w:r>
        <w:t xml:space="preserve"> Limitation begins when the right to sue accrues. If at that moment there was no disability, any </w:t>
      </w:r>
      <w:r>
        <w:rPr>
          <w:b/>
          <w:bCs/>
          <w:color w:val="2E7D32"/>
        </w:rPr>
        <w:t xml:space="preserve">later</w:t>
      </w:r>
      <w:r>
        <w:t xml:space="preserve"> disability (minority of an heir, insanity, illness, absence, imprisonment, or even the death of the person entitled) does </w:t>
      </w:r>
      <w:r>
        <w:rPr>
          <w:b/>
          <w:bCs/>
          <w:color w:val="2E7D32"/>
        </w:rPr>
        <w:t xml:space="preserve">not</w:t>
      </w:r>
      <w:r>
        <w:t xml:space="preserve"> suspend or stop the running of time. The period continues to run against the person entitled and those claiming through him.</w:t>
      </w:r>
    </w:p>
    <w:p>
      <w:pPr>
        <w:spacing w:after="120" w:line="288"/>
      </w:pPr>
      <w:r>
        <w:rPr>
          <w:b/>
          <w:bCs/>
          <w:color w:val="2E7D32"/>
        </w:rPr>
        <w:t xml:space="preserve">Rationale.</w:t>
      </w:r>
      <w:r>
        <w:t xml:space="preserve"> Certainty: once the clock starts, it should not stop and start with changes in the circumstances of the parties. The </w:t>
      </w:r>
      <w:r>
        <w:rPr>
          <w:b/>
          <w:bCs/>
          <w:color w:val="2E7D32"/>
        </w:rPr>
        <w:t xml:space="preserve">plaintiff</w:t>
      </w:r>
      <w:r>
        <w:t xml:space="preserve"> includes his </w:t>
      </w:r>
      <w:r>
        <w:rPr>
          <w:b/>
          <w:bCs/>
          <w:color w:val="2E7D32"/>
        </w:rPr>
        <w:t xml:space="preserve">successors</w:t>
      </w:r>
      <w:r>
        <w:t xml:space="preserve"> (s. 2(8)) — so time running against a father continues to run against his minor son who succeeds him.</w:t>
      </w:r>
    </w:p>
    <w:p>
      <w:pPr>
        <w:spacing w:after="120" w:line="288"/>
      </w:pPr>
      <w:r>
        <w:rPr>
          <w:b/>
          <w:bCs/>
          <w:color w:val="2E7D32"/>
        </w:rPr>
        <w:t xml:space="preserve">Exceptions and qualifications (where time stops or is excluded after it has begun):</w:t>
      </w:r>
    </w:p>
    <w:p>
      <w:pPr>
        <w:pStyle w:val="ListParagraph"/>
        <w:numPr>
          <w:ilvl w:val="0"/>
          <w:numId w:val="11"/>
        </w:numPr>
        <w:spacing w:after="60" w:line="276"/>
      </w:pPr>
      <w:r>
        <w:rPr>
          <w:b/>
          <w:bCs/>
          <w:color w:val="2E7D32"/>
        </w:rPr>
        <w:t xml:space="preserve">Proviso</w:t>
      </w:r>
      <w:r>
        <w:t xml:space="preserve"> — where the </w:t>
      </w:r>
      <w:r>
        <w:rPr>
          <w:b/>
          <w:bCs/>
          <w:color w:val="2E7D32"/>
        </w:rPr>
        <w:t xml:space="preserve">debtor</w:t>
      </w:r>
      <w:r>
        <w:t xml:space="preserve"> has been granted </w:t>
      </w:r>
      <w:r>
        <w:rPr>
          <w:b/>
          <w:bCs/>
          <w:color w:val="2E7D32"/>
        </w:rPr>
        <w:t xml:space="preserve">letters of administration</w:t>
      </w:r>
      <w:r>
        <w:t xml:space="preserve"> of the creditor's estate, time is suspended during the administration (he cannot sue himself).</w:t>
      </w:r>
    </w:p>
    <w:p>
      <w:pPr>
        <w:pStyle w:val="ListParagraph"/>
        <w:numPr>
          <w:ilvl w:val="0"/>
          <w:numId w:val="11"/>
        </w:numPr>
        <w:spacing w:after="60" w:line="276"/>
      </w:pPr>
      <w:r>
        <w:rPr>
          <w:b/>
          <w:bCs/>
          <w:color w:val="2E7D32"/>
        </w:rPr>
        <w:t xml:space="preserve">s. 13</w:t>
      </w:r>
      <w:r>
        <w:t xml:space="preserve"> — time during which the </w:t>
      </w:r>
      <w:r>
        <w:rPr>
          <w:b/>
          <w:bCs/>
          <w:color w:val="2E7D32"/>
        </w:rPr>
        <w:t xml:space="preserve">defendant is absent from Pakistan</w:t>
      </w:r>
      <w:r>
        <w:t xml:space="preserve"> is excluded.</w:t>
      </w:r>
    </w:p>
    <w:p>
      <w:pPr>
        <w:pStyle w:val="ListParagraph"/>
        <w:numPr>
          <w:ilvl w:val="0"/>
          <w:numId w:val="11"/>
        </w:numPr>
        <w:spacing w:after="60" w:line="276"/>
      </w:pPr>
      <w:r>
        <w:rPr>
          <w:b/>
          <w:bCs/>
          <w:color w:val="2E7D32"/>
        </w:rPr>
        <w:t xml:space="preserve">s. 14</w:t>
      </w:r>
      <w:r>
        <w:t xml:space="preserve"> — time spent in bona fide proceedings in a </w:t>
      </w:r>
      <w:r>
        <w:rPr>
          <w:b/>
          <w:bCs/>
          <w:color w:val="2E7D32"/>
        </w:rPr>
        <w:t xml:space="preserve">court without jurisdiction</w:t>
      </w:r>
      <w:r>
        <w:t xml:space="preserve">.</w:t>
      </w:r>
    </w:p>
    <w:p>
      <w:pPr>
        <w:pStyle w:val="ListParagraph"/>
        <w:numPr>
          <w:ilvl w:val="0"/>
          <w:numId w:val="11"/>
        </w:numPr>
        <w:spacing w:after="60" w:line="276"/>
      </w:pPr>
      <w:r>
        <w:rPr>
          <w:b/>
          <w:bCs/>
          <w:color w:val="2E7D32"/>
        </w:rPr>
        <w:t xml:space="preserve">s. 15</w:t>
      </w:r>
      <w:r>
        <w:t xml:space="preserve"> — time during which institution or execution is </w:t>
      </w:r>
      <w:r>
        <w:rPr>
          <w:b/>
          <w:bCs/>
          <w:color w:val="2E7D32"/>
        </w:rPr>
        <w:t xml:space="preserve">stayed by injunction or order</w:t>
      </w:r>
      <w:r>
        <w:t xml:space="preserve">; period of a statutory </w:t>
      </w:r>
      <w:r>
        <w:rPr>
          <w:b/>
          <w:bCs/>
          <w:color w:val="2E7D32"/>
        </w:rPr>
        <w:t xml:space="preserve">notice</w:t>
      </w:r>
      <w:r>
        <w:t xml:space="preserve"> (s. 15(2)).</w:t>
      </w:r>
    </w:p>
    <w:p>
      <w:pPr>
        <w:pStyle w:val="ListParagraph"/>
        <w:numPr>
          <w:ilvl w:val="0"/>
          <w:numId w:val="11"/>
        </w:numPr>
        <w:spacing w:after="60" w:line="276"/>
      </w:pPr>
      <w:r>
        <w:rPr>
          <w:b/>
          <w:bCs/>
          <w:color w:val="2E7D32"/>
        </w:rPr>
        <w:t xml:space="preserve">s. 16</w:t>
      </w:r>
      <w:r>
        <w:t xml:space="preserve"> — time of proceedings to set aside an </w:t>
      </w:r>
      <w:r>
        <w:rPr>
          <w:b/>
          <w:bCs/>
          <w:color w:val="2E7D32"/>
        </w:rPr>
        <w:t xml:space="preserve">execution sale</w:t>
      </w:r>
      <w:r>
        <w:t xml:space="preserve">, for the purchaser's suit for possession.</w:t>
      </w:r>
    </w:p>
    <w:p>
      <w:pPr>
        <w:pStyle w:val="ListParagraph"/>
        <w:numPr>
          <w:ilvl w:val="0"/>
          <w:numId w:val="11"/>
        </w:numPr>
        <w:spacing w:after="60" w:line="276"/>
      </w:pPr>
      <w:r>
        <w:rPr>
          <w:b/>
          <w:bCs/>
          <w:color w:val="2E7D32"/>
        </w:rPr>
        <w:t xml:space="preserve">ss. 19, 20</w:t>
      </w:r>
      <w:r>
        <w:t xml:space="preserve"> — an </w:t>
      </w:r>
      <w:r>
        <w:rPr>
          <w:b/>
          <w:bCs/>
          <w:color w:val="2E7D32"/>
        </w:rPr>
        <w:t xml:space="preserve">acknowledgment</w:t>
      </w:r>
      <w:r>
        <w:t xml:space="preserve"> or </w:t>
      </w:r>
      <w:r>
        <w:rPr>
          <w:b/>
          <w:bCs/>
          <w:color w:val="2E7D32"/>
        </w:rPr>
        <w:t xml:space="preserve">part-payment</w:t>
      </w:r>
      <w:r>
        <w:t xml:space="preserve"> before expiry gives a </w:t>
      </w:r>
      <w:r>
        <w:rPr>
          <w:b/>
          <w:bCs/>
          <w:color w:val="2E7D32"/>
        </w:rPr>
        <w:t xml:space="preserve">fresh</w:t>
      </w:r>
      <w:r>
        <w:t xml:space="preserve"> period.</w:t>
      </w:r>
    </w:p>
    <w:p>
      <w:pPr>
        <w:pStyle w:val="ListParagraph"/>
        <w:numPr>
          <w:ilvl w:val="0"/>
          <w:numId w:val="11"/>
        </w:numPr>
        <w:spacing w:after="60" w:line="276"/>
      </w:pPr>
      <w:r>
        <w:rPr>
          <w:b/>
          <w:bCs/>
          <w:color w:val="2E7D32"/>
        </w:rPr>
        <w:t xml:space="preserve">s. 18</w:t>
      </w:r>
      <w:r>
        <w:t xml:space="preserve"> — fraud: time is computed from knowledge (this affects the </w:t>
      </w:r>
      <w:r>
        <w:rPr>
          <w:b/>
          <w:bCs/>
          <w:color w:val="2E7D32"/>
        </w:rPr>
        <w:t xml:space="preserve">start</w:t>
      </w:r>
      <w:r>
        <w:t xml:space="preserve">, not a stoppage).</w:t>
      </w:r>
    </w:p>
    <w:p>
      <w:pPr>
        <w:spacing w:after="120" w:line="288"/>
      </w:pPr>
      <w:r>
        <w:t xml:space="preserve">These are </w:t>
      </w:r>
      <w:r>
        <w:rPr>
          <w:b/>
          <w:bCs/>
          <w:color w:val="2E7D32"/>
        </w:rPr>
        <w:t xml:space="preserve">statutory</w:t>
      </w:r>
      <w:r>
        <w:t xml:space="preserve"> exceptions; outside them, s. 9 is absolute. (Distinguish s. 17: where a person dies </w:t>
      </w:r>
      <w:r>
        <w:rPr>
          <w:b/>
          <w:bCs/>
          <w:color w:val="2E7D32"/>
        </w:rPr>
        <w:t xml:space="preserve">before</w:t>
      </w:r>
      <w:r>
        <w:t xml:space="preserve"> the right accrues, time runs only when there is a legal representative — that concerns the </w:t>
      </w:r>
      <w:r>
        <w:rPr>
          <w:b/>
          <w:bCs/>
          <w:color w:val="2E7D32"/>
        </w:rPr>
        <w:t xml:space="preserve">start</w:t>
      </w:r>
      <w:r>
        <w:t xml:space="preserve"> of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Applying s. 9 — the illustrations</w:t>
            </w:r>
          </w:p>
          <w:p>
            <w:pPr>
              <w:pStyle w:val="ListParagraph"/>
              <w:numPr>
                <w:ilvl w:val="0"/>
                <w:numId w:val="6"/>
              </w:numPr>
              <w:spacing w:after="60" w:line="276"/>
            </w:pPr>
            <w:r>
              <w:t xml:space="preserve">A right to sue for money accrues to A on 1 January 2020; A becomes insane on 1 March 2020 — time </w:t>
            </w:r>
            <w:r>
              <w:rPr>
                <w:b/>
                <w:bCs/>
                <w:color w:val="2E7D32"/>
              </w:rPr>
              <w:t xml:space="preserve">continues</w:t>
            </w:r>
            <w:r>
              <w:t xml:space="preserve"> to run; the suit must be filed by 1 January 2023 (Art. 57 or similar three-year article).</w:t>
            </w:r>
          </w:p>
          <w:p>
            <w:pPr>
              <w:pStyle w:val="ListParagraph"/>
              <w:numPr>
                <w:ilvl w:val="0"/>
                <w:numId w:val="6"/>
              </w:numPr>
              <w:spacing w:after="60" w:line="276"/>
            </w:pPr>
            <w:r>
              <w:t xml:space="preserve">A dies on 1 June 2021 leaving a minor son — time still runs; the son's guardian must sue within the remaining period. The son cannot claim s. 6 (the disability did not exist when time began).</w:t>
            </w:r>
          </w:p>
        </w:tc>
      </w:tr>
    </w:tbl>
    <w:p>
      <w:pPr>
        <w:spacing w:after="80"/>
      </w:pPr>
    </w:p>
    <w:p>
      <w:pPr>
        <w:pStyle w:val="Heading1"/>
        <w:keepNext/>
        <w:pageBreakBefore/>
      </w:pPr>
      <w:bookmarkStart w:name="_h22" w:id="123"/>
      <w:r>
        <w:t xml:space="preserve">Chapter 5 · Computation of the period — exclusions (ss. 12 to 18, 22 to 25)</w:t>
      </w:r>
      <w:bookmarkEnd w:id="123"/>
    </w:p>
    <w:p>
      <w:pPr>
        <w:keepNext/>
        <w:spacing w:after="60" w:before="120"/>
        <w:jc w:val="center"/>
      </w:pPr>
      <w:r>
        <w:drawing>
          <wp:inline distT="0" distB="0" distL="0" distR="0">
            <wp:extent cx="571500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419475"/>
                    </a:xfrm>
                    <a:prstGeom prst="rect">
                      <a:avLst/>
                    </a:prstGeom>
                  </pic:spPr>
                </pic:pic>
              </a:graphicData>
            </a:graphic>
          </wp:inline>
        </w:drawing>
      </w:r>
    </w:p>
    <w:p>
      <w:pPr>
        <w:spacing w:after="200"/>
        <w:jc w:val="center"/>
      </w:pPr>
      <w:r>
        <w:rPr>
          <w:i/>
          <w:iCs/>
          <w:color w:val="64748B"/>
          <w:sz w:val="19"/>
          <w:szCs w:val="19"/>
        </w:rPr>
        <w:t xml:space="preserve">Figure 1 · Rules for computing the period of limitation</w:t>
      </w:r>
    </w:p>
    <w:p>
      <w:pPr>
        <w:pStyle w:val="Heading2"/>
        <w:keepNext/>
      </w:pPr>
      <w:bookmarkStart w:name="_h23" w:id="124"/>
      <w:r>
        <w:t xml:space="preserve">5.1 The rules in one list (KPHC 2026; SHC 2022)</w:t>
      </w:r>
      <w:bookmarkEnd w:id="124"/>
    </w:p>
    <w:p>
      <w:pPr>
        <w:pStyle w:val="ListParagraph"/>
        <w:numPr>
          <w:ilvl w:val="0"/>
          <w:numId w:val="12"/>
        </w:numPr>
        <w:spacing w:after="60" w:line="276"/>
      </w:pPr>
      <w:r>
        <w:rPr>
          <w:b/>
          <w:bCs/>
          <w:color w:val="2E7D32"/>
        </w:rPr>
        <w:t xml:space="preserve">Gregorian calendar</w:t>
      </w:r>
      <w:r>
        <w:t xml:space="preserve"> — all instruments are deemed made with reference to the Gregorian calendar (s. 25); "month" means a British calendar month (General Clauses Act 1897, s. 3).</w:t>
      </w:r>
    </w:p>
    <w:p>
      <w:pPr>
        <w:pStyle w:val="ListParagraph"/>
        <w:numPr>
          <w:ilvl w:val="0"/>
          <w:numId w:val="12"/>
        </w:numPr>
        <w:spacing w:after="60" w:line="276"/>
      </w:pPr>
      <w:r>
        <w:rPr>
          <w:b/>
          <w:bCs/>
          <w:color w:val="2E7D32"/>
        </w:rPr>
        <w:t xml:space="preserve">Exclude the first day</w:t>
      </w:r>
      <w:r>
        <w:t xml:space="preserve"> — "the day from which such period is to be reckoned shall be excluded" (s. 12(1)).</w:t>
      </w:r>
    </w:p>
    <w:p>
      <w:pPr>
        <w:pStyle w:val="ListParagraph"/>
        <w:numPr>
          <w:ilvl w:val="0"/>
          <w:numId w:val="12"/>
        </w:numPr>
        <w:spacing w:after="60" w:line="276"/>
      </w:pPr>
      <w:r>
        <w:rPr>
          <w:b/>
          <w:bCs/>
          <w:color w:val="2E7D32"/>
        </w:rPr>
        <w:t xml:space="preserve">Court closed on the last day</w:t>
      </w:r>
      <w:r>
        <w:t xml:space="preserve"> — file on reopening (s. 4).</w:t>
      </w:r>
    </w:p>
    <w:p>
      <w:pPr>
        <w:pStyle w:val="ListParagraph"/>
        <w:numPr>
          <w:ilvl w:val="0"/>
          <w:numId w:val="12"/>
        </w:numPr>
        <w:spacing w:after="60" w:line="276"/>
      </w:pPr>
      <w:r>
        <w:rPr>
          <w:b/>
          <w:bCs/>
          <w:color w:val="2E7D32"/>
        </w:rPr>
        <w:t xml:space="preserve">Appeals, leave to appeal, reviews</w:t>
      </w:r>
      <w:r>
        <w:t xml:space="preserve"> — exclude the </w:t>
      </w:r>
      <w:r>
        <w:rPr>
          <w:b/>
          <w:bCs/>
          <w:color w:val="2E7D32"/>
        </w:rPr>
        <w:t xml:space="preserve">day the judgment was pronounced</w:t>
      </w:r>
      <w:r>
        <w:t xml:space="preserve"> and the </w:t>
      </w:r>
      <w:r>
        <w:rPr>
          <w:b/>
          <w:bCs/>
          <w:color w:val="2E7D32"/>
        </w:rPr>
        <w:t xml:space="preserve">time requisite for obtaining a copy</w:t>
      </w:r>
      <w:r>
        <w:t xml:space="preserve"> of the decree or order (s. 12(2)) and of the </w:t>
      </w:r>
      <w:r>
        <w:rPr>
          <w:b/>
          <w:bCs/>
          <w:color w:val="2E7D32"/>
        </w:rPr>
        <w:t xml:space="preserve">judgment</w:t>
      </w:r>
      <w:r>
        <w:t xml:space="preserve"> (s. 12(3)); for setting aside an </w:t>
      </w:r>
      <w:r>
        <w:rPr>
          <w:b/>
          <w:bCs/>
          <w:color w:val="2E7D32"/>
        </w:rPr>
        <w:t xml:space="preserve">award</w:t>
      </w:r>
      <w:r>
        <w:t xml:space="preserve">, the time to obtain a copy of the award (s. 12(4)). The "time requisite" is the time between the day on which the application for the copy is </w:t>
      </w:r>
      <w:r>
        <w:rPr>
          <w:b/>
          <w:bCs/>
          <w:color w:val="2E7D32"/>
        </w:rPr>
        <w:t xml:space="preserve">made</w:t>
      </w:r>
      <w:r>
        <w:t xml:space="preserve"> and the day </w:t>
      </w:r>
      <w:r>
        <w:rPr>
          <w:b/>
          <w:bCs/>
          <w:color w:val="2E7D32"/>
        </w:rPr>
        <w:t xml:space="preserve">actually intimated</w:t>
      </w:r>
      <w:r>
        <w:t xml:space="preserve"> to the applicant as the day the copy will be ready (s. 12(5), Pakistani addition). Time taken </w:t>
      </w:r>
      <w:r>
        <w:rPr>
          <w:b/>
          <w:bCs/>
          <w:color w:val="2E7D32"/>
        </w:rPr>
        <w:t xml:space="preserve">before</w:t>
      </w:r>
      <w:r>
        <w:t xml:space="preserve"> applying for the copy is not excluded.</w:t>
      </w:r>
    </w:p>
    <w:p>
      <w:pPr>
        <w:pStyle w:val="ListParagraph"/>
        <w:numPr>
          <w:ilvl w:val="0"/>
          <w:numId w:val="12"/>
        </w:numPr>
        <w:spacing w:after="60" w:line="276"/>
      </w:pPr>
      <w:r>
        <w:rPr>
          <w:b/>
          <w:bCs/>
          <w:color w:val="2E7D32"/>
        </w:rPr>
        <w:t xml:space="preserve">Defendant absent from Pakistan</w:t>
      </w:r>
      <w:r>
        <w:t xml:space="preserve"> — the time of his absence is excluded for </w:t>
      </w:r>
      <w:r>
        <w:rPr>
          <w:b/>
          <w:bCs/>
          <w:color w:val="2E7D32"/>
        </w:rPr>
        <w:t xml:space="preserve">suits</w:t>
      </w:r>
      <w:r>
        <w:t xml:space="preserve"> (s. 13).</w:t>
      </w:r>
    </w:p>
    <w:p>
      <w:pPr>
        <w:pStyle w:val="ListParagraph"/>
        <w:numPr>
          <w:ilvl w:val="0"/>
          <w:numId w:val="12"/>
        </w:numPr>
        <w:spacing w:after="60" w:line="276"/>
      </w:pPr>
      <w:r>
        <w:rPr>
          <w:b/>
          <w:bCs/>
          <w:color w:val="2E7D32"/>
        </w:rPr>
        <w:t xml:space="preserve">Bona fide proceedings in a wrong court</w:t>
      </w:r>
      <w:r>
        <w:t xml:space="preserve"> — s. 14 (5.2).</w:t>
      </w:r>
    </w:p>
    <w:p>
      <w:pPr>
        <w:pStyle w:val="ListParagraph"/>
        <w:numPr>
          <w:ilvl w:val="0"/>
          <w:numId w:val="12"/>
        </w:numPr>
        <w:spacing w:after="60" w:line="276"/>
      </w:pPr>
      <w:r>
        <w:rPr>
          <w:b/>
          <w:bCs/>
          <w:color w:val="2E7D32"/>
        </w:rPr>
        <w:t xml:space="preserve">Stay or injunction</w:t>
      </w:r>
      <w:r>
        <w:t xml:space="preserve"> — the time during which the institution of a suit or the </w:t>
      </w:r>
      <w:r>
        <w:rPr>
          <w:b/>
          <w:bCs/>
          <w:color w:val="2E7D32"/>
        </w:rPr>
        <w:t xml:space="preserve">execution</w:t>
      </w:r>
      <w:r>
        <w:t xml:space="preserve"> of a decree has been </w:t>
      </w:r>
      <w:r>
        <w:rPr>
          <w:b/>
          <w:bCs/>
          <w:color w:val="2E7D32"/>
        </w:rPr>
        <w:t xml:space="preserve">stayed</w:t>
      </w:r>
      <w:r>
        <w:t xml:space="preserve"> by injunction or order, plus the day of issue and the day of withdrawal (s. 15(1)); the </w:t>
      </w:r>
      <w:r>
        <w:rPr>
          <w:b/>
          <w:bCs/>
          <w:color w:val="2E7D32"/>
        </w:rPr>
        <w:t xml:space="preserve">period of a statutory notice</w:t>
      </w:r>
      <w:r>
        <w:t xml:space="preserve"> (e.g., s. 80 CPC) is excluded (s. 15(2)).</w:t>
      </w:r>
    </w:p>
    <w:p>
      <w:pPr>
        <w:pStyle w:val="ListParagraph"/>
        <w:numPr>
          <w:ilvl w:val="0"/>
          <w:numId w:val="12"/>
        </w:numPr>
        <w:spacing w:after="60" w:line="276"/>
      </w:pPr>
      <w:r>
        <w:rPr>
          <w:b/>
          <w:bCs/>
          <w:color w:val="2E7D32"/>
        </w:rPr>
        <w:t xml:space="preserve">Proceedings to set aside an execution sale</w:t>
      </w:r>
      <w:r>
        <w:t xml:space="preserve"> — excluded for the auction-purchaser's suit for possession (s. 16).</w:t>
      </w:r>
    </w:p>
    <w:p>
      <w:pPr>
        <w:pStyle w:val="ListParagraph"/>
        <w:numPr>
          <w:ilvl w:val="0"/>
          <w:numId w:val="12"/>
        </w:numPr>
        <w:spacing w:after="60" w:line="276"/>
      </w:pPr>
      <w:r>
        <w:rPr>
          <w:b/>
          <w:bCs/>
          <w:color w:val="2E7D32"/>
        </w:rPr>
        <w:t xml:space="preserve">Death before the right accrues</w:t>
      </w:r>
      <w:r>
        <w:t xml:space="preserve"> — time runs from when there is a </w:t>
      </w:r>
      <w:r>
        <w:rPr>
          <w:b/>
          <w:bCs/>
          <w:color w:val="2E7D32"/>
        </w:rPr>
        <w:t xml:space="preserve">legal representative</w:t>
      </w:r>
      <w:r>
        <w:t xml:space="preserve"> capable of suing or being sued (s. 17) — not for pre-emption or possession of immovable property or a hereditary office (s. 17(3)).</w:t>
      </w:r>
    </w:p>
    <w:p>
      <w:pPr>
        <w:pStyle w:val="ListParagraph"/>
        <w:numPr>
          <w:ilvl w:val="0"/>
          <w:numId w:val="12"/>
        </w:numPr>
        <w:spacing w:after="60" w:line="276"/>
      </w:pPr>
      <w:r>
        <w:rPr>
          <w:b/>
          <w:bCs/>
          <w:color w:val="2E7D32"/>
        </w:rPr>
        <w:t xml:space="preserve">Fraud</w:t>
      </w:r>
      <w:r>
        <w:t xml:space="preserve"> — time runs from </w:t>
      </w:r>
      <w:r>
        <w:rPr>
          <w:b/>
          <w:bCs/>
          <w:color w:val="2E7D32"/>
        </w:rPr>
        <w:t xml:space="preserve">knowledge</w:t>
      </w:r>
      <w:r>
        <w:t xml:space="preserve"> of the fraud (s. 18).</w:t>
      </w:r>
    </w:p>
    <w:p>
      <w:pPr>
        <w:pStyle w:val="ListParagraph"/>
        <w:numPr>
          <w:ilvl w:val="0"/>
          <w:numId w:val="12"/>
        </w:numPr>
        <w:spacing w:after="60" w:line="276"/>
      </w:pPr>
      <w:r>
        <w:rPr>
          <w:b/>
          <w:bCs/>
          <w:color w:val="2E7D32"/>
        </w:rPr>
        <w:t xml:space="preserve">Acknowledgment</w:t>
      </w:r>
      <w:r>
        <w:t xml:space="preserve"> and </w:t>
      </w:r>
      <w:r>
        <w:rPr>
          <w:b/>
          <w:bCs/>
          <w:color w:val="2E7D32"/>
        </w:rPr>
        <w:t xml:space="preserve">part-payment</w:t>
      </w:r>
      <w:r>
        <w:t xml:space="preserve"> — fresh period (ss. 19, 20).</w:t>
      </w:r>
    </w:p>
    <w:p>
      <w:pPr>
        <w:pStyle w:val="ListParagraph"/>
        <w:numPr>
          <w:ilvl w:val="0"/>
          <w:numId w:val="12"/>
        </w:numPr>
        <w:spacing w:after="60" w:line="276"/>
      </w:pPr>
      <w:r>
        <w:rPr>
          <w:b/>
          <w:bCs/>
          <w:color w:val="2E7D32"/>
        </w:rPr>
        <w:t xml:space="preserve">New party</w:t>
      </w:r>
      <w:r>
        <w:t xml:space="preserve"> added — as regards him, the suit is instituted when he is made a party (s. 22(1)), except where he is added owing to </w:t>
      </w:r>
      <w:r>
        <w:rPr>
          <w:b/>
          <w:bCs/>
          <w:color w:val="2E7D32"/>
        </w:rPr>
        <w:t xml:space="preserve">assignment or devolution</w:t>
      </w:r>
      <w:r>
        <w:t xml:space="preserve"> during the suit, or a plaintiff is transposed as defendant or vice versa (s. 22(2)).</w:t>
      </w:r>
    </w:p>
    <w:p>
      <w:pPr>
        <w:pStyle w:val="ListParagraph"/>
        <w:numPr>
          <w:ilvl w:val="0"/>
          <w:numId w:val="12"/>
        </w:numPr>
        <w:spacing w:after="60" w:line="276"/>
      </w:pPr>
      <w:r>
        <w:rPr>
          <w:b/>
          <w:bCs/>
          <w:color w:val="2E7D32"/>
        </w:rPr>
        <w:t xml:space="preserve">Continuing wrong</w:t>
      </w:r>
      <w:r>
        <w:t xml:space="preserve"> — fresh period at every moment (s. 23).</w:t>
      </w:r>
    </w:p>
    <w:p>
      <w:pPr>
        <w:pStyle w:val="ListParagraph"/>
        <w:numPr>
          <w:ilvl w:val="0"/>
          <w:numId w:val="12"/>
        </w:numPr>
        <w:spacing w:after="60" w:line="276"/>
      </w:pPr>
      <w:r>
        <w:rPr>
          <w:b/>
          <w:bCs/>
          <w:color w:val="2E7D32"/>
        </w:rPr>
        <w:t xml:space="preserve">Special damage</w:t>
      </w:r>
      <w:r>
        <w:t xml:space="preserve"> — from when the injury results (s. 24).</w:t>
      </w:r>
    </w:p>
    <w:p>
      <w:pPr>
        <w:pStyle w:val="Heading2"/>
        <w:keepNext/>
      </w:pPr>
      <w:bookmarkStart w:name="_h24" w:id="125"/>
      <w:r>
        <w:t xml:space="preserve">5.2 Section 14 — bona fide proceedings in a court without jurisdiction</w:t>
      </w:r>
      <w:bookmarkEnd w:id="125"/>
    </w:p>
    <w:p>
      <w:pPr>
        <w:pBdr>
          <w:left w:val="single" w:color="7A9CC6" w:sz="18" w:space="10"/>
        </w:pBdr>
        <w:shd w:fill="F3F6FA" w:color="auto" w:val="clear"/>
        <w:spacing w:after="100" w:line="276"/>
        <w:ind w:left="360" w:right="240"/>
      </w:pPr>
      <w:r>
        <w:rPr>
          <w:color w:val="1E3A5F"/>
        </w:rPr>
        <w:t xml:space="preserve">"14. (1) In computing the period of limitation prescribed for any </w:t>
      </w:r>
      <w:r>
        <w:rPr>
          <w:b/>
          <w:bCs/>
          <w:color w:val="1E3A5F"/>
        </w:rPr>
        <w:t xml:space="preserve">suit</w:t>
      </w:r>
      <w:r>
        <w:rPr>
          <w:color w:val="1E3A5F"/>
        </w:rPr>
        <w:t xml:space="preserve">, the time during which the plaintiff has been </w:t>
      </w:r>
      <w:r>
        <w:rPr>
          <w:b/>
          <w:bCs/>
          <w:color w:val="1E3A5F"/>
        </w:rPr>
        <w:t xml:space="preserve">prosecuting with due diligence another civil proceeding</w:t>
      </w:r>
      <w:r>
        <w:rPr>
          <w:color w:val="1E3A5F"/>
        </w:rPr>
        <w:t xml:space="preserve">, whether in a Court of first instance or in a Court of appeal, </w:t>
      </w:r>
      <w:r>
        <w:rPr>
          <w:b/>
          <w:bCs/>
          <w:color w:val="1E3A5F"/>
        </w:rPr>
        <w:t xml:space="preserve">against the defendant</w:t>
      </w:r>
      <w:r>
        <w:rPr>
          <w:color w:val="1E3A5F"/>
        </w:rPr>
        <w:t xml:space="preserve">, shall be excluded, where the proceeding is founded upon the </w:t>
      </w:r>
      <w:r>
        <w:rPr>
          <w:b/>
          <w:bCs/>
          <w:color w:val="1E3A5F"/>
        </w:rPr>
        <w:t xml:space="preserve">same cause of action</w:t>
      </w:r>
      <w:r>
        <w:rPr>
          <w:color w:val="1E3A5F"/>
        </w:rPr>
        <w:t xml:space="preserve"> and is prosecuted </w:t>
      </w:r>
      <w:r>
        <w:rPr>
          <w:b/>
          <w:bCs/>
          <w:color w:val="1E3A5F"/>
        </w:rPr>
        <w:t xml:space="preserve">in good faith</w:t>
      </w:r>
      <w:r>
        <w:rPr>
          <w:color w:val="1E3A5F"/>
        </w:rPr>
        <w:t xml:space="preserve"> in a Court which, from </w:t>
      </w:r>
      <w:r>
        <w:rPr>
          <w:b/>
          <w:bCs/>
          <w:color w:val="1E3A5F"/>
        </w:rPr>
        <w:t xml:space="preserve">defect of jurisdiction, or other cause of a like nature</w:t>
      </w:r>
      <w:r>
        <w:rPr>
          <w:color w:val="1E3A5F"/>
        </w:rPr>
        <w:t xml:space="preserve">, is </w:t>
      </w:r>
      <w:r>
        <w:rPr>
          <w:b/>
          <w:bCs/>
          <w:color w:val="1E3A5F"/>
        </w:rPr>
        <w:t xml:space="preserve">unable to entertain it</w:t>
      </w:r>
      <w:r>
        <w:rPr>
          <w:color w:val="1E3A5F"/>
        </w:rPr>
        <w:t xml:space="preserve">."</w:t>
      </w:r>
    </w:p>
    <w:p>
      <w:pPr>
        <w:spacing w:after="120" w:line="288"/>
      </w:pPr>
      <w:r>
        <w:rPr>
          <w:b/>
          <w:bCs/>
          <w:color w:val="2E7D32"/>
        </w:rPr>
        <w:t xml:space="preserve">Conditions:</w:t>
      </w:r>
    </w:p>
    <w:p>
      <w:pPr>
        <w:pStyle w:val="ListParagraph"/>
        <w:numPr>
          <w:ilvl w:val="0"/>
          <w:numId w:val="13"/>
        </w:numPr>
        <w:spacing w:after="60" w:line="276"/>
      </w:pPr>
      <w:r>
        <w:t xml:space="preserve">The earlier proceeding was a </w:t>
      </w:r>
      <w:r>
        <w:rPr>
          <w:b/>
          <w:bCs/>
          <w:color w:val="2E7D32"/>
        </w:rPr>
        <w:t xml:space="preserve">civil</w:t>
      </w:r>
      <w:r>
        <w:t xml:space="preserve"> proceeding;</w:t>
      </w:r>
    </w:p>
    <w:p>
      <w:pPr>
        <w:pStyle w:val="ListParagraph"/>
        <w:numPr>
          <w:ilvl w:val="0"/>
          <w:numId w:val="13"/>
        </w:numPr>
        <w:spacing w:after="60" w:line="276"/>
      </w:pPr>
      <w:r>
        <w:t xml:space="preserve">between the </w:t>
      </w:r>
      <w:r>
        <w:rPr>
          <w:b/>
          <w:bCs/>
          <w:color w:val="2E7D32"/>
        </w:rPr>
        <w:t xml:space="preserve">same parties</w:t>
      </w:r>
      <w:r>
        <w:t xml:space="preserve">;</w:t>
      </w:r>
    </w:p>
    <w:p>
      <w:pPr>
        <w:pStyle w:val="ListParagraph"/>
        <w:numPr>
          <w:ilvl w:val="0"/>
          <w:numId w:val="13"/>
        </w:numPr>
        <w:spacing w:after="60" w:line="276"/>
      </w:pPr>
      <w:r>
        <w:t xml:space="preserve">on the </w:t>
      </w:r>
      <w:r>
        <w:rPr>
          <w:b/>
          <w:bCs/>
          <w:color w:val="2E7D32"/>
        </w:rPr>
        <w:t xml:space="preserve">same cause of action</w:t>
      </w:r>
      <w:r>
        <w:t xml:space="preserve"> (for applications — for the </w:t>
      </w:r>
      <w:r>
        <w:rPr>
          <w:b/>
          <w:bCs/>
          <w:color w:val="2E7D32"/>
        </w:rPr>
        <w:t xml:space="preserve">same relief</w:t>
      </w:r>
      <w:r>
        <w:t xml:space="preserve">, s. 14(2));</w:t>
      </w:r>
    </w:p>
    <w:p>
      <w:pPr>
        <w:pStyle w:val="ListParagraph"/>
        <w:numPr>
          <w:ilvl w:val="0"/>
          <w:numId w:val="13"/>
        </w:numPr>
        <w:spacing w:after="60" w:line="276"/>
      </w:pPr>
      <w:r>
        <w:t xml:space="preserve">prosecuted with </w:t>
      </w:r>
      <w:r>
        <w:rPr>
          <w:b/>
          <w:bCs/>
          <w:color w:val="2E7D32"/>
        </w:rPr>
        <w:t xml:space="preserve">due diligence</w:t>
      </w:r>
      <w:r>
        <w:t xml:space="preserve"> and in </w:t>
      </w:r>
      <w:r>
        <w:rPr>
          <w:b/>
          <w:bCs/>
          <w:color w:val="2E7D32"/>
        </w:rPr>
        <w:t xml:space="preserve">good faith</w:t>
      </w:r>
      <w:r>
        <w:t xml:space="preserve"> (with due care and attention — s. 2(7));</w:t>
      </w:r>
    </w:p>
    <w:p>
      <w:pPr>
        <w:pStyle w:val="ListParagraph"/>
        <w:numPr>
          <w:ilvl w:val="0"/>
          <w:numId w:val="13"/>
        </w:numPr>
        <w:spacing w:after="60" w:line="276"/>
      </w:pPr>
      <w:r>
        <w:t xml:space="preserve">the court was </w:t>
      </w:r>
      <w:r>
        <w:rPr>
          <w:b/>
          <w:bCs/>
          <w:color w:val="2E7D32"/>
        </w:rPr>
        <w:t xml:space="preserve">unable to entertain</w:t>
      </w:r>
      <w:r>
        <w:t xml:space="preserve"> it because of </w:t>
      </w:r>
      <w:r>
        <w:rPr>
          <w:b/>
          <w:bCs/>
          <w:color w:val="2E7D32"/>
        </w:rPr>
        <w:t xml:space="preserve">defect of jurisdiction</w:t>
      </w:r>
      <w:r>
        <w:t xml:space="preserve"> or </w:t>
      </w:r>
      <w:r>
        <w:rPr>
          <w:b/>
          <w:bCs/>
          <w:color w:val="2E7D32"/>
        </w:rPr>
        <w:t xml:space="preserve">other cause of a like nature</w:t>
      </w:r>
      <w:r>
        <w:t xml:space="preserve"> — e.g., want of pecuniary or territorial jurisdiction, </w:t>
      </w:r>
      <w:r>
        <w:rPr>
          <w:b/>
          <w:bCs/>
          <w:color w:val="2E7D32"/>
        </w:rPr>
        <w:t xml:space="preserve">misjoinder</w:t>
      </w:r>
      <w:r>
        <w:t xml:space="preserve"> of parties or causes of action (Explanation III), want of a required sanction; </w:t>
      </w:r>
      <w:r>
        <w:rPr>
          <w:b/>
          <w:bCs/>
          <w:color w:val="2E7D32"/>
        </w:rPr>
        <w:t xml:space="preserve">not</w:t>
      </w:r>
      <w:r>
        <w:t xml:space="preserve"> where the earlier suit was dismissed on the </w:t>
      </w:r>
      <w:r>
        <w:rPr>
          <w:b/>
          <w:bCs/>
          <w:color w:val="2E7D32"/>
        </w:rPr>
        <w:t xml:space="preserve">merits</w:t>
      </w:r>
      <w:r>
        <w:t xml:space="preserve">, or withdrawn for a defect not of this nature, or dismissed for default.</w:t>
      </w:r>
    </w:p>
    <w:p>
      <w:pPr>
        <w:spacing w:after="120" w:line="288"/>
      </w:pPr>
      <w:r>
        <w:rPr>
          <w:b/>
          <w:bCs/>
          <w:color w:val="2E7D32"/>
        </w:rPr>
        <w:t xml:space="preserve">Explanations:</w:t>
      </w:r>
      <w:r>
        <w:t xml:space="preserve"> the day of institution and the day the proceedings ended are both counted (Expl. I); a plaintiff </w:t>
      </w:r>
      <w:r>
        <w:rPr>
          <w:b/>
          <w:bCs/>
          <w:color w:val="2E7D32"/>
        </w:rPr>
        <w:t xml:space="preserve">resisting an appeal</w:t>
      </w:r>
      <w:r>
        <w:t xml:space="preserve"> is deemed to be prosecuting a proceeding (Expl. II).</w:t>
      </w:r>
    </w:p>
    <w:p>
      <w:pPr>
        <w:spacing w:after="120" w:line="288"/>
      </w:pPr>
      <w:r>
        <w:rPr>
          <w:b/>
          <w:bCs/>
          <w:color w:val="2E7D32"/>
        </w:rPr>
        <w:t xml:space="preserve">Withdrawal with permission (O. XXIII r. 2 CPC):</w:t>
      </w:r>
      <w:r>
        <w:t xml:space="preserve"> a plaintiff who withdraws with permission to file afresh is bound by limitation </w:t>
      </w:r>
      <w:r>
        <w:rPr>
          <w:b/>
          <w:bCs/>
          <w:color w:val="2E7D32"/>
        </w:rPr>
        <w:t xml:space="preserve">as if the first suit had not been instituted</w:t>
      </w:r>
      <w:r>
        <w:t xml:space="preserve"> — but may claim s. 14 if its conditions are met.</w:t>
      </w:r>
    </w:p>
    <w:p>
      <w:pPr>
        <w:pStyle w:val="Heading2"/>
        <w:keepNext/>
      </w:pPr>
      <w:bookmarkStart w:name="_h25" w:id="126"/>
      <w:r>
        <w:t xml:space="preserve">5.3 Section 18 — fraud</w:t>
      </w:r>
      <w:bookmarkEnd w:id="126"/>
    </w:p>
    <w:p>
      <w:pPr>
        <w:spacing w:after="120" w:line="288"/>
      </w:pPr>
      <w:r>
        <w:t xml:space="preserve">Where a person has, by </w:t>
      </w:r>
      <w:r>
        <w:rPr>
          <w:b/>
          <w:bCs/>
          <w:color w:val="2E7D32"/>
        </w:rPr>
        <w:t xml:space="preserve">fraud</w:t>
      </w:r>
      <w:r>
        <w:t xml:space="preserve">, been </w:t>
      </w:r>
      <w:r>
        <w:rPr>
          <w:b/>
          <w:bCs/>
          <w:color w:val="2E7D32"/>
        </w:rPr>
        <w:t xml:space="preserve">kept from knowledge</w:t>
      </w:r>
      <w:r>
        <w:t xml:space="preserve"> of his right or of the title on which it is founded, or a </w:t>
      </w:r>
      <w:r>
        <w:rPr>
          <w:b/>
          <w:bCs/>
          <w:color w:val="2E7D32"/>
        </w:rPr>
        <w:t xml:space="preserve">document</w:t>
      </w:r>
      <w:r>
        <w:t xml:space="preserve"> necessary to establish the right has been </w:t>
      </w:r>
      <w:r>
        <w:rPr>
          <w:b/>
          <w:bCs/>
          <w:color w:val="2E7D32"/>
        </w:rPr>
        <w:t xml:space="preserve">fraudulently concealed</w:t>
      </w:r>
      <w:r>
        <w:t xml:space="preserve">, time runs, against the person guilty of the fraud (or anyone claiming through him </w:t>
      </w:r>
      <w:r>
        <w:rPr>
          <w:b/>
          <w:bCs/>
          <w:color w:val="2E7D32"/>
        </w:rPr>
        <w:t xml:space="preserve">otherwise than in good faith and for value</w:t>
      </w:r>
      <w:r>
        <w:t xml:space="preserve">), from when the fraud </w:t>
      </w:r>
      <w:r>
        <w:rPr>
          <w:b/>
          <w:bCs/>
          <w:color w:val="2E7D32"/>
        </w:rPr>
        <w:t xml:space="preserve">first became known</w:t>
      </w:r>
      <w:r>
        <w:t xml:space="preserve"> to the person injured, or, for a concealed document, when he first had the </w:t>
      </w:r>
      <w:r>
        <w:rPr>
          <w:b/>
          <w:bCs/>
          <w:color w:val="2E7D32"/>
        </w:rPr>
        <w:t xml:space="preserve">means of producing</w:t>
      </w:r>
      <w:r>
        <w:t xml:space="preserve"> it.</w:t>
      </w:r>
    </w:p>
    <w:p>
      <w:pPr>
        <w:spacing w:after="120" w:line="288"/>
      </w:pPr>
      <w:r>
        <w:rPr>
          <w:b/>
          <w:bCs/>
          <w:color w:val="2E7D32"/>
        </w:rPr>
        <w:t xml:space="preserve">Conditions:</w:t>
      </w:r>
      <w:r>
        <w:t xml:space="preserve"> (i) fraud by the </w:t>
      </w:r>
      <w:r>
        <w:rPr>
          <w:b/>
          <w:bCs/>
          <w:color w:val="2E7D32"/>
        </w:rPr>
        <w:t xml:space="preserve">defendant</w:t>
      </w:r>
      <w:r>
        <w:t xml:space="preserve"> (or those through whom he claims); (ii) the fraud </w:t>
      </w:r>
      <w:r>
        <w:rPr>
          <w:b/>
          <w:bCs/>
          <w:color w:val="2E7D32"/>
        </w:rPr>
        <w:t xml:space="preserve">kept the plaintiff from knowledge</w:t>
      </w:r>
      <w:r>
        <w:t xml:space="preserve"> of his right; (iii) the plaintiff did not know of it earlier with reasonable diligence. Not available against a </w:t>
      </w:r>
      <w:r>
        <w:rPr>
          <w:b/>
          <w:bCs/>
          <w:color w:val="2E7D32"/>
        </w:rPr>
        <w:t xml:space="preserve">bona fide purchaser for value</w:t>
      </w:r>
      <w:r>
        <w:t xml:space="preserve">.</w:t>
      </w:r>
    </w:p>
    <w:p>
      <w:pPr>
        <w:pStyle w:val="Heading2"/>
        <w:keepNext/>
      </w:pPr>
      <w:bookmarkStart w:name="_h26" w:id="127"/>
      <w:r>
        <w:t xml:space="preserve">5.4 Section 22 — new parties</w:t>
      </w:r>
      <w:bookmarkEnd w:id="127"/>
    </w:p>
    <w:p>
      <w:pPr>
        <w:spacing w:after="120" w:line="288"/>
      </w:pPr>
      <w:r>
        <w:t xml:space="preserve">A defendant added </w:t>
      </w:r>
      <w:r>
        <w:rPr>
          <w:b/>
          <w:bCs/>
          <w:color w:val="2E7D32"/>
        </w:rPr>
        <w:t xml:space="preserve">after</w:t>
      </w:r>
      <w:r>
        <w:t xml:space="preserve"> the period cannot be sued — the suit, as against him, is </w:t>
      </w:r>
      <w:r>
        <w:rPr>
          <w:b/>
          <w:bCs/>
          <w:color w:val="2E7D32"/>
        </w:rPr>
        <w:t xml:space="preserve">barred</w:t>
      </w:r>
      <w:r>
        <w:t xml:space="preserve">. Hence the importance of impleading </w:t>
      </w:r>
      <w:r>
        <w:rPr>
          <w:b/>
          <w:bCs/>
          <w:color w:val="2E7D32"/>
        </w:rPr>
        <w:t xml:space="preserve">all necessary parties</w:t>
      </w:r>
      <w:r>
        <w:t xml:space="preserve"> within time. The exception (assignment / devolution during the suit) protects substitutions under </w:t>
      </w:r>
      <w:r>
        <w:rPr>
          <w:b/>
          <w:bCs/>
          <w:color w:val="2E7D32"/>
        </w:rPr>
        <w:t xml:space="preserve">O. XXII</w:t>
      </w:r>
      <w:r>
        <w:t xml:space="preserve"> (death, assignment) — Topic 1, Civil Law-I.</w:t>
      </w:r>
    </w:p>
    <w:p>
      <w:pPr>
        <w:pStyle w:val="Heading2"/>
        <w:keepNext/>
      </w:pPr>
      <w:bookmarkStart w:name="_h27" w:id="128"/>
      <w:r>
        <w:t xml:space="preserve">5.5 Section 23 — continuing breaches and wrongs</w:t>
      </w:r>
      <w:bookmarkEnd w:id="128"/>
    </w:p>
    <w:p>
      <w:pPr>
        <w:spacing w:after="120" w:line="288"/>
      </w:pPr>
      <w:r>
        <w:t xml:space="preserve">"In the case of a </w:t>
      </w:r>
      <w:r>
        <w:rPr>
          <w:b/>
          <w:bCs/>
          <w:color w:val="2E7D32"/>
        </w:rPr>
        <w:t xml:space="preserve">continuing breach of contract</w:t>
      </w:r>
      <w:r>
        <w:t xml:space="preserve"> and in the case of a </w:t>
      </w:r>
      <w:r>
        <w:rPr>
          <w:b/>
          <w:bCs/>
          <w:color w:val="2E7D32"/>
        </w:rPr>
        <w:t xml:space="preserve">continuing wrong</w:t>
      </w:r>
      <w:r>
        <w:t xml:space="preserve"> independent of contract, a fresh period of limitation begins to run at every moment of the time during which the breach or the wrong continues."</w:t>
      </w:r>
    </w:p>
    <w:p>
      <w:pPr>
        <w:spacing w:after="120" w:line="288"/>
      </w:pPr>
      <w:r>
        <w:rPr>
          <w:b/>
          <w:bCs/>
          <w:color w:val="2E7D32"/>
        </w:rPr>
        <w:t xml:space="preserve">Continuing wrong</w:t>
      </w:r>
      <w:r>
        <w:t xml:space="preserve"> — the wrongful act itself continues (e.g., an </w:t>
      </w:r>
      <w:r>
        <w:rPr>
          <w:b/>
          <w:bCs/>
          <w:color w:val="2E7D32"/>
        </w:rPr>
        <w:t xml:space="preserve">obstruction</w:t>
      </w:r>
      <w:r>
        <w:t xml:space="preserve"> of a right of way that remains, a continuing </w:t>
      </w:r>
      <w:r>
        <w:rPr>
          <w:b/>
          <w:bCs/>
          <w:color w:val="2E7D32"/>
        </w:rPr>
        <w:t xml:space="preserve">nuisance</w:t>
      </w:r>
      <w:r>
        <w:t xml:space="preserve">, wrongful </w:t>
      </w:r>
      <w:r>
        <w:rPr>
          <w:b/>
          <w:bCs/>
          <w:color w:val="2E7D32"/>
        </w:rPr>
        <w:t xml:space="preserve">retention</w:t>
      </w:r>
      <w:r>
        <w:t xml:space="preserve"> of an office, a continuing trespass by keeping a structure on another's land). </w:t>
      </w:r>
      <w:r>
        <w:rPr>
          <w:b/>
          <w:bCs/>
          <w:color w:val="2E7D32"/>
        </w:rPr>
        <w:t xml:space="preserve">Not</w:t>
      </w:r>
      <w:r>
        <w:t xml:space="preserve"> a continuing wrong — a </w:t>
      </w:r>
      <w:r>
        <w:rPr>
          <w:b/>
          <w:bCs/>
          <w:color w:val="2E7D32"/>
        </w:rPr>
        <w:t xml:space="preserve">single</w:t>
      </w:r>
      <w:r>
        <w:t xml:space="preserve"> act whose </w:t>
      </w:r>
      <w:r>
        <w:rPr>
          <w:b/>
          <w:bCs/>
          <w:color w:val="2E7D32"/>
        </w:rPr>
        <w:t xml:space="preserve">effects</w:t>
      </w:r>
      <w:r>
        <w:t xml:space="preserve"> continue (e.g., a wrongful dismissal, a single dispossession: the dispossession is complete when it happens, though the loss of possession continues).</w:t>
      </w:r>
    </w:p>
    <w:p>
      <w:pPr>
        <w:pStyle w:val="Heading2"/>
        <w:keepNext/>
      </w:pPr>
      <w:bookmarkStart w:name="_h28" w:id="129"/>
      <w:r>
        <w:t xml:space="preserve">5.6 Section 24 — act not actionable without special damage</w:t>
      </w:r>
      <w:bookmarkEnd w:id="129"/>
    </w:p>
    <w:p>
      <w:pPr>
        <w:spacing w:after="120" w:line="288"/>
      </w:pPr>
      <w:r>
        <w:t xml:space="preserve">Time runs from </w:t>
      </w:r>
      <w:r>
        <w:rPr>
          <w:b/>
          <w:bCs/>
          <w:color w:val="2E7D32"/>
        </w:rPr>
        <w:t xml:space="preserve">when the injury results</w:t>
      </w:r>
      <w:r>
        <w:t xml:space="preserve">. </w:t>
      </w:r>
      <w:r>
        <w:rPr>
          <w:i/>
          <w:iCs/>
        </w:rPr>
        <w:t xml:space="preserve">Illus.:</w:t>
      </w:r>
      <w:r>
        <w:t xml:space="preserve"> B digs coal from the subsoil under A's surface without immediate injury; the surface later </w:t>
      </w:r>
      <w:r>
        <w:rPr>
          <w:b/>
          <w:bCs/>
          <w:color w:val="2E7D32"/>
        </w:rPr>
        <w:t xml:space="preserve">subsides</w:t>
      </w:r>
      <w:r>
        <w:t xml:space="preserve"> — time runs from the </w:t>
      </w:r>
      <w:r>
        <w:rPr>
          <w:b/>
          <w:bCs/>
          <w:color w:val="2E7D32"/>
        </w:rPr>
        <w:t xml:space="preserve">subsidence</w:t>
      </w:r>
      <w:r>
        <w:t xml:space="preserve">.</w:t>
      </w:r>
    </w:p>
    <w:p>
      <w:pPr>
        <w:pStyle w:val="Heading1"/>
        <w:keepNext/>
        <w:pageBreakBefore/>
      </w:pPr>
      <w:bookmarkStart w:name="_h29" w:id="130"/>
      <w:r>
        <w:t xml:space="preserve">Chapter 6 · Acknowledgment and part-payment (ss. 19 to 21)</w:t>
      </w:r>
      <w:bookmarkEnd w:id="130"/>
    </w:p>
    <w:p>
      <w:pPr>
        <w:pStyle w:val="Heading2"/>
        <w:keepNext/>
      </w:pPr>
      <w:bookmarkStart w:name="_h30" w:id="131"/>
      <w:r>
        <w:t xml:space="preserve">6.1 Acknowledgment in writing — s. 19</w:t>
      </w:r>
      <w:bookmarkEnd w:id="131"/>
    </w:p>
    <w:p>
      <w:pPr>
        <w:pBdr>
          <w:left w:val="single" w:color="7A9CC6" w:sz="18" w:space="10"/>
        </w:pBdr>
        <w:shd w:fill="F3F6FA" w:color="auto" w:val="clear"/>
        <w:spacing w:after="100" w:line="276"/>
        <w:ind w:left="360" w:right="240"/>
      </w:pPr>
      <w:r>
        <w:rPr>
          <w:color w:val="1E3A5F"/>
        </w:rPr>
        <w:t xml:space="preserve">"19. (1) Where, </w:t>
      </w:r>
      <w:r>
        <w:rPr>
          <w:b/>
          <w:bCs/>
          <w:color w:val="1E3A5F"/>
        </w:rPr>
        <w:t xml:space="preserve">before the expiration</w:t>
      </w:r>
      <w:r>
        <w:rPr>
          <w:color w:val="1E3A5F"/>
        </w:rPr>
        <w:t xml:space="preserve"> of the period prescribed for a suit or application in respect of any property or right, an </w:t>
      </w:r>
      <w:r>
        <w:rPr>
          <w:b/>
          <w:bCs/>
          <w:color w:val="1E3A5F"/>
        </w:rPr>
        <w:t xml:space="preserve">acknowledgment of liability</w:t>
      </w:r>
      <w:r>
        <w:rPr>
          <w:color w:val="1E3A5F"/>
        </w:rPr>
        <w:t xml:space="preserve"> in respect of such property or right has been made </w:t>
      </w:r>
      <w:r>
        <w:rPr>
          <w:b/>
          <w:bCs/>
          <w:color w:val="1E3A5F"/>
        </w:rPr>
        <w:t xml:space="preserve">in writing signed by the party against whom</w:t>
      </w:r>
      <w:r>
        <w:rPr>
          <w:color w:val="1E3A5F"/>
        </w:rPr>
        <w:t xml:space="preserve"> such property or right is claimed, or by some person through whom he derives title or liability, a </w:t>
      </w:r>
      <w:r>
        <w:rPr>
          <w:b/>
          <w:bCs/>
          <w:color w:val="1E3A5F"/>
        </w:rPr>
        <w:t xml:space="preserve">fresh period</w:t>
      </w:r>
      <w:r>
        <w:rPr>
          <w:color w:val="1E3A5F"/>
        </w:rPr>
        <w:t xml:space="preserve"> of limitation shall be computed from the time when the acknowledgment was so signed. (2) Where the writing containing the acknowledgment is </w:t>
      </w:r>
      <w:r>
        <w:rPr>
          <w:b/>
          <w:bCs/>
          <w:color w:val="1E3A5F"/>
        </w:rPr>
        <w:t xml:space="preserve">undated</w:t>
      </w:r>
      <w:r>
        <w:rPr>
          <w:color w:val="1E3A5F"/>
        </w:rPr>
        <w:t xml:space="preserve">, </w:t>
      </w:r>
      <w:r>
        <w:rPr>
          <w:b/>
          <w:bCs/>
          <w:color w:val="1E3A5F"/>
        </w:rPr>
        <w:t xml:space="preserve">oral evidence may be given of the time when it was signed</w:t>
      </w:r>
      <w:r>
        <w:rPr>
          <w:color w:val="1E3A5F"/>
        </w:rPr>
        <w:t xml:space="preserve">; but, subject to the provisions of the Evidence Act [now the Qanun-e-Shahadat], oral evidence of its </w:t>
      </w:r>
      <w:r>
        <w:rPr>
          <w:b/>
          <w:bCs/>
          <w:color w:val="1E3A5F"/>
        </w:rPr>
        <w:t xml:space="preserve">contents</w:t>
      </w:r>
      <w:r>
        <w:rPr>
          <w:color w:val="1E3A5F"/>
        </w:rPr>
        <w:t xml:space="preserve"> shall not be received."</w:t>
      </w:r>
    </w:p>
    <w:p>
      <w:pPr>
        <w:keepNext/>
        <w:spacing w:after="60" w:before="120"/>
        <w:jc w:val="center"/>
      </w:pPr>
      <w:r>
        <w:drawing>
          <wp:inline distT="0" distB="0" distL="0" distR="0">
            <wp:extent cx="5715000" cy="384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848100"/>
                    </a:xfrm>
                    <a:prstGeom prst="rect">
                      <a:avLst/>
                    </a:prstGeom>
                  </pic:spPr>
                </pic:pic>
              </a:graphicData>
            </a:graphic>
          </wp:inline>
        </w:drawing>
      </w:r>
    </w:p>
    <w:p>
      <w:pPr>
        <w:spacing w:after="200"/>
        <w:jc w:val="center"/>
      </w:pPr>
      <w:r>
        <w:rPr>
          <w:i/>
          <w:iCs/>
          <w:color w:val="64748B"/>
          <w:sz w:val="19"/>
          <w:szCs w:val="19"/>
        </w:rPr>
        <w:t xml:space="preserve">Figure 2 · Section 19 — what makes a valid acknowledgment</w:t>
      </w:r>
    </w:p>
    <w:p>
      <w:pPr>
        <w:pStyle w:val="Heading3"/>
        <w:keepNext/>
      </w:pPr>
      <w:r>
        <w:t xml:space="preserve">Essentials</w:t>
      </w:r>
    </w:p>
    <w:p>
      <w:pPr>
        <w:pStyle w:val="ListParagraph"/>
        <w:numPr>
          <w:ilvl w:val="0"/>
          <w:numId w:val="14"/>
        </w:numPr>
        <w:spacing w:after="60" w:line="276"/>
      </w:pPr>
      <w:r>
        <w:t xml:space="preserve">An </w:t>
      </w:r>
      <w:r>
        <w:rPr>
          <w:b/>
          <w:bCs/>
          <w:color w:val="2E7D32"/>
        </w:rPr>
        <w:t xml:space="preserve">acknowledgment of liability</w:t>
      </w:r>
      <w:r>
        <w:t xml:space="preserve"> — a conscious admission of a </w:t>
      </w:r>
      <w:r>
        <w:rPr>
          <w:b/>
          <w:bCs/>
          <w:color w:val="2E7D32"/>
        </w:rPr>
        <w:t xml:space="preserve">subsisting</w:t>
      </w:r>
      <w:r>
        <w:t xml:space="preserve"> liability or </w:t>
      </w:r>
      <w:r>
        <w:rPr>
          <w:b/>
          <w:bCs/>
          <w:color w:val="2E7D32"/>
        </w:rPr>
        <w:t xml:space="preserve">jural relationship</w:t>
      </w:r>
      <w:r>
        <w:t xml:space="preserve"> (e.g., "I owe you money", "your account with me", "I shall settle the balance"); an express promise to pay is </w:t>
      </w:r>
      <w:r>
        <w:rPr>
          <w:b/>
          <w:bCs/>
          <w:color w:val="2E7D32"/>
        </w:rPr>
        <w:t xml:space="preserve">not</w:t>
      </w:r>
      <w:r>
        <w:t xml:space="preserve"> needed.</w:t>
      </w:r>
    </w:p>
    <w:p>
      <w:pPr>
        <w:pStyle w:val="ListParagraph"/>
        <w:numPr>
          <w:ilvl w:val="0"/>
          <w:numId w:val="14"/>
        </w:numPr>
        <w:spacing w:after="60" w:line="276"/>
      </w:pPr>
      <w:r>
        <w:t xml:space="preserve">In respect of the </w:t>
      </w:r>
      <w:r>
        <w:rPr>
          <w:b/>
          <w:bCs/>
          <w:color w:val="2E7D32"/>
        </w:rPr>
        <w:t xml:space="preserve">property or right</w:t>
      </w:r>
      <w:r>
        <w:t xml:space="preserve"> claimed.</w:t>
      </w:r>
    </w:p>
    <w:p>
      <w:pPr>
        <w:pStyle w:val="ListParagraph"/>
        <w:numPr>
          <w:ilvl w:val="0"/>
          <w:numId w:val="14"/>
        </w:numPr>
        <w:spacing w:after="60" w:line="276"/>
      </w:pPr>
      <w:r>
        <w:rPr>
          <w:b/>
          <w:bCs/>
          <w:color w:val="2E7D32"/>
        </w:rPr>
        <w:t xml:space="preserve">In writing</w:t>
      </w:r>
      <w:r>
        <w:t xml:space="preserve"> — oral acknowledgments do not count.</w:t>
      </w:r>
    </w:p>
    <w:p>
      <w:pPr>
        <w:pStyle w:val="ListParagraph"/>
        <w:numPr>
          <w:ilvl w:val="0"/>
          <w:numId w:val="14"/>
        </w:numPr>
        <w:spacing w:after="60" w:line="276"/>
      </w:pPr>
      <w:r>
        <w:rPr>
          <w:b/>
          <w:bCs/>
          <w:color w:val="2E7D32"/>
        </w:rPr>
        <w:t xml:space="preserve">Signed</w:t>
      </w:r>
      <w:r>
        <w:t xml:space="preserve"> by the party liable (or the person through whom he derives liability), personally or by an </w:t>
      </w:r>
      <w:r>
        <w:rPr>
          <w:b/>
          <w:bCs/>
          <w:color w:val="2E7D32"/>
        </w:rPr>
        <w:t xml:space="preserve">agent duly authorised</w:t>
      </w:r>
      <w:r>
        <w:t xml:space="preserve"> (Explanation II; for a person under disability — his guardian, committee or manager — s. 21(1)).</w:t>
      </w:r>
    </w:p>
    <w:p>
      <w:pPr>
        <w:pStyle w:val="ListParagraph"/>
        <w:numPr>
          <w:ilvl w:val="0"/>
          <w:numId w:val="14"/>
        </w:numPr>
        <w:spacing w:after="60" w:line="276"/>
      </w:pPr>
      <w:r>
        <w:t xml:space="preserve">Made </w:t>
      </w:r>
      <w:r>
        <w:rPr>
          <w:b/>
          <w:bCs/>
          <w:color w:val="2E7D32"/>
        </w:rPr>
        <w:t xml:space="preserve">before the expiry</w:t>
      </w:r>
      <w:r>
        <w:t xml:space="preserve"> of the period — this is decisive.</w:t>
      </w:r>
    </w:p>
    <w:p>
      <w:pPr>
        <w:pStyle w:val="Heading3"/>
        <w:keepNext/>
      </w:pPr>
      <w:r>
        <w:t xml:space="preserve">Explanation I — an acknowledgment may be sufficient though it</w:t>
      </w:r>
    </w:p>
    <w:p>
      <w:pPr>
        <w:spacing w:after="120" w:line="288"/>
      </w:pPr>
      <w:r>
        <w:t xml:space="preserve">(i) does not specify the </w:t>
      </w:r>
      <w:r>
        <w:rPr>
          <w:b/>
          <w:bCs/>
          <w:color w:val="2E7D32"/>
        </w:rPr>
        <w:t xml:space="preserve">exact nature</w:t>
      </w:r>
      <w:r>
        <w:t xml:space="preserve"> of the property or right; (ii) avers that the </w:t>
      </w:r>
      <w:r>
        <w:rPr>
          <w:b/>
          <w:bCs/>
          <w:color w:val="2E7D32"/>
        </w:rPr>
        <w:t xml:space="preserve">time for payment</w:t>
      </w:r>
      <w:r>
        <w:t xml:space="preserve"> has not yet come; (iii) is accompanied by a </w:t>
      </w:r>
      <w:r>
        <w:rPr>
          <w:b/>
          <w:bCs/>
          <w:color w:val="2E7D32"/>
        </w:rPr>
        <w:t xml:space="preserve">refusal</w:t>
      </w:r>
      <w:r>
        <w:t xml:space="preserve"> to pay; (iv) is coupled with a claim to </w:t>
      </w:r>
      <w:r>
        <w:rPr>
          <w:b/>
          <w:bCs/>
          <w:color w:val="2E7D32"/>
        </w:rPr>
        <w:t xml:space="preserve">set-off</w:t>
      </w:r>
      <w:r>
        <w:t xml:space="preserve">; or (v) is addressed to a person </w:t>
      </w:r>
      <w:r>
        <w:rPr>
          <w:b/>
          <w:bCs/>
          <w:color w:val="2E7D32"/>
        </w:rPr>
        <w:t xml:space="preserve">other than</w:t>
      </w:r>
      <w:r>
        <w:t xml:space="preserve"> the person entitled.</w:t>
      </w:r>
    </w:p>
    <w:p>
      <w:pPr>
        <w:pStyle w:val="Heading3"/>
        <w:keepNext/>
      </w:pPr>
      <w:r>
        <w:t xml:space="preserve">Effect</w:t>
      </w:r>
    </w:p>
    <w:p>
      <w:pPr>
        <w:pStyle w:val="ListParagraph"/>
        <w:numPr>
          <w:ilvl w:val="0"/>
          <w:numId w:val="15"/>
        </w:numPr>
        <w:spacing w:after="60" w:line="276"/>
      </w:pPr>
      <w:r>
        <w:t xml:space="preserve">A </w:t>
      </w:r>
      <w:r>
        <w:rPr>
          <w:b/>
          <w:bCs/>
          <w:color w:val="2E7D32"/>
        </w:rPr>
        <w:t xml:space="preserve">fresh period</w:t>
      </w:r>
      <w:r>
        <w:t xml:space="preserve"> of the same length begins from the date the acknowledgment was </w:t>
      </w:r>
      <w:r>
        <w:rPr>
          <w:b/>
          <w:bCs/>
          <w:color w:val="2E7D32"/>
        </w:rPr>
        <w:t xml:space="preserve">signed</w:t>
      </w:r>
      <w:r>
        <w:t xml:space="preserve">.</w:t>
      </w:r>
    </w:p>
    <w:p>
      <w:pPr>
        <w:pStyle w:val="ListParagraph"/>
        <w:numPr>
          <w:ilvl w:val="0"/>
          <w:numId w:val="15"/>
        </w:numPr>
        <w:spacing w:after="60" w:line="276"/>
      </w:pPr>
      <w:r>
        <w:t xml:space="preserve">Successive acknowledgments, each within time, keep the claim alive.</w:t>
      </w:r>
    </w:p>
    <w:p>
      <w:pPr>
        <w:pStyle w:val="ListParagraph"/>
        <w:numPr>
          <w:ilvl w:val="0"/>
          <w:numId w:val="15"/>
        </w:numPr>
        <w:spacing w:after="60" w:line="276"/>
      </w:pPr>
      <w:r>
        <w:rPr>
          <w:b/>
          <w:bCs/>
          <w:color w:val="2E7D32"/>
        </w:rPr>
        <w:t xml:space="preserve">Execution:</w:t>
      </w:r>
      <w:r>
        <w:t xml:space="preserve"> an application for execution is an application in respect of a "right" (Explanation III), so an acknowledgment of a decree liability gives a fresh period (subject to the six-year cap of s. 48 CPC).</w:t>
      </w:r>
    </w:p>
    <w:p>
      <w:pPr>
        <w:pStyle w:val="Heading3"/>
        <w:keepNext/>
      </w:pPr>
      <w:r>
        <w:t xml:space="preserve">The LHC 2023 questions answered</w:t>
      </w:r>
    </w:p>
    <w:p>
      <w:pPr>
        <w:pStyle w:val="ListParagraph"/>
        <w:numPr>
          <w:ilvl w:val="0"/>
          <w:numId w:val="16"/>
        </w:numPr>
        <w:spacing w:after="60" w:line="276"/>
      </w:pPr>
      <w:r>
        <w:rPr>
          <w:b/>
          <w:bCs/>
          <w:color w:val="2E7D32"/>
        </w:rPr>
        <w:t xml:space="preserve">What constitutes an acknowledgment?</w:t>
      </w:r>
      <w:r>
        <w:t xml:space="preserve"> — the five essentials above.</w:t>
      </w:r>
    </w:p>
    <w:p>
      <w:pPr>
        <w:pStyle w:val="ListParagraph"/>
        <w:numPr>
          <w:ilvl w:val="0"/>
          <w:numId w:val="16"/>
        </w:numPr>
        <w:spacing w:after="60" w:line="276"/>
      </w:pPr>
      <w:r>
        <w:rPr>
          <w:b/>
          <w:bCs/>
          <w:color w:val="2E7D32"/>
        </w:rPr>
        <w:t xml:space="preserve">Undated acknowledgment</w:t>
      </w:r>
      <w:r>
        <w:t xml:space="preserve"> — it is </w:t>
      </w:r>
      <w:r>
        <w:rPr>
          <w:b/>
          <w:bCs/>
          <w:color w:val="2E7D32"/>
        </w:rPr>
        <w:t xml:space="preserve">not</w:t>
      </w:r>
      <w:r>
        <w:t xml:space="preserve"> invalid; </w:t>
      </w:r>
      <w:r>
        <w:rPr>
          <w:b/>
          <w:bCs/>
          <w:color w:val="2E7D32"/>
        </w:rPr>
        <w:t xml:space="preserve">oral evidence</w:t>
      </w:r>
      <w:r>
        <w:t xml:space="preserve"> may be given of the </w:t>
      </w:r>
      <w:r>
        <w:rPr>
          <w:b/>
          <w:bCs/>
          <w:color w:val="2E7D32"/>
        </w:rPr>
        <w:t xml:space="preserve">date</w:t>
      </w:r>
      <w:r>
        <w:t xml:space="preserve"> on which it was signed (s. 19(2)), to show it was signed within time; but oral evidence of its </w:t>
      </w:r>
      <w:r>
        <w:rPr>
          <w:b/>
          <w:bCs/>
          <w:color w:val="2E7D32"/>
        </w:rPr>
        <w:t xml:space="preserve">contents</w:t>
      </w:r>
      <w:r>
        <w:t xml:space="preserve"> is excluded (the writing speaks for itself).</w:t>
      </w:r>
    </w:p>
    <w:p>
      <w:pPr>
        <w:pStyle w:val="ListParagraph"/>
        <w:numPr>
          <w:ilvl w:val="0"/>
          <w:numId w:val="16"/>
        </w:numPr>
        <w:spacing w:after="60" w:line="276"/>
      </w:pPr>
      <w:r>
        <w:rPr>
          <w:b/>
          <w:bCs/>
          <w:color w:val="2E7D32"/>
        </w:rPr>
        <w:t xml:space="preserve">Does an acknowledgment revive an expired limitation?</w:t>
      </w:r>
      <w:r>
        <w:t xml:space="preserve"> — </w:t>
      </w:r>
      <w:r>
        <w:rPr>
          <w:b/>
          <w:bCs/>
          <w:color w:val="2E7D32"/>
        </w:rPr>
        <w:t xml:space="preserve">No.</w:t>
      </w:r>
      <w:r>
        <w:t xml:space="preserve"> Section 19 requires the acknowledgment to be made </w:t>
      </w:r>
      <w:r>
        <w:rPr>
          <w:b/>
          <w:bCs/>
          <w:color w:val="2E7D32"/>
        </w:rPr>
        <w:t xml:space="preserve">before the expiration</w:t>
      </w:r>
      <w:r>
        <w:t xml:space="preserve"> of the period. An acknowledgment made </w:t>
      </w:r>
      <w:r>
        <w:rPr>
          <w:b/>
          <w:bCs/>
          <w:color w:val="2E7D32"/>
        </w:rPr>
        <w:t xml:space="preserve">after</w:t>
      </w:r>
      <w:r>
        <w:t xml:space="preserve"> the claim is barred does </w:t>
      </w:r>
      <w:r>
        <w:rPr>
          <w:b/>
          <w:bCs/>
          <w:color w:val="2E7D32"/>
        </w:rPr>
        <w:t xml:space="preserve">not</w:t>
      </w:r>
      <w:r>
        <w:t xml:space="preserve"> revive it. The creditor's only route then is </w:t>
      </w:r>
      <w:r>
        <w:rPr>
          <w:b/>
          <w:bCs/>
          <w:color w:val="2E7D32"/>
        </w:rPr>
        <w:t xml:space="preserve">s. 25(3) of the Contract Act</w:t>
      </w:r>
      <w:r>
        <w:t xml:space="preserve">: a </w:t>
      </w:r>
      <w:r>
        <w:rPr>
          <w:b/>
          <w:bCs/>
          <w:color w:val="2E7D32"/>
        </w:rPr>
        <w:t xml:space="preserve">written promise to pay</w:t>
      </w:r>
      <w:r>
        <w:t xml:space="preserve">, </w:t>
      </w:r>
      <w:r>
        <w:rPr>
          <w:b/>
          <w:bCs/>
          <w:color w:val="2E7D32"/>
        </w:rPr>
        <w:t xml:space="preserve">signed</w:t>
      </w:r>
      <w:r>
        <w:t xml:space="preserve"> by the debtor, for a time-barred debt, which creates a </w:t>
      </w:r>
      <w:r>
        <w:rPr>
          <w:b/>
          <w:bCs/>
          <w:color w:val="2E7D32"/>
        </w:rPr>
        <w:t xml:space="preserve">new contract</w:t>
      </w:r>
      <w:r>
        <w:t xml:space="preserve"> on which he may sue (Topic 3, Civil Law-I).</w:t>
      </w:r>
    </w:p>
    <w:p>
      <w:pPr>
        <w:pStyle w:val="Heading2"/>
        <w:keepNext/>
      </w:pPr>
      <w:bookmarkStart w:name="_h31" w:id="132"/>
      <w:r>
        <w:t xml:space="preserve">6.2 Part-payment — s. 20</w:t>
      </w:r>
      <w:bookmarkEnd w:id="132"/>
    </w:p>
    <w:p>
      <w:pPr>
        <w:spacing w:after="120" w:line="288"/>
      </w:pPr>
      <w:r>
        <w:t xml:space="preserve">Where </w:t>
      </w:r>
      <w:r>
        <w:rPr>
          <w:b/>
          <w:bCs/>
          <w:color w:val="2E7D32"/>
        </w:rPr>
        <w:t xml:space="preserve">payment on account of a debt</w:t>
      </w:r>
      <w:r>
        <w:t xml:space="preserve"> (or of interest on a legacy) is made </w:t>
      </w:r>
      <w:r>
        <w:rPr>
          <w:b/>
          <w:bCs/>
          <w:color w:val="2E7D32"/>
        </w:rPr>
        <w:t xml:space="preserve">before the expiration</w:t>
      </w:r>
      <w:r>
        <w:t xml:space="preserve"> of the period by the person liable or his duly authorised agent, a </w:t>
      </w:r>
      <w:r>
        <w:rPr>
          <w:b/>
          <w:bCs/>
          <w:color w:val="2E7D32"/>
        </w:rPr>
        <w:t xml:space="preserve">fresh period</w:t>
      </w:r>
      <w:r>
        <w:t xml:space="preserve"> runs from the date of payment — </w:t>
      </w:r>
      <w:r>
        <w:rPr>
          <w:b/>
          <w:bCs/>
          <w:color w:val="2E7D32"/>
        </w:rPr>
        <w:t xml:space="preserve">provided</w:t>
      </w:r>
      <w:r>
        <w:t xml:space="preserve"> that an acknowledgment of the payment appears </w:t>
      </w:r>
      <w:r>
        <w:rPr>
          <w:b/>
          <w:bCs/>
          <w:color w:val="2E7D32"/>
        </w:rPr>
        <w:t xml:space="preserve">in the handwriting of</w:t>
      </w:r>
      <w:r>
        <w:t xml:space="preserve">, or in a writing </w:t>
      </w:r>
      <w:r>
        <w:rPr>
          <w:b/>
          <w:bCs/>
          <w:color w:val="2E7D32"/>
        </w:rPr>
        <w:t xml:space="preserve">signed by</w:t>
      </w:r>
      <w:r>
        <w:t xml:space="preserve">, the person making the payment (s. 20(1)). The receipt of </w:t>
      </w:r>
      <w:r>
        <w:rPr>
          <w:b/>
          <w:bCs/>
          <w:color w:val="2E7D32"/>
        </w:rPr>
        <w:t xml:space="preserve">rent or produce</w:t>
      </w:r>
      <w:r>
        <w:t xml:space="preserve"> of mortgaged land by a mortgagee in possession is deemed payment (s. 20(2)). "Debt" includes money payable under a </w:t>
      </w:r>
      <w:r>
        <w:rPr>
          <w:b/>
          <w:bCs/>
          <w:color w:val="2E7D32"/>
        </w:rPr>
        <w:t xml:space="preserve">decree</w:t>
      </w:r>
      <w:r>
        <w:t xml:space="preserve"> (Explanation).</w:t>
      </w:r>
    </w:p>
    <w:p>
      <w:pPr>
        <w:pStyle w:val="Heading2"/>
        <w:keepNext/>
      </w:pPr>
      <w:bookmarkStart w:name="_h32" w:id="133"/>
      <w:r>
        <w:t xml:space="preserve">6.3 Joint contractors — s. 21(2)</w:t>
      </w:r>
      <w:bookmarkEnd w:id="133"/>
    </w:p>
    <w:p>
      <w:pPr>
        <w:spacing w:after="120" w:line="288"/>
      </w:pPr>
      <w:r>
        <w:t xml:space="preserve">An acknowledgment or payment by </w:t>
      </w:r>
      <w:r>
        <w:rPr>
          <w:b/>
          <w:bCs/>
          <w:color w:val="2E7D32"/>
        </w:rPr>
        <w:t xml:space="preserve">one</w:t>
      </w:r>
      <w:r>
        <w:t xml:space="preserve"> of several joint contractors, partners, executors or mortgagees does </w:t>
      </w:r>
      <w:r>
        <w:rPr>
          <w:b/>
          <w:bCs/>
          <w:color w:val="2E7D32"/>
        </w:rPr>
        <w:t xml:space="preserve">not</w:t>
      </w:r>
      <w:r>
        <w:t xml:space="preserve"> make the </w:t>
      </w:r>
      <w:r>
        <w:rPr>
          <w:b/>
          <w:bCs/>
          <w:color w:val="2E7D32"/>
        </w:rPr>
        <w:t xml:space="preserve">others</w:t>
      </w:r>
      <w:r>
        <w:t xml:space="preserve"> chargeable merely by reason of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F7D32" w:sz="24"/>
              <w:bottom w:val="none" w:color="FFFFFF" w:sz="0"/>
              <w:right w:val="none" w:color="FFFFFF" w:sz="0"/>
            </w:tcBorders>
            <w:shd w:fill="EFF7EF" w:color="auto" w:val="clear"/>
            <w:tcMar>
              <w:top w:type="dxa" w:w="110"/>
              <w:left w:type="dxa" w:w="200"/>
              <w:bottom w:type="dxa" w:w="60"/>
              <w:right w:type="dxa" w:w="180"/>
            </w:tcMar>
          </w:tcPr>
          <w:p>
            <w:pPr>
              <w:keepNext/>
              <w:spacing w:after="80"/>
            </w:pPr>
            <w:r>
              <w:rPr>
                <w:b/>
                <w:bCs/>
                <w:color w:val="2F7D32"/>
                <w:spacing w:val="20"/>
                <w:sz w:val="18"/>
                <w:szCs w:val="18"/>
              </w:rPr>
              <w:t xml:space="preserve">QUICK RECAP</w:t>
            </w:r>
            <w:r>
              <w:rPr>
                <w:color w:val="2F7D32"/>
                <w:sz w:val="18"/>
                <w:szCs w:val="18"/>
              </w:rPr>
              <w:t xml:space="preserve">  ·  </w:t>
            </w:r>
            <w:r>
              <w:rPr>
                <w:b/>
                <w:bCs/>
                <w:color w:val="2F7D32"/>
                <w:sz w:val="18"/>
                <w:szCs w:val="18"/>
              </w:rPr>
              <w:t xml:space="preserve">Chapters 1–6 in ten lines</w:t>
            </w:r>
          </w:p>
          <w:p>
            <w:pPr>
              <w:pStyle w:val="ListParagraph"/>
              <w:numPr>
                <w:ilvl w:val="0"/>
                <w:numId w:val="6"/>
              </w:numPr>
              <w:spacing w:after="60" w:line="276"/>
            </w:pPr>
            <w:r>
              <w:t xml:space="preserve">Policy: finis litium, vigilantibus, repose, evidence, efficiency; bars the remedy, not the right; strictly construed; vested right of the defendant (</w:t>
            </w:r>
            <w:r>
              <w:rPr>
                <w:i/>
                <w:iCs/>
              </w:rPr>
              <w:t xml:space="preserve">Hakim Muhammad Buta</w:t>
            </w:r>
            <w:r>
              <w:t xml:space="preserve">, PLD 1985 SC 153).</w:t>
            </w:r>
          </w:p>
          <w:p>
            <w:pPr>
              <w:pStyle w:val="ListParagraph"/>
              <w:numPr>
                <w:ilvl w:val="0"/>
                <w:numId w:val="6"/>
              </w:numPr>
              <w:spacing w:after="60" w:line="276"/>
            </w:pPr>
            <w:r>
              <w:t xml:space="preserve">s. 3: barred proceedings </w:t>
            </w:r>
            <w:r>
              <w:rPr>
                <w:b/>
                <w:bCs/>
                <w:color w:val="2E7D32"/>
              </w:rPr>
              <w:t xml:space="preserve">shall be dismissed</w:t>
            </w:r>
            <w:r>
              <w:t xml:space="preserve"> though not pleaded — court's duty at any stage; O. VII r. 11(d); issue where facts disputed; O. VII r. 6 exemption pleaded.</w:t>
            </w:r>
          </w:p>
          <w:p>
            <w:pPr>
              <w:pStyle w:val="ListParagraph"/>
              <w:numPr>
                <w:ilvl w:val="0"/>
                <w:numId w:val="6"/>
              </w:numPr>
              <w:spacing w:after="60" w:line="276"/>
            </w:pPr>
            <w:r>
              <w:t xml:space="preserve">s. 4: last day a holiday — file on reopening.</w:t>
            </w:r>
          </w:p>
          <w:p>
            <w:pPr>
              <w:pStyle w:val="ListParagraph"/>
              <w:numPr>
                <w:ilvl w:val="0"/>
                <w:numId w:val="6"/>
              </w:numPr>
              <w:spacing w:after="60" w:line="276"/>
            </w:pPr>
            <w:r>
              <w:t xml:space="preserve">s. 5: appeals, revisions, reviews, leave, and applications made applicable (e.g., O. IX r. 13) — not suits or execution; sufficient cause, each day explained, no preference to Government.</w:t>
            </w:r>
          </w:p>
          <w:p>
            <w:pPr>
              <w:pStyle w:val="ListParagraph"/>
              <w:numPr>
                <w:ilvl w:val="0"/>
                <w:numId w:val="6"/>
              </w:numPr>
              <w:spacing w:after="60" w:line="276"/>
            </w:pPr>
            <w:r>
              <w:t xml:space="preserve">ss. 6–8: disability at accrual — same period after it ceases; joint claimants; max 3 years after cessation; not pre-emption.</w:t>
            </w:r>
          </w:p>
          <w:p>
            <w:pPr>
              <w:pStyle w:val="ListParagraph"/>
              <w:numPr>
                <w:ilvl w:val="0"/>
                <w:numId w:val="6"/>
              </w:numPr>
              <w:spacing w:after="60" w:line="276"/>
            </w:pPr>
            <w:r>
              <w:t xml:space="preserve">s. 9: once time begins, no later disability stops it — exceptions are only statutory (proviso; ss. 13–16, 19–20).</w:t>
            </w:r>
          </w:p>
          <w:p>
            <w:pPr>
              <w:pStyle w:val="ListParagraph"/>
              <w:numPr>
                <w:ilvl w:val="0"/>
                <w:numId w:val="6"/>
              </w:numPr>
              <w:spacing w:after="60" w:line="276"/>
            </w:pPr>
            <w:r>
              <w:t xml:space="preserve">Computation: s. 25 Gregorian; s. 12 first day, judgment day, copy time (from application to intimation); s. 13 absence; s. 14 wrong court (same parties, cause, good faith, defect of jurisdiction); s. 15 stay and notice; s. 16; s. 17; s. 18 fraud from knowledge.</w:t>
            </w:r>
          </w:p>
          <w:p>
            <w:pPr>
              <w:pStyle w:val="ListParagraph"/>
              <w:numPr>
                <w:ilvl w:val="0"/>
                <w:numId w:val="6"/>
              </w:numPr>
              <w:spacing w:after="60" w:line="276"/>
            </w:pPr>
            <w:r>
              <w:t xml:space="preserve">s. 22 new party — from joinder (except devolution); s. 23 continuing wrong; s. 24 special damage.</w:t>
            </w:r>
          </w:p>
          <w:p>
            <w:pPr>
              <w:pStyle w:val="ListParagraph"/>
              <w:numPr>
                <w:ilvl w:val="0"/>
                <w:numId w:val="6"/>
              </w:numPr>
              <w:spacing w:after="60" w:line="276"/>
            </w:pPr>
            <w:r>
              <w:t xml:space="preserve">s. 19: written, signed acknowledgment of subsisting liability </w:t>
            </w:r>
            <w:r>
              <w:rPr>
                <w:b/>
                <w:bCs/>
                <w:color w:val="2E7D32"/>
              </w:rPr>
              <w:t xml:space="preserve">before</w:t>
            </w:r>
            <w:r>
              <w:t xml:space="preserve"> expiry → fresh period; undated — oral evidence of </w:t>
            </w:r>
            <w:r>
              <w:rPr>
                <w:b/>
                <w:bCs/>
                <w:color w:val="2E7D32"/>
              </w:rPr>
              <w:t xml:space="preserve">date</w:t>
            </w:r>
            <w:r>
              <w:t xml:space="preserve"> only; no revival after expiry (then CA s. 25(3)).</w:t>
            </w:r>
          </w:p>
          <w:p>
            <w:pPr>
              <w:pStyle w:val="ListParagraph"/>
              <w:numPr>
                <w:ilvl w:val="0"/>
                <w:numId w:val="6"/>
              </w:numPr>
              <w:spacing w:after="60" w:line="276"/>
            </w:pPr>
            <w:r>
              <w:t xml:space="preserve">s. 20 part-payment before expiry, acknowledged in writing; s. 21(2) one joint contractor does not bind others.</w:t>
            </w:r>
          </w:p>
        </w:tc>
      </w:tr>
    </w:tbl>
    <w:p>
      <w:pPr>
        <w:spacing w:after="80"/>
      </w:pPr>
    </w:p>
    <w:p>
      <w:pPr>
        <w:pStyle w:val="Heading1"/>
        <w:keepNext/>
        <w:pageBreakBefore/>
      </w:pPr>
      <w:bookmarkStart w:name="_h33" w:id="134"/>
      <w:r>
        <w:t xml:space="preserve">Chapter 7 · Trusts, foreign contracts, easements, adverse possession and special laws</w:t>
      </w:r>
      <w:bookmarkEnd w:id="134"/>
    </w:p>
    <w:p>
      <w:pPr>
        <w:pStyle w:val="Heading2"/>
        <w:keepNext/>
      </w:pPr>
      <w:bookmarkStart w:name="_h34" w:id="135"/>
      <w:r>
        <w:t xml:space="preserve">7.1 Express trusts — s. 10</w:t>
      </w:r>
      <w:bookmarkEnd w:id="135"/>
    </w:p>
    <w:p>
      <w:pPr>
        <w:spacing w:after="120" w:line="288"/>
      </w:pPr>
      <w:r>
        <w:t xml:space="preserve">No suit against a person in whom property has become </w:t>
      </w:r>
      <w:r>
        <w:rPr>
          <w:b/>
          <w:bCs/>
          <w:color w:val="2E7D32"/>
        </w:rPr>
        <w:t xml:space="preserve">vested in trust for a specific purpose</w:t>
      </w:r>
      <w:r>
        <w:t xml:space="preserve">, or his legal representatives or assigns (not assigns for value), for </w:t>
      </w:r>
      <w:r>
        <w:rPr>
          <w:b/>
          <w:bCs/>
          <w:color w:val="2E7D32"/>
        </w:rPr>
        <w:t xml:space="preserve">following</w:t>
      </w:r>
      <w:r>
        <w:t xml:space="preserve"> the property or its proceeds, or for an </w:t>
      </w:r>
      <w:r>
        <w:rPr>
          <w:b/>
          <w:bCs/>
          <w:color w:val="2E7D32"/>
        </w:rPr>
        <w:t xml:space="preserve">account</w:t>
      </w:r>
      <w:r>
        <w:t xml:space="preserve">, is barred by any length of time. </w:t>
      </w:r>
      <w:r>
        <w:rPr>
          <w:b/>
          <w:bCs/>
          <w:color w:val="2E7D32"/>
        </w:rPr>
        <w:t xml:space="preserve">Muhammadan religious or charitable endowments</w:t>
      </w:r>
      <w:r>
        <w:t xml:space="preserve"> are deemed property vested in trust, and the manager (</w:t>
      </w:r>
      <w:r>
        <w:rPr>
          <w:b/>
          <w:bCs/>
          <w:color w:val="2E7D32"/>
        </w:rPr>
        <w:t xml:space="preserve">mutawalli</w:t>
      </w:r>
      <w:r>
        <w:t xml:space="preserve">) a trustee (Explanation). So a suit to recover waqf property from the mutawalli, or for accounts, is not barred.</w:t>
      </w:r>
    </w:p>
    <w:p>
      <w:pPr>
        <w:pStyle w:val="Heading2"/>
        <w:keepNext/>
      </w:pPr>
      <w:bookmarkStart w:name="_h35" w:id="136"/>
      <w:r>
        <w:t xml:space="preserve">7.2 Foreign contracts — s. 11</w:t>
      </w:r>
      <w:bookmarkEnd w:id="136"/>
    </w:p>
    <w:p>
      <w:pPr>
        <w:spacing w:after="120" w:line="288"/>
      </w:pPr>
      <w:r>
        <w:t xml:space="preserve">Suits in Pakistan on contracts made abroad are governed by </w:t>
      </w:r>
      <w:r>
        <w:rPr>
          <w:b/>
          <w:bCs/>
          <w:color w:val="2E7D32"/>
        </w:rPr>
        <w:t xml:space="preserve">this</w:t>
      </w:r>
      <w:r>
        <w:t xml:space="preserve"> Act; a foreign rule of limitation is a defence only if it </w:t>
      </w:r>
      <w:r>
        <w:rPr>
          <w:b/>
          <w:bCs/>
          <w:color w:val="2E7D32"/>
        </w:rPr>
        <w:t xml:space="preserve">extinguished the contract</w:t>
      </w:r>
      <w:r>
        <w:t xml:space="preserve"> and the parties were </w:t>
      </w:r>
      <w:r>
        <w:rPr>
          <w:b/>
          <w:bCs/>
          <w:color w:val="2E7D32"/>
        </w:rPr>
        <w:t xml:space="preserve">domiciled</w:t>
      </w:r>
      <w:r>
        <w:t xml:space="preserve"> in that country during the period.</w:t>
      </w:r>
    </w:p>
    <w:p>
      <w:pPr>
        <w:pStyle w:val="Heading2"/>
        <w:keepNext/>
      </w:pPr>
      <w:bookmarkStart w:name="_h36" w:id="137"/>
      <w:r>
        <w:t xml:space="preserve">7.3 Easements by prescription — ss. 26, 27</w:t>
      </w:r>
      <w:bookmarkEnd w:id="137"/>
    </w:p>
    <w:p>
      <w:pPr>
        <w:pStyle w:val="ListParagraph"/>
        <w:numPr>
          <w:ilvl w:val="0"/>
          <w:numId w:val="17"/>
        </w:numPr>
        <w:spacing w:after="60" w:line="276"/>
      </w:pPr>
      <w:r>
        <w:rPr>
          <w:b/>
          <w:bCs/>
          <w:color w:val="2E7D32"/>
        </w:rPr>
        <w:t xml:space="preserve">Light and air</w:t>
      </w:r>
      <w:r>
        <w:t xml:space="preserve"> to a building, enjoyed </w:t>
      </w:r>
      <w:r>
        <w:rPr>
          <w:b/>
          <w:bCs/>
          <w:color w:val="2E7D32"/>
        </w:rPr>
        <w:t xml:space="preserve">peaceably as an easement and as of right, without interruption, for 20 years</w:t>
      </w:r>
      <w:r>
        <w:t xml:space="preserve">; and any </w:t>
      </w:r>
      <w:r>
        <w:rPr>
          <w:b/>
          <w:bCs/>
          <w:color w:val="2E7D32"/>
        </w:rPr>
        <w:t xml:space="preserve">way, watercourse, use of water or other easement</w:t>
      </w:r>
      <w:r>
        <w:t xml:space="preserve">, enjoyed </w:t>
      </w:r>
      <w:r>
        <w:rPr>
          <w:b/>
          <w:bCs/>
          <w:color w:val="2E7D32"/>
        </w:rPr>
        <w:t xml:space="preserve">peaceably and openly</w:t>
      </w:r>
      <w:r>
        <w:t xml:space="preserve">, by a person claiming title as an easement and as of right, without interruption, for </w:t>
      </w:r>
      <w:r>
        <w:rPr>
          <w:b/>
          <w:bCs/>
          <w:color w:val="2E7D32"/>
        </w:rPr>
        <w:t xml:space="preserve">20 years</w:t>
      </w:r>
      <w:r>
        <w:t xml:space="preserve"> — the right becomes </w:t>
      </w:r>
      <w:r>
        <w:rPr>
          <w:b/>
          <w:bCs/>
          <w:color w:val="2E7D32"/>
        </w:rPr>
        <w:t xml:space="preserve">absolute and indefeasible</w:t>
      </w:r>
      <w:r>
        <w:t xml:space="preserve"> (s. 26(1)).</w:t>
      </w:r>
    </w:p>
    <w:p>
      <w:pPr>
        <w:pStyle w:val="ListParagraph"/>
        <w:numPr>
          <w:ilvl w:val="0"/>
          <w:numId w:val="17"/>
        </w:numPr>
        <w:spacing w:after="60" w:line="276"/>
      </w:pPr>
      <w:r>
        <w:t xml:space="preserve">The 20 years must end </w:t>
      </w:r>
      <w:r>
        <w:rPr>
          <w:b/>
          <w:bCs/>
          <w:color w:val="2E7D32"/>
        </w:rPr>
        <w:t xml:space="preserve">within two years before the suit</w:t>
      </w:r>
      <w:r>
        <w:t xml:space="preserve"> in which the claim is contested.</w:t>
      </w:r>
    </w:p>
    <w:p>
      <w:pPr>
        <w:pStyle w:val="ListParagraph"/>
        <w:numPr>
          <w:ilvl w:val="0"/>
          <w:numId w:val="17"/>
        </w:numPr>
        <w:spacing w:after="60" w:line="276"/>
      </w:pPr>
      <w:r>
        <w:t xml:space="preserve">Against the </w:t>
      </w:r>
      <w:r>
        <w:rPr>
          <w:b/>
          <w:bCs/>
          <w:color w:val="2E7D32"/>
        </w:rPr>
        <w:t xml:space="preserve">Government</w:t>
      </w:r>
      <w:r>
        <w:t xml:space="preserve"> — </w:t>
      </w:r>
      <w:r>
        <w:rPr>
          <w:b/>
          <w:bCs/>
          <w:color w:val="2E7D32"/>
        </w:rPr>
        <w:t xml:space="preserve">60 years</w:t>
      </w:r>
      <w:r>
        <w:t xml:space="preserve"> (s. 26(2)).</w:t>
      </w:r>
    </w:p>
    <w:p>
      <w:pPr>
        <w:pStyle w:val="ListParagraph"/>
        <w:numPr>
          <w:ilvl w:val="0"/>
          <w:numId w:val="17"/>
        </w:numPr>
        <w:spacing w:after="60" w:line="276"/>
      </w:pPr>
      <w:r>
        <w:rPr>
          <w:b/>
          <w:bCs/>
          <w:color w:val="2E7D32"/>
        </w:rPr>
        <w:t xml:space="preserve">Interruption</w:t>
      </w:r>
      <w:r>
        <w:t xml:space="preserve"> means an actual discontinuance by </w:t>
      </w:r>
      <w:r>
        <w:rPr>
          <w:b/>
          <w:bCs/>
          <w:color w:val="2E7D32"/>
        </w:rPr>
        <w:t xml:space="preserve">obstruction</w:t>
      </w:r>
      <w:r>
        <w:t xml:space="preserve"> by another, </w:t>
      </w:r>
      <w:r>
        <w:rPr>
          <w:b/>
          <w:bCs/>
          <w:color w:val="2E7D32"/>
        </w:rPr>
        <w:t xml:space="preserve">submitted to or acquiesced in for one year</w:t>
      </w:r>
      <w:r>
        <w:t xml:space="preserve"> after notice (Explanation).</w:t>
      </w:r>
    </w:p>
    <w:p>
      <w:pPr>
        <w:pStyle w:val="ListParagraph"/>
        <w:numPr>
          <w:ilvl w:val="0"/>
          <w:numId w:val="17"/>
        </w:numPr>
        <w:spacing w:after="60" w:line="276"/>
      </w:pPr>
      <w:r>
        <w:rPr>
          <w:b/>
          <w:bCs/>
          <w:color w:val="2E7D32"/>
        </w:rPr>
        <w:t xml:space="preserve">Permission</w:t>
      </w:r>
      <w:r>
        <w:t xml:space="preserve"> defeats the claim — </w:t>
      </w:r>
      <w:r>
        <w:rPr>
          <w:i/>
          <w:iCs/>
        </w:rPr>
        <w:t xml:space="preserve">illus. (b)</w:t>
      </w:r>
      <w:r>
        <w:t xml:space="preserve">: the plaintiff once asked the defendant's leave to use the way — suit dismissed (enjoyment was not "as of right").</w:t>
      </w:r>
    </w:p>
    <w:p>
      <w:pPr>
        <w:pStyle w:val="ListParagraph"/>
        <w:numPr>
          <w:ilvl w:val="0"/>
          <w:numId w:val="17"/>
        </w:numPr>
        <w:spacing w:after="60" w:line="276"/>
      </w:pPr>
      <w:r>
        <w:rPr>
          <w:b/>
          <w:bCs/>
          <w:color w:val="2E7D32"/>
        </w:rPr>
        <w:t xml:space="preserve">s. 27</w:t>
      </w:r>
      <w:r>
        <w:t xml:space="preserve"> — time during which the servient land was held by a </w:t>
      </w:r>
      <w:r>
        <w:rPr>
          <w:b/>
          <w:bCs/>
          <w:color w:val="2E7D32"/>
        </w:rPr>
        <w:t xml:space="preserve">life tenant</w:t>
      </w:r>
      <w:r>
        <w:t xml:space="preserve"> or a lessee for more than three years is </w:t>
      </w:r>
      <w:r>
        <w:rPr>
          <w:b/>
          <w:bCs/>
          <w:color w:val="2E7D32"/>
        </w:rPr>
        <w:t xml:space="preserve">excluded</w:t>
      </w:r>
      <w:r>
        <w:t xml:space="preserve">, if the reversioner resists within three years after the interest ends.</w:t>
      </w:r>
    </w:p>
    <w:p>
      <w:pPr>
        <w:pStyle w:val="ListParagraph"/>
        <w:numPr>
          <w:ilvl w:val="0"/>
          <w:numId w:val="17"/>
        </w:numPr>
        <w:spacing w:after="60" w:line="276"/>
      </w:pPr>
      <w:r>
        <w:t xml:space="preserve">Where the </w:t>
      </w:r>
      <w:r>
        <w:rPr>
          <w:b/>
          <w:bCs/>
          <w:color w:val="2E7D32"/>
        </w:rPr>
        <w:t xml:space="preserve">Easements Act 1882</w:t>
      </w:r>
      <w:r>
        <w:t xml:space="preserve"> extends, ss. 26–27 do not apply; that Act (s. 15) contains a parallel 20-year rule.</w:t>
      </w:r>
    </w:p>
    <w:p>
      <w:pPr>
        <w:pStyle w:val="Heading2"/>
        <w:keepNext/>
      </w:pPr>
      <w:bookmarkStart w:name="_h37" w:id="138"/>
      <w:r>
        <w:t xml:space="preserve">7.4 Adverse possession in Pakistan after 1995</w:t>
      </w:r>
      <w:bookmarkEnd w:id="138"/>
    </w:p>
    <w:p>
      <w:pPr>
        <w:pStyle w:val="ListParagraph"/>
        <w:numPr>
          <w:ilvl w:val="0"/>
          <w:numId w:val="18"/>
        </w:numPr>
        <w:spacing w:after="60" w:line="276"/>
      </w:pPr>
      <w:r>
        <w:t xml:space="preserve">Formerly, </w:t>
      </w:r>
      <w:r>
        <w:rPr>
          <w:b/>
          <w:bCs/>
          <w:color w:val="2E7D32"/>
        </w:rPr>
        <w:t xml:space="preserve">Article 144</w:t>
      </w:r>
      <w:r>
        <w:t xml:space="preserve"> gave </w:t>
      </w:r>
      <w:r>
        <w:rPr>
          <w:b/>
          <w:bCs/>
          <w:color w:val="2E7D32"/>
        </w:rPr>
        <w:t xml:space="preserve">12 years</w:t>
      </w:r>
      <w:r>
        <w:t xml:space="preserve"> for a suit for possession based on title, running from when the defendant's possession became </w:t>
      </w:r>
      <w:r>
        <w:rPr>
          <w:b/>
          <w:bCs/>
          <w:color w:val="2E7D32"/>
        </w:rPr>
        <w:t xml:space="preserve">adverse</w:t>
      </w:r>
      <w:r>
        <w:t xml:space="preserve">; and </w:t>
      </w:r>
      <w:r>
        <w:rPr>
          <w:b/>
          <w:bCs/>
          <w:color w:val="2E7D32"/>
        </w:rPr>
        <w:t xml:space="preserve">s. 28</w:t>
      </w:r>
      <w:r>
        <w:t xml:space="preserve"> </w:t>
      </w:r>
      <w:r>
        <w:rPr>
          <w:b/>
          <w:bCs/>
          <w:color w:val="2E7D32"/>
        </w:rPr>
        <w:t xml:space="preserve">extinguished</w:t>
      </w:r>
      <w:r>
        <w:t xml:space="preserve"> the owner's </w:t>
      </w:r>
      <w:r>
        <w:rPr>
          <w:b/>
          <w:bCs/>
          <w:color w:val="2E7D32"/>
        </w:rPr>
        <w:t xml:space="preserve">title</w:t>
      </w:r>
      <w:r>
        <w:t xml:space="preserve"> at the end of that period, so the adverse possessor acquired title.</w:t>
      </w:r>
    </w:p>
    <w:p>
      <w:pPr>
        <w:pStyle w:val="ListParagraph"/>
        <w:numPr>
          <w:ilvl w:val="0"/>
          <w:numId w:val="18"/>
        </w:numPr>
        <w:spacing w:after="60" w:line="276"/>
      </w:pPr>
      <w:r>
        <w:t xml:space="preserve">In </w:t>
      </w:r>
      <w:r>
        <w:rPr>
          <w:i/>
          <w:iCs/>
        </w:rPr>
        <w:t xml:space="preserve">Maqbool Ahmad v. Hakoomat-e-Pakistan</w:t>
      </w:r>
      <w:r>
        <w:t xml:space="preserve"> (1991 SCMR 2063), the </w:t>
      </w:r>
      <w:r>
        <w:rPr>
          <w:b/>
          <w:bCs/>
          <w:color w:val="2E7D32"/>
        </w:rPr>
        <w:t xml:space="preserve">Shariat Appellate Bench</w:t>
      </w:r>
      <w:r>
        <w:t xml:space="preserve"> of the Supreme Court held that acquiring title to another's property by </w:t>
      </w:r>
      <w:r>
        <w:rPr>
          <w:b/>
          <w:bCs/>
          <w:color w:val="2E7D32"/>
        </w:rPr>
        <w:t xml:space="preserve">adverse possession</w:t>
      </w:r>
      <w:r>
        <w:t xml:space="preserve"> is repugnant to the Injunctions of Islam.</w:t>
      </w:r>
    </w:p>
    <w:p>
      <w:pPr>
        <w:pStyle w:val="ListParagraph"/>
        <w:numPr>
          <w:ilvl w:val="0"/>
          <w:numId w:val="18"/>
        </w:numPr>
        <w:spacing w:after="60" w:line="276"/>
      </w:pPr>
      <w:r>
        <w:rPr>
          <w:b/>
          <w:bCs/>
          <w:color w:val="2E7D32"/>
        </w:rPr>
        <w:t xml:space="preserve">Act II of 1995</w:t>
      </w:r>
      <w:r>
        <w:t xml:space="preserve"> therefore </w:t>
      </w:r>
      <w:r>
        <w:rPr>
          <w:b/>
          <w:bCs/>
          <w:color w:val="2E7D32"/>
        </w:rPr>
        <w:t xml:space="preserve">omitted s. 28 and Article 144</w:t>
      </w:r>
      <w:r>
        <w:t xml:space="preserve">.</w:t>
      </w:r>
    </w:p>
    <w:p>
      <w:pPr>
        <w:pStyle w:val="ListParagraph"/>
        <w:numPr>
          <w:ilvl w:val="0"/>
          <w:numId w:val="18"/>
        </w:numPr>
        <w:spacing w:after="60" w:line="276"/>
      </w:pPr>
      <w:r>
        <w:rPr>
          <w:b/>
          <w:bCs/>
          <w:color w:val="2E7D32"/>
        </w:rPr>
        <w:t xml:space="preserve">Consequences:</w:t>
      </w:r>
      <w:r>
        <w:t xml:space="preserve"> (i) adverse possession </w:t>
      </w:r>
      <w:r>
        <w:rPr>
          <w:b/>
          <w:bCs/>
          <w:color w:val="2E7D32"/>
        </w:rPr>
        <w:t xml:space="preserve">no longer confers title</w:t>
      </w:r>
      <w:r>
        <w:t xml:space="preserve">, and the owner's title is not extinguished by lapse of time; (ii) a suit for possession by a plaintiff </w:t>
      </w:r>
      <w:r>
        <w:rPr>
          <w:b/>
          <w:bCs/>
          <w:color w:val="2E7D32"/>
        </w:rPr>
        <w:t xml:space="preserve">dispossessed</w:t>
      </w:r>
      <w:r>
        <w:t xml:space="preserve"> while in possession is governed by </w:t>
      </w:r>
      <w:r>
        <w:rPr>
          <w:b/>
          <w:bCs/>
          <w:color w:val="2E7D32"/>
        </w:rPr>
        <w:t xml:space="preserve">Article 142</w:t>
      </w:r>
      <w:r>
        <w:t xml:space="preserve"> (12 years from dispossession); (iii) other suits for possession based on title fall under the remaining Articles or the residuary </w:t>
      </w:r>
      <w:r>
        <w:rPr>
          <w:b/>
          <w:bCs/>
          <w:color w:val="2E7D32"/>
        </w:rPr>
        <w:t xml:space="preserve">Article 120</w:t>
      </w:r>
      <w:r>
        <w:t xml:space="preserve">, as the courts have applied them on the facts; (iv) adverse possession may still be relevant as a </w:t>
      </w:r>
      <w:r>
        <w:rPr>
          <w:b/>
          <w:bCs/>
          <w:color w:val="2E7D32"/>
        </w:rPr>
        <w:t xml:space="preserve">defence</w:t>
      </w:r>
      <w:r>
        <w:t xml:space="preserve"> to limitation where a specific Article applies, but </w:t>
      </w:r>
      <w:r>
        <w:rPr>
          <w:b/>
          <w:bCs/>
          <w:color w:val="2E7D32"/>
        </w:rPr>
        <w:t xml:space="preserve">not</w:t>
      </w:r>
      <w:r>
        <w:t xml:space="preserve"> as a source of </w:t>
      </w:r>
      <w:r>
        <w:rPr>
          <w:b/>
          <w:bCs/>
          <w:color w:val="2E7D32"/>
        </w:rPr>
        <w:t xml:space="preserve">title</w:t>
      </w:r>
      <w:r>
        <w:t xml:space="preserve">.</w:t>
      </w:r>
    </w:p>
    <w:p>
      <w:pPr>
        <w:pStyle w:val="Heading2"/>
        <w:keepNext/>
      </w:pPr>
      <w:bookmarkStart w:name="_h38" w:id="139"/>
      <w:r>
        <w:t xml:space="preserve">7.5 Special and local laws — s. 29(2)</w:t>
      </w:r>
      <w:bookmarkEnd w:id="139"/>
    </w:p>
    <w:p>
      <w:pPr>
        <w:spacing w:after="120" w:line="288"/>
      </w:pPr>
      <w:r>
        <w:t xml:space="preserve">Where a </w:t>
      </w:r>
      <w:r>
        <w:rPr>
          <w:b/>
          <w:bCs/>
          <w:color w:val="2E7D32"/>
        </w:rPr>
        <w:t xml:space="preserve">special or local law</w:t>
      </w:r>
      <w:r>
        <w:t xml:space="preserve"> prescribes a period </w:t>
      </w:r>
      <w:r>
        <w:rPr>
          <w:b/>
          <w:bCs/>
          <w:color w:val="2E7D32"/>
        </w:rPr>
        <w:t xml:space="preserve">different</w:t>
      </w:r>
      <w:r>
        <w:t xml:space="preserve"> from the First Schedule: (a) </w:t>
      </w:r>
      <w:r>
        <w:rPr>
          <w:b/>
          <w:bCs/>
          <w:color w:val="2E7D32"/>
        </w:rPr>
        <w:t xml:space="preserve">s. 3</w:t>
      </w:r>
      <w:r>
        <w:t xml:space="preserve"> applies as if that period were in the Schedule; (b) </w:t>
      </w:r>
      <w:r>
        <w:rPr>
          <w:b/>
          <w:bCs/>
          <w:color w:val="2E7D32"/>
        </w:rPr>
        <w:t xml:space="preserve">ss. 4, 9 to 18 and 22</w:t>
      </w:r>
      <w:r>
        <w:t xml:space="preserve"> apply </w:t>
      </w:r>
      <w:r>
        <w:rPr>
          <w:b/>
          <w:bCs/>
          <w:color w:val="2E7D32"/>
        </w:rPr>
        <w:t xml:space="preserve">unless expressly excluded</w:t>
      </w:r>
      <w:r>
        <w:t xml:space="preserve"> by the special law; (c) the remaining provisions (including </w:t>
      </w:r>
      <w:r>
        <w:rPr>
          <w:b/>
          <w:bCs/>
          <w:color w:val="2E7D32"/>
        </w:rPr>
        <w:t xml:space="preserve">s. 5</w:t>
      </w:r>
      <w:r>
        <w:t xml:space="preserve">) </w:t>
      </w:r>
      <w:r>
        <w:rPr>
          <w:b/>
          <w:bCs/>
          <w:color w:val="2E7D32"/>
        </w:rPr>
        <w:t xml:space="preserve">do not apply</w:t>
      </w:r>
      <w:r>
        <w:t xml:space="preserve"> — unless the special law itself applies them. So </w:t>
      </w:r>
      <w:r>
        <w:rPr>
          <w:b/>
          <w:bCs/>
          <w:color w:val="2E7D32"/>
        </w:rPr>
        <w:t xml:space="preserve">s. 5</w:t>
      </w:r>
      <w:r>
        <w:t xml:space="preserve"> does not help in a special-law appeal unless that law makes it applicable. Section 29(1) saves </w:t>
      </w:r>
      <w:r>
        <w:rPr>
          <w:b/>
          <w:bCs/>
          <w:color w:val="2E7D32"/>
        </w:rPr>
        <w:t xml:space="preserve">s. 25 of the Contract Act</w:t>
      </w:r>
      <w:r>
        <w:t xml:space="preserve">.</w:t>
      </w:r>
    </w:p>
    <w:p>
      <w:pPr>
        <w:pStyle w:val="Heading2"/>
        <w:keepNext/>
      </w:pPr>
      <w:bookmarkStart w:name="_h39" w:id="140"/>
      <w:r>
        <w:t xml:space="preserve">7.6 Does limitation shield a transaction tainted by illegality or fraud? (LHC 2022)</w:t>
      </w:r>
      <w:bookmarkEnd w:id="140"/>
    </w:p>
    <w:p>
      <w:pPr>
        <w:pStyle w:val="ListParagraph"/>
        <w:numPr>
          <w:ilvl w:val="0"/>
          <w:numId w:val="19"/>
        </w:numPr>
        <w:spacing w:after="60" w:line="276"/>
      </w:pPr>
      <w:r>
        <w:rPr>
          <w:b/>
          <w:bCs/>
          <w:color w:val="2E7D32"/>
        </w:rPr>
        <w:t xml:space="preserve">Fraud</w:t>
      </w:r>
      <w:r>
        <w:t xml:space="preserve"> — s. 18 postpones the start of time until </w:t>
      </w:r>
      <w:r>
        <w:rPr>
          <w:b/>
          <w:bCs/>
          <w:color w:val="2E7D32"/>
        </w:rPr>
        <w:t xml:space="preserve">knowledge</w:t>
      </w:r>
      <w:r>
        <w:t xml:space="preserve"> of the fraud; and Art. 95 (to set aside a decree obtained by fraud — 3 years from knowledge) and Art. 91 (cancellation — 3 years from knowledge of the facts) start time from </w:t>
      </w:r>
      <w:r>
        <w:rPr>
          <w:b/>
          <w:bCs/>
          <w:color w:val="2E7D32"/>
        </w:rPr>
        <w:t xml:space="preserve">knowledge</w:t>
      </w:r>
      <w:r>
        <w:t xml:space="preserve">. A fraudster cannot rely on limitation while he keeps the victim in ignorance: </w:t>
      </w:r>
      <w:r>
        <w:rPr>
          <w:i/>
          <w:iCs/>
        </w:rPr>
        <w:t xml:space="preserve">fraus omnia corrumpit</w:t>
      </w:r>
      <w:r>
        <w:t xml:space="preserve">.</w:t>
      </w:r>
    </w:p>
    <w:p>
      <w:pPr>
        <w:pStyle w:val="ListParagraph"/>
        <w:numPr>
          <w:ilvl w:val="0"/>
          <w:numId w:val="19"/>
        </w:numPr>
        <w:spacing w:after="60" w:line="276"/>
      </w:pPr>
      <w:r>
        <w:rPr>
          <w:b/>
          <w:bCs/>
          <w:color w:val="2E7D32"/>
        </w:rPr>
        <w:t xml:space="preserve">Void transactions and orders</w:t>
      </w:r>
      <w:r>
        <w:t xml:space="preserve"> — the superior courts have often said that </w:t>
      </w:r>
      <w:r>
        <w:rPr>
          <w:b/>
          <w:bCs/>
          <w:color w:val="2E7D32"/>
        </w:rPr>
        <w:t xml:space="preserve">no limitation runs</w:t>
      </w:r>
      <w:r>
        <w:t xml:space="preserve"> against a </w:t>
      </w:r>
      <w:r>
        <w:rPr>
          <w:b/>
          <w:bCs/>
          <w:color w:val="2E7D32"/>
        </w:rPr>
        <w:t xml:space="preserve">void</w:t>
      </w:r>
      <w:r>
        <w:t xml:space="preserve"> order or a transaction that is a </w:t>
      </w:r>
      <w:r>
        <w:rPr>
          <w:b/>
          <w:bCs/>
          <w:color w:val="2E7D32"/>
        </w:rPr>
        <w:t xml:space="preserve">nullity</w:t>
      </w:r>
      <w:r>
        <w:t xml:space="preserve"> (e.g., without jurisdiction, or a forged deed), because a void act needs no setting aside and may be ignored. But where a person seeks </w:t>
      </w:r>
      <w:r>
        <w:rPr>
          <w:b/>
          <w:bCs/>
          <w:color w:val="2E7D32"/>
        </w:rPr>
        <w:t xml:space="preserve">affirmative relief</w:t>
      </w:r>
      <w:r>
        <w:t xml:space="preserve"> — cancellation, possession, a declaration — the courts have also held that he must sue within the period prescribed for that relief, computed from </w:t>
      </w:r>
      <w:r>
        <w:rPr>
          <w:b/>
          <w:bCs/>
          <w:color w:val="2E7D32"/>
        </w:rPr>
        <w:t xml:space="preserve">knowledge</w:t>
      </w:r>
      <w:r>
        <w:t xml:space="preserve"> of the void act. The prevailing balance is: a </w:t>
      </w:r>
      <w:r>
        <w:rPr>
          <w:b/>
          <w:bCs/>
          <w:color w:val="2E7D32"/>
        </w:rPr>
        <w:t xml:space="preserve">nullity</w:t>
      </w:r>
      <w:r>
        <w:t xml:space="preserve"> can be </w:t>
      </w:r>
      <w:r>
        <w:rPr>
          <w:b/>
          <w:bCs/>
          <w:color w:val="2E7D32"/>
        </w:rPr>
        <w:t xml:space="preserve">ignored</w:t>
      </w:r>
      <w:r>
        <w:t xml:space="preserve"> and resisted at any time (e.g., as a defence), but a suit for </w:t>
      </w:r>
      <w:r>
        <w:rPr>
          <w:b/>
          <w:bCs/>
          <w:color w:val="2E7D32"/>
        </w:rPr>
        <w:t xml:space="preserve">consequential relief</w:t>
      </w:r>
      <w:r>
        <w:t xml:space="preserve"> should be brought within time, starting from knowledge.</w:t>
      </w:r>
    </w:p>
    <w:p>
      <w:pPr>
        <w:pStyle w:val="ListParagraph"/>
        <w:numPr>
          <w:ilvl w:val="0"/>
          <w:numId w:val="19"/>
        </w:numPr>
        <w:spacing w:after="60" w:line="276"/>
      </w:pPr>
      <w:r>
        <w:rPr>
          <w:b/>
          <w:bCs/>
          <w:color w:val="2E7D32"/>
        </w:rPr>
        <w:t xml:space="preserve">Co-owners and inheritance</w:t>
      </w:r>
      <w:r>
        <w:t xml:space="preserve"> — limitation does not run against a </w:t>
      </w:r>
      <w:r>
        <w:rPr>
          <w:b/>
          <w:bCs/>
          <w:color w:val="2E7D32"/>
        </w:rPr>
        <w:t xml:space="preserve">co-sharer</w:t>
      </w:r>
      <w:r>
        <w:t xml:space="preserve"> in respect of his share so long as the property is in joint possession (possession of one is possession of all); heirs omitted from an inheritance mutation may claim their shares despite long delay (Topic 2).</w:t>
      </w:r>
    </w:p>
    <w:p>
      <w:pPr>
        <w:pStyle w:val="ListParagraph"/>
        <w:numPr>
          <w:ilvl w:val="0"/>
          <w:numId w:val="19"/>
        </w:numPr>
        <w:spacing w:after="60" w:line="276"/>
      </w:pPr>
      <w:r>
        <w:rPr>
          <w:b/>
          <w:bCs/>
          <w:color w:val="2E7D32"/>
        </w:rPr>
        <w:t xml:space="preserve">Conclusion</w:t>
      </w:r>
      <w:r>
        <w:t xml:space="preserve"> — limitation does </w:t>
      </w:r>
      <w:r>
        <w:rPr>
          <w:b/>
          <w:bCs/>
          <w:color w:val="2E7D32"/>
        </w:rPr>
        <w:t xml:space="preserve">not</w:t>
      </w:r>
      <w:r>
        <w:t xml:space="preserve"> sanctify </w:t>
      </w:r>
      <w:r>
        <w:rPr>
          <w:b/>
          <w:bCs/>
          <w:color w:val="2E7D32"/>
        </w:rPr>
        <w:t xml:space="preserve">fraud</w:t>
      </w:r>
      <w:r>
        <w:t xml:space="preserve"> or </w:t>
      </w:r>
      <w:r>
        <w:rPr>
          <w:b/>
          <w:bCs/>
          <w:color w:val="2E7D32"/>
        </w:rPr>
        <w:t xml:space="preserve">nullities</w:t>
      </w:r>
      <w:r>
        <w:t xml:space="preserve">, but it does protect against </w:t>
      </w:r>
      <w:r>
        <w:rPr>
          <w:b/>
          <w:bCs/>
          <w:color w:val="2E7D32"/>
        </w:rPr>
        <w:t xml:space="preserve">stale</w:t>
      </w:r>
      <w:r>
        <w:t xml:space="preserve"> claims once the claimant </w:t>
      </w:r>
      <w:r>
        <w:rPr>
          <w:b/>
          <w:bCs/>
          <w:color w:val="2E7D32"/>
        </w:rPr>
        <w:t xml:space="preserve">knew</w:t>
      </w:r>
      <w:r>
        <w:t xml:space="preserve"> of his rights and slept over them.</w:t>
      </w:r>
    </w:p>
    <w:p>
      <w:pPr>
        <w:pStyle w:val="Heading1"/>
        <w:keepNext/>
        <w:pageBreakBefore/>
      </w:pPr>
      <w:bookmarkStart w:name="_h40" w:id="141"/>
      <w:r>
        <w:t xml:space="preserve">Chapter 8 · The key Articles of the First Schedule</w:t>
      </w:r>
      <w:bookmarkEnd w:id="141"/>
    </w:p>
    <w:p>
      <w:pPr>
        <w:spacing w:after="120" w:line="288"/>
      </w:pPr>
      <w:r>
        <w:t xml:space="preserve">The Schedule is arranged by </w:t>
      </w:r>
      <w:r>
        <w:rPr>
          <w:b/>
          <w:bCs/>
          <w:color w:val="2E7D32"/>
        </w:rPr>
        <w:t xml:space="preserve">period</w:t>
      </w:r>
      <w:r>
        <w:t xml:space="preserve">. In the exam you have the bare Act; know where to look and the </w:t>
      </w:r>
      <w:r>
        <w:rPr>
          <w:b/>
          <w:bCs/>
          <w:color w:val="2E7D32"/>
        </w:rPr>
        <w:t xml:space="preserve">starting point</w:t>
      </w:r>
      <w:r>
        <w:t xml:space="preserve"> ("time from which period begins to 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83"/>
        <w:gridCol w:w="3971"/>
        <w:gridCol w:w="1083"/>
        <w:gridCol w:w="2889"/>
      </w:tblGrid>
      <w:tr>
        <w:trPr>
          <w:cantSplit/>
          <w:tblHeader/>
        </w:trPr>
        <w:tc>
          <w:tcPr>
            <w:tcW w:type="dxa" w:w="1083"/>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Art.</w:t>
            </w:r>
          </w:p>
        </w:tc>
        <w:tc>
          <w:tcPr>
            <w:tcW w:type="dxa" w:w="3971"/>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Suit / appeal / application</w:t>
            </w:r>
          </w:p>
        </w:tc>
        <w:tc>
          <w:tcPr>
            <w:tcW w:type="dxa" w:w="1083"/>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Period</w:t>
            </w:r>
          </w:p>
        </w:tc>
        <w:tc>
          <w:tcPr>
            <w:tcW w:type="dxa" w:w="2889"/>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Time runs from</w:t>
            </w:r>
          </w:p>
        </w:tc>
      </w:tr>
      <w:tr>
        <w:trPr>
          <w:cantSplit/>
          <w:tblHeader w:val="false"/>
        </w:trPr>
        <w:tc>
          <w:tcPr>
            <w:tcW w:type="dxa" w:w="108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3</w:t>
            </w:r>
          </w:p>
        </w:tc>
        <w:tc>
          <w:tcPr>
            <w:tcW w:type="dxa" w:w="397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To recover possession under </w:t>
            </w:r>
            <w:r>
              <w:rPr>
                <w:b/>
                <w:bCs/>
                <w:color w:val="2E7D32"/>
                <w:sz w:val="20"/>
                <w:szCs w:val="20"/>
              </w:rPr>
              <w:t xml:space="preserve">s. 9 SRA</w:t>
            </w:r>
            <w:r>
              <w:rPr>
                <w:sz w:val="20"/>
                <w:szCs w:val="20"/>
              </w:rPr>
              <w:t xml:space="preserve"> (summary suit by a person dispossessed without his consent)</w:t>
            </w:r>
          </w:p>
        </w:tc>
        <w:tc>
          <w:tcPr>
            <w:tcW w:type="dxa" w:w="108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6 months</w:t>
            </w:r>
          </w:p>
        </w:tc>
        <w:tc>
          <w:tcPr>
            <w:tcW w:type="dxa" w:w="288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The dispossession</w:t>
            </w:r>
          </w:p>
        </w:tc>
      </w:tr>
      <w:tr>
        <w:trPr>
          <w:cantSplit/>
          <w:tblHeader w:val="false"/>
        </w:trPr>
        <w:tc>
          <w:tcPr>
            <w:tcW w:type="dxa" w:w="1083"/>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10</w:t>
            </w:r>
          </w:p>
        </w:tc>
        <w:tc>
          <w:tcPr>
            <w:tcW w:type="dxa" w:w="397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To enforce a right of </w:t>
            </w:r>
            <w:r>
              <w:rPr>
                <w:b/>
                <w:bCs/>
                <w:color w:val="2E7D32"/>
                <w:sz w:val="20"/>
                <w:szCs w:val="20"/>
              </w:rPr>
              <w:t xml:space="preserve">pre-emption</w:t>
            </w:r>
          </w:p>
        </w:tc>
        <w:tc>
          <w:tcPr>
            <w:tcW w:type="dxa" w:w="1083"/>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1 year</w:t>
            </w:r>
          </w:p>
        </w:tc>
        <w:tc>
          <w:tcPr>
            <w:tcW w:type="dxa" w:w="288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Purchaser takes physical possession under the sale / registration of the instrument</w:t>
            </w:r>
          </w:p>
        </w:tc>
      </w:tr>
      <w:tr>
        <w:trPr>
          <w:cantSplit/>
          <w:tblHeader w:val="false"/>
        </w:trPr>
        <w:tc>
          <w:tcPr>
            <w:tcW w:type="dxa" w:w="108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14</w:t>
            </w:r>
          </w:p>
        </w:tc>
        <w:tc>
          <w:tcPr>
            <w:tcW w:type="dxa" w:w="397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To set aside an act or order of a </w:t>
            </w:r>
            <w:r>
              <w:rPr>
                <w:b/>
                <w:bCs/>
                <w:color w:val="2E7D32"/>
                <w:sz w:val="20"/>
                <w:szCs w:val="20"/>
              </w:rPr>
              <w:t xml:space="preserve">Government officer</w:t>
            </w:r>
            <w:r>
              <w:rPr>
                <w:sz w:val="20"/>
                <w:szCs w:val="20"/>
              </w:rPr>
              <w:t xml:space="preserve"> in his official capacity</w:t>
            </w:r>
          </w:p>
        </w:tc>
        <w:tc>
          <w:tcPr>
            <w:tcW w:type="dxa" w:w="108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1 year</w:t>
            </w:r>
          </w:p>
        </w:tc>
        <w:tc>
          <w:tcPr>
            <w:tcW w:type="dxa" w:w="288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The date of the act or order</w:t>
            </w:r>
          </w:p>
        </w:tc>
      </w:tr>
      <w:tr>
        <w:trPr>
          <w:cantSplit/>
          <w:tblHeader w:val="false"/>
        </w:trPr>
        <w:tc>
          <w:tcPr>
            <w:tcW w:type="dxa" w:w="1083"/>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22</w:t>
            </w:r>
          </w:p>
        </w:tc>
        <w:tc>
          <w:tcPr>
            <w:tcW w:type="dxa" w:w="397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Compensation for </w:t>
            </w:r>
            <w:r>
              <w:rPr>
                <w:b/>
                <w:bCs/>
                <w:color w:val="2E7D32"/>
                <w:sz w:val="20"/>
                <w:szCs w:val="20"/>
              </w:rPr>
              <w:t xml:space="preserve">injury to the person</w:t>
            </w:r>
          </w:p>
        </w:tc>
        <w:tc>
          <w:tcPr>
            <w:tcW w:type="dxa" w:w="1083"/>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1 year</w:t>
            </w:r>
          </w:p>
        </w:tc>
        <w:tc>
          <w:tcPr>
            <w:tcW w:type="dxa" w:w="288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When the injury is committed</w:t>
            </w:r>
          </w:p>
        </w:tc>
      </w:tr>
      <w:tr>
        <w:trPr>
          <w:cantSplit/>
          <w:tblHeader w:val="false"/>
        </w:trPr>
        <w:tc>
          <w:tcPr>
            <w:tcW w:type="dxa" w:w="108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23</w:t>
            </w:r>
          </w:p>
        </w:tc>
        <w:tc>
          <w:tcPr>
            <w:tcW w:type="dxa" w:w="397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Malicious prosecution</w:t>
            </w:r>
          </w:p>
        </w:tc>
        <w:tc>
          <w:tcPr>
            <w:tcW w:type="dxa" w:w="108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1 year</w:t>
            </w:r>
          </w:p>
        </w:tc>
        <w:tc>
          <w:tcPr>
            <w:tcW w:type="dxa" w:w="288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Acquittal or termination of the prosecution</w:t>
            </w:r>
          </w:p>
        </w:tc>
      </w:tr>
      <w:tr>
        <w:trPr>
          <w:cantSplit/>
          <w:tblHeader w:val="false"/>
        </w:trPr>
        <w:tc>
          <w:tcPr>
            <w:tcW w:type="dxa" w:w="1083"/>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24 / 25</w:t>
            </w:r>
          </w:p>
        </w:tc>
        <w:tc>
          <w:tcPr>
            <w:tcW w:type="dxa" w:w="397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Libel</w:t>
            </w:r>
            <w:r>
              <w:rPr>
                <w:sz w:val="20"/>
                <w:szCs w:val="20"/>
              </w:rPr>
              <w:t xml:space="preserve"> / </w:t>
            </w:r>
            <w:r>
              <w:rPr>
                <w:b/>
                <w:bCs/>
                <w:color w:val="2E7D32"/>
                <w:sz w:val="20"/>
                <w:szCs w:val="20"/>
              </w:rPr>
              <w:t xml:space="preserve">slander</w:t>
            </w:r>
          </w:p>
        </w:tc>
        <w:tc>
          <w:tcPr>
            <w:tcW w:type="dxa" w:w="1083"/>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1 year</w:t>
            </w:r>
          </w:p>
        </w:tc>
        <w:tc>
          <w:tcPr>
            <w:tcW w:type="dxa" w:w="288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Publication / words spoken (or special damage)</w:t>
            </w:r>
          </w:p>
        </w:tc>
      </w:tr>
      <w:tr>
        <w:trPr>
          <w:cantSplit/>
          <w:tblHeader w:val="false"/>
        </w:trPr>
        <w:tc>
          <w:tcPr>
            <w:tcW w:type="dxa" w:w="108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36</w:t>
            </w:r>
          </w:p>
        </w:tc>
        <w:tc>
          <w:tcPr>
            <w:tcW w:type="dxa" w:w="397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Compensation for </w:t>
            </w:r>
            <w:r>
              <w:rPr>
                <w:b/>
                <w:bCs/>
                <w:color w:val="2E7D32"/>
                <w:sz w:val="20"/>
                <w:szCs w:val="20"/>
              </w:rPr>
              <w:t xml:space="preserve">malfeasance, misfeasance or nonfeasance</w:t>
            </w:r>
            <w:r>
              <w:rPr>
                <w:sz w:val="20"/>
                <w:szCs w:val="20"/>
              </w:rPr>
              <w:t xml:space="preserve"> independent of contract</w:t>
            </w:r>
          </w:p>
        </w:tc>
        <w:tc>
          <w:tcPr>
            <w:tcW w:type="dxa" w:w="108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2 years</w:t>
            </w:r>
          </w:p>
        </w:tc>
        <w:tc>
          <w:tcPr>
            <w:tcW w:type="dxa" w:w="288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When it takes place</w:t>
            </w:r>
          </w:p>
        </w:tc>
      </w:tr>
      <w:tr>
        <w:trPr>
          <w:cantSplit/>
          <w:tblHeader w:val="false"/>
        </w:trPr>
        <w:tc>
          <w:tcPr>
            <w:tcW w:type="dxa" w:w="1083"/>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49</w:t>
            </w:r>
          </w:p>
        </w:tc>
        <w:tc>
          <w:tcPr>
            <w:tcW w:type="dxa" w:w="397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Specific </w:t>
            </w:r>
            <w:r>
              <w:rPr>
                <w:b/>
                <w:bCs/>
                <w:color w:val="2E7D32"/>
                <w:sz w:val="20"/>
                <w:szCs w:val="20"/>
              </w:rPr>
              <w:t xml:space="preserve">movable</w:t>
            </w:r>
            <w:r>
              <w:rPr>
                <w:sz w:val="20"/>
                <w:szCs w:val="20"/>
              </w:rPr>
              <w:t xml:space="preserve"> property, or compensation for wrongful taking or detention</w:t>
            </w:r>
          </w:p>
        </w:tc>
        <w:tc>
          <w:tcPr>
            <w:tcW w:type="dxa" w:w="1083"/>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3 years</w:t>
            </w:r>
          </w:p>
        </w:tc>
        <w:tc>
          <w:tcPr>
            <w:tcW w:type="dxa" w:w="288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Wrongful taking / detention becomes unlawful</w:t>
            </w:r>
          </w:p>
        </w:tc>
      </w:tr>
      <w:tr>
        <w:trPr>
          <w:cantSplit/>
          <w:tblHeader w:val="false"/>
        </w:trPr>
        <w:tc>
          <w:tcPr>
            <w:tcW w:type="dxa" w:w="108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52</w:t>
            </w:r>
          </w:p>
        </w:tc>
        <w:tc>
          <w:tcPr>
            <w:tcW w:type="dxa" w:w="397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Price of </w:t>
            </w:r>
            <w:r>
              <w:rPr>
                <w:b/>
                <w:bCs/>
                <w:color w:val="2E7D32"/>
                <w:sz w:val="20"/>
                <w:szCs w:val="20"/>
              </w:rPr>
              <w:t xml:space="preserve">goods sold and delivered</w:t>
            </w:r>
            <w:r>
              <w:rPr>
                <w:sz w:val="20"/>
                <w:szCs w:val="20"/>
              </w:rPr>
              <w:t xml:space="preserve"> (no fixed credit)</w:t>
            </w:r>
          </w:p>
        </w:tc>
        <w:tc>
          <w:tcPr>
            <w:tcW w:type="dxa" w:w="108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3 years</w:t>
            </w:r>
          </w:p>
        </w:tc>
        <w:tc>
          <w:tcPr>
            <w:tcW w:type="dxa" w:w="288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Date of delivery</w:t>
            </w:r>
          </w:p>
        </w:tc>
      </w:tr>
      <w:tr>
        <w:trPr>
          <w:cantSplit/>
          <w:tblHeader w:val="false"/>
        </w:trPr>
        <w:tc>
          <w:tcPr>
            <w:tcW w:type="dxa" w:w="1083"/>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57 / 59</w:t>
            </w:r>
          </w:p>
        </w:tc>
        <w:tc>
          <w:tcPr>
            <w:tcW w:type="dxa" w:w="397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Money lent</w:t>
            </w:r>
            <w:r>
              <w:rPr>
                <w:sz w:val="20"/>
                <w:szCs w:val="20"/>
              </w:rPr>
              <w:t xml:space="preserve"> / money lent payable on demand</w:t>
            </w:r>
          </w:p>
        </w:tc>
        <w:tc>
          <w:tcPr>
            <w:tcW w:type="dxa" w:w="1083"/>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3 years</w:t>
            </w:r>
          </w:p>
        </w:tc>
        <w:tc>
          <w:tcPr>
            <w:tcW w:type="dxa" w:w="288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When the loan is made</w:t>
            </w:r>
          </w:p>
        </w:tc>
      </w:tr>
      <w:tr>
        <w:trPr>
          <w:cantSplit/>
          <w:tblHeader w:val="false"/>
        </w:trPr>
        <w:tc>
          <w:tcPr>
            <w:tcW w:type="dxa" w:w="108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62</w:t>
            </w:r>
          </w:p>
        </w:tc>
        <w:tc>
          <w:tcPr>
            <w:tcW w:type="dxa" w:w="397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Money received by the defendant for the plaintiff's use</w:t>
            </w:r>
          </w:p>
        </w:tc>
        <w:tc>
          <w:tcPr>
            <w:tcW w:type="dxa" w:w="108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3 years</w:t>
            </w:r>
          </w:p>
        </w:tc>
        <w:tc>
          <w:tcPr>
            <w:tcW w:type="dxa" w:w="288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When received</w:t>
            </w:r>
          </w:p>
        </w:tc>
      </w:tr>
      <w:tr>
        <w:trPr>
          <w:cantSplit/>
          <w:tblHeader w:val="false"/>
        </w:trPr>
        <w:tc>
          <w:tcPr>
            <w:tcW w:type="dxa" w:w="1083"/>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64</w:t>
            </w:r>
          </w:p>
        </w:tc>
        <w:tc>
          <w:tcPr>
            <w:tcW w:type="dxa" w:w="397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Money found due on </w:t>
            </w:r>
            <w:r>
              <w:rPr>
                <w:b/>
                <w:bCs/>
                <w:color w:val="2E7D32"/>
                <w:sz w:val="20"/>
                <w:szCs w:val="20"/>
              </w:rPr>
              <w:t xml:space="preserve">accounts stated</w:t>
            </w:r>
          </w:p>
        </w:tc>
        <w:tc>
          <w:tcPr>
            <w:tcW w:type="dxa" w:w="1083"/>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3 years</w:t>
            </w:r>
          </w:p>
        </w:tc>
        <w:tc>
          <w:tcPr>
            <w:tcW w:type="dxa" w:w="288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When accounts are stated in writing signed by the defendant</w:t>
            </w:r>
          </w:p>
        </w:tc>
      </w:tr>
      <w:tr>
        <w:trPr>
          <w:cantSplit/>
          <w:tblHeader w:val="false"/>
        </w:trPr>
        <w:tc>
          <w:tcPr>
            <w:tcW w:type="dxa" w:w="108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73</w:t>
            </w:r>
          </w:p>
        </w:tc>
        <w:tc>
          <w:tcPr>
            <w:tcW w:type="dxa" w:w="397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Promissory note or bill</w:t>
            </w:r>
            <w:r>
              <w:rPr>
                <w:sz w:val="20"/>
                <w:szCs w:val="20"/>
              </w:rPr>
              <w:t xml:space="preserve"> payable on demand</w:t>
            </w:r>
          </w:p>
        </w:tc>
        <w:tc>
          <w:tcPr>
            <w:tcW w:type="dxa" w:w="108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3 years</w:t>
            </w:r>
          </w:p>
        </w:tc>
        <w:tc>
          <w:tcPr>
            <w:tcW w:type="dxa" w:w="288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The date of the note</w:t>
            </w:r>
          </w:p>
        </w:tc>
      </w:tr>
      <w:tr>
        <w:trPr>
          <w:cantSplit/>
          <w:tblHeader w:val="false"/>
        </w:trPr>
        <w:tc>
          <w:tcPr>
            <w:tcW w:type="dxa" w:w="1083"/>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85</w:t>
            </w:r>
          </w:p>
        </w:tc>
        <w:tc>
          <w:tcPr>
            <w:tcW w:type="dxa" w:w="397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Balance of a mutual, open and current </w:t>
            </w:r>
            <w:r>
              <w:rPr>
                <w:b/>
                <w:bCs/>
                <w:color w:val="2E7D32"/>
                <w:sz w:val="20"/>
                <w:szCs w:val="20"/>
              </w:rPr>
              <w:t xml:space="preserve">account</w:t>
            </w:r>
          </w:p>
        </w:tc>
        <w:tc>
          <w:tcPr>
            <w:tcW w:type="dxa" w:w="1083"/>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3 years</w:t>
            </w:r>
          </w:p>
        </w:tc>
        <w:tc>
          <w:tcPr>
            <w:tcW w:type="dxa" w:w="288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Close of the year of the last item</w:t>
            </w:r>
          </w:p>
        </w:tc>
      </w:tr>
      <w:tr>
        <w:trPr>
          <w:cantSplit/>
          <w:tblHeader w:val="false"/>
        </w:trPr>
        <w:tc>
          <w:tcPr>
            <w:tcW w:type="dxa" w:w="108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89 / 90</w:t>
            </w:r>
          </w:p>
        </w:tc>
        <w:tc>
          <w:tcPr>
            <w:tcW w:type="dxa" w:w="397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Principal against agent — movables not accounted for / neglect or misconduct</w:t>
            </w:r>
          </w:p>
        </w:tc>
        <w:tc>
          <w:tcPr>
            <w:tcW w:type="dxa" w:w="108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3 years</w:t>
            </w:r>
          </w:p>
        </w:tc>
        <w:tc>
          <w:tcPr>
            <w:tcW w:type="dxa" w:w="288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Account demanded and refused (or end of agency) / when the misconduct becomes known</w:t>
            </w:r>
          </w:p>
        </w:tc>
      </w:tr>
      <w:tr>
        <w:trPr>
          <w:cantSplit/>
          <w:tblHeader w:val="false"/>
        </w:trPr>
        <w:tc>
          <w:tcPr>
            <w:tcW w:type="dxa" w:w="1083"/>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91</w:t>
            </w:r>
          </w:p>
        </w:tc>
        <w:tc>
          <w:tcPr>
            <w:tcW w:type="dxa" w:w="397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To </w:t>
            </w:r>
            <w:r>
              <w:rPr>
                <w:b/>
                <w:bCs/>
                <w:color w:val="2E7D32"/>
                <w:sz w:val="20"/>
                <w:szCs w:val="20"/>
              </w:rPr>
              <w:t xml:space="preserve">cancel or set aside an instrument</w:t>
            </w:r>
            <w:r>
              <w:rPr>
                <w:sz w:val="20"/>
                <w:szCs w:val="20"/>
              </w:rPr>
              <w:t xml:space="preserve"> not otherwise provided for</w:t>
            </w:r>
          </w:p>
        </w:tc>
        <w:tc>
          <w:tcPr>
            <w:tcW w:type="dxa" w:w="1083"/>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3 years</w:t>
            </w:r>
          </w:p>
        </w:tc>
        <w:tc>
          <w:tcPr>
            <w:tcW w:type="dxa" w:w="288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When the facts entitling cancellation </w:t>
            </w:r>
            <w:r>
              <w:rPr>
                <w:b/>
                <w:bCs/>
                <w:color w:val="2E7D32"/>
                <w:sz w:val="20"/>
                <w:szCs w:val="20"/>
              </w:rPr>
              <w:t xml:space="preserve">become known</w:t>
            </w:r>
          </w:p>
        </w:tc>
      </w:tr>
      <w:tr>
        <w:trPr>
          <w:cantSplit/>
          <w:tblHeader w:val="false"/>
        </w:trPr>
        <w:tc>
          <w:tcPr>
            <w:tcW w:type="dxa" w:w="108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92 / 93</w:t>
            </w:r>
          </w:p>
        </w:tc>
        <w:tc>
          <w:tcPr>
            <w:tcW w:type="dxa" w:w="397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To declare </w:t>
            </w:r>
            <w:r>
              <w:rPr>
                <w:b/>
                <w:bCs/>
                <w:color w:val="2E7D32"/>
                <w:sz w:val="20"/>
                <w:szCs w:val="20"/>
              </w:rPr>
              <w:t xml:space="preserve">forgery</w:t>
            </w:r>
            <w:r>
              <w:rPr>
                <w:sz w:val="20"/>
                <w:szCs w:val="20"/>
              </w:rPr>
              <w:t xml:space="preserve"> of an instrument issued or registered / attempted to be enforced</w:t>
            </w:r>
          </w:p>
        </w:tc>
        <w:tc>
          <w:tcPr>
            <w:tcW w:type="dxa" w:w="108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3 years</w:t>
            </w:r>
          </w:p>
        </w:tc>
        <w:tc>
          <w:tcPr>
            <w:tcW w:type="dxa" w:w="288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When issue or registration becomes known / date of the attempt</w:t>
            </w:r>
          </w:p>
        </w:tc>
      </w:tr>
      <w:tr>
        <w:trPr>
          <w:cantSplit/>
          <w:tblHeader w:val="false"/>
        </w:trPr>
        <w:tc>
          <w:tcPr>
            <w:tcW w:type="dxa" w:w="1083"/>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95</w:t>
            </w:r>
          </w:p>
        </w:tc>
        <w:tc>
          <w:tcPr>
            <w:tcW w:type="dxa" w:w="397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To set aside a </w:t>
            </w:r>
            <w:r>
              <w:rPr>
                <w:b/>
                <w:bCs/>
                <w:color w:val="2E7D32"/>
                <w:sz w:val="20"/>
                <w:szCs w:val="20"/>
              </w:rPr>
              <w:t xml:space="preserve">decree obtained by fraud</w:t>
            </w:r>
            <w:r>
              <w:rPr>
                <w:sz w:val="20"/>
                <w:szCs w:val="20"/>
              </w:rPr>
              <w:t xml:space="preserve">, or other relief on the ground of fraud</w:t>
            </w:r>
          </w:p>
        </w:tc>
        <w:tc>
          <w:tcPr>
            <w:tcW w:type="dxa" w:w="1083"/>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3 years</w:t>
            </w:r>
          </w:p>
        </w:tc>
        <w:tc>
          <w:tcPr>
            <w:tcW w:type="dxa" w:w="288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When the fraud becomes </w:t>
            </w:r>
            <w:r>
              <w:rPr>
                <w:b/>
                <w:bCs/>
                <w:color w:val="2E7D32"/>
                <w:sz w:val="20"/>
                <w:szCs w:val="20"/>
              </w:rPr>
              <w:t xml:space="preserve">known</w:t>
            </w:r>
          </w:p>
        </w:tc>
      </w:tr>
      <w:tr>
        <w:trPr>
          <w:cantSplit/>
          <w:tblHeader w:val="false"/>
        </w:trPr>
        <w:tc>
          <w:tcPr>
            <w:tcW w:type="dxa" w:w="108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96</w:t>
            </w:r>
          </w:p>
        </w:tc>
        <w:tc>
          <w:tcPr>
            <w:tcW w:type="dxa" w:w="397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Relief on the ground of </w:t>
            </w:r>
            <w:r>
              <w:rPr>
                <w:b/>
                <w:bCs/>
                <w:color w:val="2E7D32"/>
                <w:sz w:val="20"/>
                <w:szCs w:val="20"/>
              </w:rPr>
              <w:t xml:space="preserve">mistake</w:t>
            </w:r>
          </w:p>
        </w:tc>
        <w:tc>
          <w:tcPr>
            <w:tcW w:type="dxa" w:w="108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3 years</w:t>
            </w:r>
          </w:p>
        </w:tc>
        <w:tc>
          <w:tcPr>
            <w:tcW w:type="dxa" w:w="288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When the mistake becomes known</w:t>
            </w:r>
          </w:p>
        </w:tc>
      </w:tr>
      <w:tr>
        <w:trPr>
          <w:cantSplit/>
          <w:tblHeader w:val="false"/>
        </w:trPr>
        <w:tc>
          <w:tcPr>
            <w:tcW w:type="dxa" w:w="1083"/>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97</w:t>
            </w:r>
          </w:p>
        </w:tc>
        <w:tc>
          <w:tcPr>
            <w:tcW w:type="dxa" w:w="397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Money paid on a consideration which </w:t>
            </w:r>
            <w:r>
              <w:rPr>
                <w:b/>
                <w:bCs/>
                <w:color w:val="2E7D32"/>
                <w:sz w:val="20"/>
                <w:szCs w:val="20"/>
              </w:rPr>
              <w:t xml:space="preserve">fails</w:t>
            </w:r>
          </w:p>
        </w:tc>
        <w:tc>
          <w:tcPr>
            <w:tcW w:type="dxa" w:w="1083"/>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3 years</w:t>
            </w:r>
          </w:p>
        </w:tc>
        <w:tc>
          <w:tcPr>
            <w:tcW w:type="dxa" w:w="288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The date of failure</w:t>
            </w:r>
          </w:p>
        </w:tc>
      </w:tr>
      <w:tr>
        <w:trPr>
          <w:cantSplit/>
          <w:tblHeader w:val="false"/>
        </w:trPr>
        <w:tc>
          <w:tcPr>
            <w:tcW w:type="dxa" w:w="108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103 / 104</w:t>
            </w:r>
          </w:p>
        </w:tc>
        <w:tc>
          <w:tcPr>
            <w:tcW w:type="dxa" w:w="397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Prompt / deferred dower</w:t>
            </w:r>
          </w:p>
        </w:tc>
        <w:tc>
          <w:tcPr>
            <w:tcW w:type="dxa" w:w="108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3 years</w:t>
            </w:r>
          </w:p>
        </w:tc>
        <w:tc>
          <w:tcPr>
            <w:tcW w:type="dxa" w:w="288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Demand and refusal, or dissolution / dissolution</w:t>
            </w:r>
          </w:p>
        </w:tc>
      </w:tr>
      <w:tr>
        <w:trPr>
          <w:cantSplit/>
          <w:tblHeader w:val="false"/>
        </w:trPr>
        <w:tc>
          <w:tcPr>
            <w:tcW w:type="dxa" w:w="1083"/>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106</w:t>
            </w:r>
          </w:p>
        </w:tc>
        <w:tc>
          <w:tcPr>
            <w:tcW w:type="dxa" w:w="397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Account and share of profits of a </w:t>
            </w:r>
            <w:r>
              <w:rPr>
                <w:b/>
                <w:bCs/>
                <w:color w:val="2E7D32"/>
                <w:sz w:val="20"/>
                <w:szCs w:val="20"/>
              </w:rPr>
              <w:t xml:space="preserve">dissolved partnership</w:t>
            </w:r>
          </w:p>
        </w:tc>
        <w:tc>
          <w:tcPr>
            <w:tcW w:type="dxa" w:w="1083"/>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3 years</w:t>
            </w:r>
          </w:p>
        </w:tc>
        <w:tc>
          <w:tcPr>
            <w:tcW w:type="dxa" w:w="288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Date of dissolution</w:t>
            </w:r>
          </w:p>
        </w:tc>
      </w:tr>
      <w:tr>
        <w:trPr>
          <w:cantSplit/>
          <w:tblHeader w:val="false"/>
        </w:trPr>
        <w:tc>
          <w:tcPr>
            <w:tcW w:type="dxa" w:w="108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110</w:t>
            </w:r>
          </w:p>
        </w:tc>
        <w:tc>
          <w:tcPr>
            <w:tcW w:type="dxa" w:w="397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Arrears of rent</w:t>
            </w:r>
          </w:p>
        </w:tc>
        <w:tc>
          <w:tcPr>
            <w:tcW w:type="dxa" w:w="108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3 years</w:t>
            </w:r>
          </w:p>
        </w:tc>
        <w:tc>
          <w:tcPr>
            <w:tcW w:type="dxa" w:w="288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When they become due</w:t>
            </w:r>
          </w:p>
        </w:tc>
      </w:tr>
      <w:tr>
        <w:trPr>
          <w:cantSplit/>
          <w:tblHeader w:val="false"/>
        </w:trPr>
        <w:tc>
          <w:tcPr>
            <w:tcW w:type="dxa" w:w="1083"/>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113</w:t>
            </w:r>
          </w:p>
        </w:tc>
        <w:tc>
          <w:tcPr>
            <w:tcW w:type="dxa" w:w="397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Specific performance</w:t>
            </w:r>
            <w:r>
              <w:rPr>
                <w:sz w:val="20"/>
                <w:szCs w:val="20"/>
              </w:rPr>
              <w:t xml:space="preserve"> of a contract</w:t>
            </w:r>
          </w:p>
        </w:tc>
        <w:tc>
          <w:tcPr>
            <w:tcW w:type="dxa" w:w="1083"/>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3 years</w:t>
            </w:r>
          </w:p>
        </w:tc>
        <w:tc>
          <w:tcPr>
            <w:tcW w:type="dxa" w:w="288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The </w:t>
            </w:r>
            <w:r>
              <w:rPr>
                <w:b/>
                <w:bCs/>
                <w:color w:val="2E7D32"/>
                <w:sz w:val="20"/>
                <w:szCs w:val="20"/>
              </w:rPr>
              <w:t xml:space="preserve">date fixed</w:t>
            </w:r>
            <w:r>
              <w:rPr>
                <w:sz w:val="20"/>
                <w:szCs w:val="20"/>
              </w:rPr>
              <w:t xml:space="preserve"> for performance, or, if none, when the plaintiff has </w:t>
            </w:r>
            <w:r>
              <w:rPr>
                <w:b/>
                <w:bCs/>
                <w:color w:val="2E7D32"/>
                <w:sz w:val="20"/>
                <w:szCs w:val="20"/>
              </w:rPr>
              <w:t xml:space="preserve">notice that performance is refused</w:t>
            </w:r>
          </w:p>
        </w:tc>
      </w:tr>
      <w:tr>
        <w:trPr>
          <w:cantSplit/>
          <w:tblHeader w:val="false"/>
        </w:trPr>
        <w:tc>
          <w:tcPr>
            <w:tcW w:type="dxa" w:w="108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114</w:t>
            </w:r>
          </w:p>
        </w:tc>
        <w:tc>
          <w:tcPr>
            <w:tcW w:type="dxa" w:w="397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Rescission</w:t>
            </w:r>
            <w:r>
              <w:rPr>
                <w:sz w:val="20"/>
                <w:szCs w:val="20"/>
              </w:rPr>
              <w:t xml:space="preserve"> of a contract</w:t>
            </w:r>
          </w:p>
        </w:tc>
        <w:tc>
          <w:tcPr>
            <w:tcW w:type="dxa" w:w="108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3 years</w:t>
            </w:r>
          </w:p>
        </w:tc>
        <w:tc>
          <w:tcPr>
            <w:tcW w:type="dxa" w:w="288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When the facts entitling rescission first become known</w:t>
            </w:r>
          </w:p>
        </w:tc>
      </w:tr>
      <w:tr>
        <w:trPr>
          <w:cantSplit/>
          <w:tblHeader w:val="false"/>
        </w:trPr>
        <w:tc>
          <w:tcPr>
            <w:tcW w:type="dxa" w:w="1083"/>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115 / 116</w:t>
            </w:r>
          </w:p>
        </w:tc>
        <w:tc>
          <w:tcPr>
            <w:tcW w:type="dxa" w:w="397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Compensation for </w:t>
            </w:r>
            <w:r>
              <w:rPr>
                <w:b/>
                <w:bCs/>
                <w:color w:val="2E7D32"/>
                <w:sz w:val="20"/>
                <w:szCs w:val="20"/>
              </w:rPr>
              <w:t xml:space="preserve">breach of contract</w:t>
            </w:r>
            <w:r>
              <w:rPr>
                <w:sz w:val="20"/>
                <w:szCs w:val="20"/>
              </w:rPr>
              <w:t xml:space="preserve"> — unregistered / registered writing</w:t>
            </w:r>
          </w:p>
        </w:tc>
        <w:tc>
          <w:tcPr>
            <w:tcW w:type="dxa" w:w="1083"/>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3 / 6 years</w:t>
            </w:r>
          </w:p>
        </w:tc>
        <w:tc>
          <w:tcPr>
            <w:tcW w:type="dxa" w:w="288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When the contract is broken</w:t>
            </w:r>
          </w:p>
        </w:tc>
      </w:tr>
      <w:tr>
        <w:trPr>
          <w:cantSplit/>
          <w:tblHeader w:val="false"/>
        </w:trPr>
        <w:tc>
          <w:tcPr>
            <w:tcW w:type="dxa" w:w="108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120</w:t>
            </w:r>
          </w:p>
        </w:tc>
        <w:tc>
          <w:tcPr>
            <w:tcW w:type="dxa" w:w="397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Residuary</w:t>
            </w:r>
            <w:r>
              <w:rPr>
                <w:sz w:val="20"/>
                <w:szCs w:val="20"/>
              </w:rPr>
              <w:t xml:space="preserve"> — any suit not otherwise provided for (e.g., most </w:t>
            </w:r>
            <w:r>
              <w:rPr>
                <w:b/>
                <w:bCs/>
                <w:color w:val="2E7D32"/>
                <w:sz w:val="20"/>
                <w:szCs w:val="20"/>
              </w:rPr>
              <w:t xml:space="preserve">declaratory</w:t>
            </w:r>
            <w:r>
              <w:rPr>
                <w:sz w:val="20"/>
                <w:szCs w:val="20"/>
              </w:rPr>
              <w:t xml:space="preserve"> suits)</w:t>
            </w:r>
          </w:p>
        </w:tc>
        <w:tc>
          <w:tcPr>
            <w:tcW w:type="dxa" w:w="108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6 years</w:t>
            </w:r>
          </w:p>
        </w:tc>
        <w:tc>
          <w:tcPr>
            <w:tcW w:type="dxa" w:w="288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When the </w:t>
            </w:r>
            <w:r>
              <w:rPr>
                <w:b/>
                <w:bCs/>
                <w:color w:val="2E7D32"/>
                <w:sz w:val="20"/>
                <w:szCs w:val="20"/>
              </w:rPr>
              <w:t xml:space="preserve">right to sue accrues</w:t>
            </w:r>
          </w:p>
        </w:tc>
      </w:tr>
      <w:tr>
        <w:trPr>
          <w:cantSplit/>
          <w:tblHeader w:val="false"/>
        </w:trPr>
        <w:tc>
          <w:tcPr>
            <w:tcW w:type="dxa" w:w="1083"/>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123</w:t>
            </w:r>
          </w:p>
        </w:tc>
        <w:tc>
          <w:tcPr>
            <w:tcW w:type="dxa" w:w="397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Legacy or distributive share of an estate</w:t>
            </w:r>
          </w:p>
        </w:tc>
        <w:tc>
          <w:tcPr>
            <w:tcW w:type="dxa" w:w="1083"/>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12 years</w:t>
            </w:r>
          </w:p>
        </w:tc>
        <w:tc>
          <w:tcPr>
            <w:tcW w:type="dxa" w:w="288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When it becomes payable or deliverable</w:t>
            </w:r>
          </w:p>
        </w:tc>
      </w:tr>
      <w:tr>
        <w:trPr>
          <w:cantSplit/>
          <w:tblHeader w:val="false"/>
        </w:trPr>
        <w:tc>
          <w:tcPr>
            <w:tcW w:type="dxa" w:w="108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132</w:t>
            </w:r>
          </w:p>
        </w:tc>
        <w:tc>
          <w:tcPr>
            <w:tcW w:type="dxa" w:w="397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To enforce payment of money </w:t>
            </w:r>
            <w:r>
              <w:rPr>
                <w:b/>
                <w:bCs/>
                <w:color w:val="2E7D32"/>
                <w:sz w:val="20"/>
                <w:szCs w:val="20"/>
              </w:rPr>
              <w:t xml:space="preserve">charged on immovable property</w:t>
            </w:r>
            <w:r>
              <w:rPr>
                <w:sz w:val="20"/>
                <w:szCs w:val="20"/>
              </w:rPr>
              <w:t xml:space="preserve"> (mortgage money)</w:t>
            </w:r>
          </w:p>
        </w:tc>
        <w:tc>
          <w:tcPr>
            <w:tcW w:type="dxa" w:w="108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12 years</w:t>
            </w:r>
          </w:p>
        </w:tc>
        <w:tc>
          <w:tcPr>
            <w:tcW w:type="dxa" w:w="288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When the money becomes due</w:t>
            </w:r>
          </w:p>
        </w:tc>
      </w:tr>
      <w:tr>
        <w:trPr>
          <w:cantSplit/>
          <w:tblHeader w:val="false"/>
        </w:trPr>
        <w:tc>
          <w:tcPr>
            <w:tcW w:type="dxa" w:w="1083"/>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139</w:t>
            </w:r>
          </w:p>
        </w:tc>
        <w:tc>
          <w:tcPr>
            <w:tcW w:type="dxa" w:w="397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Landlord against tenant for possession</w:t>
            </w:r>
          </w:p>
        </w:tc>
        <w:tc>
          <w:tcPr>
            <w:tcW w:type="dxa" w:w="1083"/>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12 years</w:t>
            </w:r>
          </w:p>
        </w:tc>
        <w:tc>
          <w:tcPr>
            <w:tcW w:type="dxa" w:w="288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When the tenancy is determined</w:t>
            </w:r>
          </w:p>
        </w:tc>
      </w:tr>
      <w:tr>
        <w:trPr>
          <w:cantSplit/>
          <w:tblHeader w:val="false"/>
        </w:trPr>
        <w:tc>
          <w:tcPr>
            <w:tcW w:type="dxa" w:w="108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142</w:t>
            </w:r>
          </w:p>
        </w:tc>
        <w:tc>
          <w:tcPr>
            <w:tcW w:type="dxa" w:w="397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Possession of immovable property</w:t>
            </w:r>
            <w:r>
              <w:rPr>
                <w:sz w:val="20"/>
                <w:szCs w:val="20"/>
              </w:rPr>
              <w:t xml:space="preserve"> — plaintiff </w:t>
            </w:r>
            <w:r>
              <w:rPr>
                <w:b/>
                <w:bCs/>
                <w:color w:val="2E7D32"/>
                <w:sz w:val="20"/>
                <w:szCs w:val="20"/>
              </w:rPr>
              <w:t xml:space="preserve">dispossessed</w:t>
            </w:r>
            <w:r>
              <w:rPr>
                <w:sz w:val="20"/>
                <w:szCs w:val="20"/>
              </w:rPr>
              <w:t xml:space="preserve"> or discontinued possession</w:t>
            </w:r>
          </w:p>
        </w:tc>
        <w:tc>
          <w:tcPr>
            <w:tcW w:type="dxa" w:w="108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12 years</w:t>
            </w:r>
          </w:p>
        </w:tc>
        <w:tc>
          <w:tcPr>
            <w:tcW w:type="dxa" w:w="288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Date of dispossession or discontinuance</w:t>
            </w:r>
          </w:p>
        </w:tc>
      </w:tr>
      <w:tr>
        <w:trPr>
          <w:cantSplit/>
          <w:tblHeader w:val="false"/>
        </w:trPr>
        <w:tc>
          <w:tcPr>
            <w:tcW w:type="dxa" w:w="1083"/>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148</w:t>
            </w:r>
          </w:p>
        </w:tc>
        <w:tc>
          <w:tcPr>
            <w:tcW w:type="dxa" w:w="397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Against a mortgagee to </w:t>
            </w:r>
            <w:r>
              <w:rPr>
                <w:b/>
                <w:bCs/>
                <w:color w:val="2E7D32"/>
                <w:sz w:val="20"/>
                <w:szCs w:val="20"/>
              </w:rPr>
              <w:t xml:space="preserve">redeem</w:t>
            </w:r>
          </w:p>
        </w:tc>
        <w:tc>
          <w:tcPr>
            <w:tcW w:type="dxa" w:w="1083"/>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60 years</w:t>
            </w:r>
          </w:p>
        </w:tc>
        <w:tc>
          <w:tcPr>
            <w:tcW w:type="dxa" w:w="288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When the right to redeem accrues</w:t>
            </w:r>
          </w:p>
        </w:tc>
      </w:tr>
      <w:tr>
        <w:trPr>
          <w:cantSplit/>
          <w:tblHeader w:val="false"/>
        </w:trPr>
        <w:tc>
          <w:tcPr>
            <w:tcW w:type="dxa" w:w="108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149</w:t>
            </w:r>
          </w:p>
        </w:tc>
        <w:tc>
          <w:tcPr>
            <w:tcW w:type="dxa" w:w="397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Any suit by or on behalf of the </w:t>
            </w:r>
            <w:r>
              <w:rPr>
                <w:b/>
                <w:bCs/>
                <w:color w:val="2E7D32"/>
                <w:sz w:val="20"/>
                <w:szCs w:val="20"/>
              </w:rPr>
              <w:t xml:space="preserve">Federal or a Provincial Government</w:t>
            </w:r>
          </w:p>
        </w:tc>
        <w:tc>
          <w:tcPr>
            <w:tcW w:type="dxa" w:w="108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60 years</w:t>
            </w:r>
          </w:p>
        </w:tc>
        <w:tc>
          <w:tcPr>
            <w:tcW w:type="dxa" w:w="288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When time would run against a private person</w:t>
            </w:r>
          </w:p>
        </w:tc>
      </w:tr>
      <w:tr>
        <w:trPr>
          <w:cantSplit/>
          <w:tblHeader w:val="false"/>
        </w:trPr>
        <w:tc>
          <w:tcPr>
            <w:tcW w:type="dxa" w:w="1083"/>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151 / 152 / 156</w:t>
            </w:r>
          </w:p>
        </w:tc>
        <w:tc>
          <w:tcPr>
            <w:tcW w:type="dxa" w:w="397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Appeals — from the High Court's original jurisdiction / to the District Judge / to the High Court (CPC)</w:t>
            </w:r>
          </w:p>
        </w:tc>
        <w:tc>
          <w:tcPr>
            <w:tcW w:type="dxa" w:w="1083"/>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20 / 30 / 90 days</w:t>
            </w:r>
          </w:p>
        </w:tc>
        <w:tc>
          <w:tcPr>
            <w:tcW w:type="dxa" w:w="288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Date of the decree or order</w:t>
            </w:r>
          </w:p>
        </w:tc>
      </w:tr>
      <w:tr>
        <w:trPr>
          <w:cantSplit/>
          <w:tblHeader w:val="false"/>
        </w:trPr>
        <w:tc>
          <w:tcPr>
            <w:tcW w:type="dxa" w:w="108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159</w:t>
            </w:r>
          </w:p>
        </w:tc>
        <w:tc>
          <w:tcPr>
            <w:tcW w:type="dxa" w:w="397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Leave to defend</w:t>
            </w:r>
            <w:r>
              <w:rPr>
                <w:sz w:val="20"/>
                <w:szCs w:val="20"/>
              </w:rPr>
              <w:t xml:space="preserve"> a summary suit (O. XXXVII)</w:t>
            </w:r>
          </w:p>
        </w:tc>
        <w:tc>
          <w:tcPr>
            <w:tcW w:type="dxa" w:w="108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10 days</w:t>
            </w:r>
          </w:p>
        </w:tc>
        <w:tc>
          <w:tcPr>
            <w:tcW w:type="dxa" w:w="288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Service of summons</w:t>
            </w:r>
          </w:p>
        </w:tc>
      </w:tr>
      <w:tr>
        <w:trPr>
          <w:cantSplit/>
          <w:tblHeader w:val="false"/>
        </w:trPr>
        <w:tc>
          <w:tcPr>
            <w:tcW w:type="dxa" w:w="1083"/>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163</w:t>
            </w:r>
          </w:p>
        </w:tc>
        <w:tc>
          <w:tcPr>
            <w:tcW w:type="dxa" w:w="397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Plaintiff — set aside </w:t>
            </w:r>
            <w:r>
              <w:rPr>
                <w:b/>
                <w:bCs/>
                <w:color w:val="2E7D32"/>
                <w:sz w:val="20"/>
                <w:szCs w:val="20"/>
              </w:rPr>
              <w:t xml:space="preserve">dismissal for default</w:t>
            </w:r>
          </w:p>
        </w:tc>
        <w:tc>
          <w:tcPr>
            <w:tcW w:type="dxa" w:w="1083"/>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30 days</w:t>
            </w:r>
          </w:p>
        </w:tc>
        <w:tc>
          <w:tcPr>
            <w:tcW w:type="dxa" w:w="288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Date of the dismissal</w:t>
            </w:r>
          </w:p>
        </w:tc>
      </w:tr>
      <w:tr>
        <w:trPr>
          <w:cantSplit/>
          <w:tblHeader w:val="false"/>
        </w:trPr>
        <w:tc>
          <w:tcPr>
            <w:tcW w:type="dxa" w:w="108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164</w:t>
            </w:r>
          </w:p>
        </w:tc>
        <w:tc>
          <w:tcPr>
            <w:tcW w:type="dxa" w:w="397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Defendant — set aside an </w:t>
            </w:r>
            <w:r>
              <w:rPr>
                <w:b/>
                <w:bCs/>
                <w:color w:val="2E7D32"/>
                <w:sz w:val="20"/>
                <w:szCs w:val="20"/>
              </w:rPr>
              <w:t xml:space="preserve">ex parte decree</w:t>
            </w:r>
          </w:p>
        </w:tc>
        <w:tc>
          <w:tcPr>
            <w:tcW w:type="dxa" w:w="108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30 days</w:t>
            </w:r>
          </w:p>
        </w:tc>
        <w:tc>
          <w:tcPr>
            <w:tcW w:type="dxa" w:w="288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Date of decree, or knowledge where summons not duly served</w:t>
            </w:r>
          </w:p>
        </w:tc>
      </w:tr>
      <w:tr>
        <w:trPr>
          <w:cantSplit/>
          <w:tblHeader w:val="false"/>
        </w:trPr>
        <w:tc>
          <w:tcPr>
            <w:tcW w:type="dxa" w:w="1083"/>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167</w:t>
            </w:r>
          </w:p>
        </w:tc>
        <w:tc>
          <w:tcPr>
            <w:tcW w:type="dxa" w:w="397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Complaining of resistance to delivery of possession</w:t>
            </w:r>
          </w:p>
        </w:tc>
        <w:tc>
          <w:tcPr>
            <w:tcW w:type="dxa" w:w="1083"/>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30 days</w:t>
            </w:r>
          </w:p>
        </w:tc>
        <w:tc>
          <w:tcPr>
            <w:tcW w:type="dxa" w:w="288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Date of resistance</w:t>
            </w:r>
          </w:p>
        </w:tc>
      </w:tr>
      <w:tr>
        <w:trPr>
          <w:cantSplit/>
          <w:tblHeader w:val="false"/>
        </w:trPr>
        <w:tc>
          <w:tcPr>
            <w:tcW w:type="dxa" w:w="108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173</w:t>
            </w:r>
          </w:p>
        </w:tc>
        <w:tc>
          <w:tcPr>
            <w:tcW w:type="dxa" w:w="397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Review</w:t>
            </w:r>
            <w:r>
              <w:rPr>
                <w:sz w:val="20"/>
                <w:szCs w:val="20"/>
              </w:rPr>
              <w:t xml:space="preserve"> (other than Small Causes and High Court)</w:t>
            </w:r>
          </w:p>
        </w:tc>
        <w:tc>
          <w:tcPr>
            <w:tcW w:type="dxa" w:w="108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90 days</w:t>
            </w:r>
          </w:p>
        </w:tc>
        <w:tc>
          <w:tcPr>
            <w:tcW w:type="dxa" w:w="288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Date of the decree or order</w:t>
            </w:r>
          </w:p>
        </w:tc>
      </w:tr>
      <w:tr>
        <w:trPr>
          <w:cantSplit/>
          <w:tblHeader w:val="false"/>
        </w:trPr>
        <w:tc>
          <w:tcPr>
            <w:tcW w:type="dxa" w:w="1083"/>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176 / 177</w:t>
            </w:r>
          </w:p>
        </w:tc>
        <w:tc>
          <w:tcPr>
            <w:tcW w:type="dxa" w:w="397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Bring on record the </w:t>
            </w:r>
            <w:r>
              <w:rPr>
                <w:b/>
                <w:bCs/>
                <w:color w:val="2E7D32"/>
                <w:sz w:val="20"/>
                <w:szCs w:val="20"/>
              </w:rPr>
              <w:t xml:space="preserve">legal representatives</w:t>
            </w:r>
            <w:r>
              <w:rPr>
                <w:sz w:val="20"/>
                <w:szCs w:val="20"/>
              </w:rPr>
              <w:t xml:space="preserve"> of a deceased plaintiff / defendant</w:t>
            </w:r>
          </w:p>
        </w:tc>
        <w:tc>
          <w:tcPr>
            <w:tcW w:type="dxa" w:w="1083"/>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90 days</w:t>
            </w:r>
          </w:p>
        </w:tc>
        <w:tc>
          <w:tcPr>
            <w:tcW w:type="dxa" w:w="288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Date of death</w:t>
            </w:r>
          </w:p>
        </w:tc>
      </w:tr>
      <w:tr>
        <w:trPr>
          <w:cantSplit/>
          <w:tblHeader w:val="false"/>
        </w:trPr>
        <w:tc>
          <w:tcPr>
            <w:tcW w:type="dxa" w:w="108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181</w:t>
            </w:r>
          </w:p>
        </w:tc>
        <w:tc>
          <w:tcPr>
            <w:tcW w:type="dxa" w:w="397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Residuary application</w:t>
            </w:r>
            <w:r>
              <w:rPr>
                <w:sz w:val="20"/>
                <w:szCs w:val="20"/>
              </w:rPr>
              <w:t xml:space="preserve"> (including </w:t>
            </w:r>
            <w:r>
              <w:rPr>
                <w:b/>
                <w:bCs/>
                <w:color w:val="2E7D32"/>
                <w:sz w:val="20"/>
                <w:szCs w:val="20"/>
              </w:rPr>
              <w:t xml:space="preserve">execution</w:t>
            </w:r>
            <w:r>
              <w:rPr>
                <w:sz w:val="20"/>
                <w:szCs w:val="20"/>
              </w:rPr>
              <w:t xml:space="preserve"> after Art. 182 was omitted)</w:t>
            </w:r>
          </w:p>
        </w:tc>
        <w:tc>
          <w:tcPr>
            <w:tcW w:type="dxa" w:w="108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3 years</w:t>
            </w:r>
          </w:p>
        </w:tc>
        <w:tc>
          <w:tcPr>
            <w:tcW w:type="dxa" w:w="288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When the right to apply accrues</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F7D32" w:sz="24"/>
              <w:bottom w:val="none" w:color="FFFFFF" w:sz="0"/>
              <w:right w:val="none" w:color="FFFFFF" w:sz="0"/>
            </w:tcBorders>
            <w:shd w:fill="EFF7EF" w:color="auto" w:val="clear"/>
            <w:tcMar>
              <w:top w:type="dxa" w:w="110"/>
              <w:left w:type="dxa" w:w="200"/>
              <w:bottom w:type="dxa" w:w="60"/>
              <w:right w:type="dxa" w:w="180"/>
            </w:tcMar>
          </w:tcPr>
          <w:p>
            <w:pPr>
              <w:keepNext/>
              <w:spacing w:after="80"/>
            </w:pPr>
            <w:r>
              <w:rPr>
                <w:b/>
                <w:bCs/>
                <w:color w:val="2F7D32"/>
                <w:spacing w:val="20"/>
                <w:sz w:val="18"/>
                <w:szCs w:val="18"/>
              </w:rPr>
              <w:t xml:space="preserve">QUICK RECAP</w:t>
            </w:r>
            <w:r>
              <w:rPr>
                <w:color w:val="2F7D32"/>
                <w:sz w:val="18"/>
                <w:szCs w:val="18"/>
              </w:rPr>
              <w:t xml:space="preserve">  ·  </w:t>
            </w:r>
            <w:r>
              <w:rPr>
                <w:b/>
                <w:bCs/>
                <w:color w:val="2F7D32"/>
                <w:sz w:val="18"/>
                <w:szCs w:val="18"/>
              </w:rPr>
              <w:t xml:space="preserve">Chapters 7–8 in seven lines</w:t>
            </w:r>
          </w:p>
          <w:p>
            <w:pPr>
              <w:pStyle w:val="ListParagraph"/>
              <w:numPr>
                <w:ilvl w:val="0"/>
                <w:numId w:val="6"/>
              </w:numPr>
              <w:spacing w:after="60" w:line="276"/>
            </w:pPr>
            <w:r>
              <w:t xml:space="preserve">s. 10: no limitation against an express trustee (including a mutawalli) to follow trust property or for accounts.</w:t>
            </w:r>
          </w:p>
          <w:p>
            <w:pPr>
              <w:pStyle w:val="ListParagraph"/>
              <w:numPr>
                <w:ilvl w:val="0"/>
                <w:numId w:val="6"/>
              </w:numPr>
              <w:spacing w:after="60" w:line="276"/>
            </w:pPr>
            <w:r>
              <w:t xml:space="preserve">s. 11: foreign limitation a defence only if it extinguished the contract and parties were domiciled there.</w:t>
            </w:r>
          </w:p>
          <w:p>
            <w:pPr>
              <w:pStyle w:val="ListParagraph"/>
              <w:numPr>
                <w:ilvl w:val="0"/>
                <w:numId w:val="6"/>
              </w:numPr>
              <w:spacing w:after="60" w:line="276"/>
            </w:pPr>
            <w:r>
              <w:t xml:space="preserve">ss. 26–27: easement by 20 years' peaceable, open, as-of-right, uninterrupted enjoyment (Government — 60 years); permission defeats it.</w:t>
            </w:r>
          </w:p>
          <w:p>
            <w:pPr>
              <w:pStyle w:val="ListParagraph"/>
              <w:numPr>
                <w:ilvl w:val="0"/>
                <w:numId w:val="6"/>
              </w:numPr>
              <w:spacing w:after="60" w:line="276"/>
            </w:pPr>
            <w:r>
              <w:t xml:space="preserve">s. 28 and Art. 144 omitted (Act II of 1995) after </w:t>
            </w:r>
            <w:r>
              <w:rPr>
                <w:i/>
                <w:iCs/>
              </w:rPr>
              <w:t xml:space="preserve">Maqbool Ahmad</w:t>
            </w:r>
            <w:r>
              <w:t xml:space="preserve"> (1991 SCMR 2063) — adverse possession gives no title; Art. 142 for a dispossessed owner.</w:t>
            </w:r>
          </w:p>
          <w:p>
            <w:pPr>
              <w:pStyle w:val="ListParagraph"/>
              <w:numPr>
                <w:ilvl w:val="0"/>
                <w:numId w:val="6"/>
              </w:numPr>
              <w:spacing w:after="60" w:line="276"/>
            </w:pPr>
            <w:r>
              <w:t xml:space="preserve">s. 29(2): special-law periods — s. 3 applies; ss. 4, 9–18, 22 unless excluded; s. 5 only if applied.</w:t>
            </w:r>
          </w:p>
          <w:p>
            <w:pPr>
              <w:pStyle w:val="ListParagraph"/>
              <w:numPr>
                <w:ilvl w:val="0"/>
                <w:numId w:val="6"/>
              </w:numPr>
              <w:spacing w:after="60" w:line="276"/>
            </w:pPr>
            <w:r>
              <w:t xml:space="preserve">Fraud and nullities: time from knowledge (s. 18; Arts. 91, 95); a nullity may be ignored, but suits for consequential relief must be brought within time from knowledge.</w:t>
            </w:r>
          </w:p>
          <w:p>
            <w:pPr>
              <w:pStyle w:val="ListParagraph"/>
              <w:numPr>
                <w:ilvl w:val="0"/>
                <w:numId w:val="6"/>
              </w:numPr>
              <w:spacing w:after="60" w:line="276"/>
            </w:pPr>
            <w:r>
              <w:t xml:space="preserve">Key Articles: 3, 10, 91, 92, 95, 103–104, 113, 120 (6 years), 142, 149 (60 years), 164 (30 days), 173, 181 (3 years).</w:t>
            </w:r>
          </w:p>
        </w:tc>
      </w:tr>
    </w:tbl>
    <w:p>
      <w:pPr>
        <w:spacing w:after="80"/>
      </w:pPr>
    </w:p>
    <w:sectPr>
      <w:headerReference w:type="default" r:id="rId7"/>
      <w:footerReference w:type="default" r:id="rId8"/>
      <w:footerReference w:type="first" r:id="rId9"/>
      <w:pgSz w:w="11906" w:h="16838" w:orient="portrait"/>
      <w:pgMar w:top="1300" w:right="1440" w:bottom="1200" w:left="1440" w:header="600" w:footer="6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026"/>
      </w:tabs>
    </w:pPr>
    <w:r>
      <w:rPr>
        <w:color w:val="64748B"/>
        <w:sz w:val="17"/>
        <w:szCs w:val="17"/>
      </w:rPr>
      <w:t xml:space="preserve">Islamabad Judicial Service Competitive Examination 2026 · Civil Law Paper II</w:t>
    </w:r>
    <w:r>
      <w:rPr>
        <w:color w:val="64748B"/>
        <w:sz w:val="17"/>
        <w:szCs w:val="17"/>
      </w:rPr>
      <w:t xml:space="preserve">	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4A3B8"/>
        <w:sz w:val="17"/>
        <w:szCs w:val="17"/>
      </w:rPr>
      <w:t xml:space="preserve">Civil Law-II · Topic 3 · Knowledge Base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30" w:hanging="300"/>
      </w:pPr>
    </w:lvl>
    <w:lvl w:ilvl="1" w15:tentative="1">
      <w:start w:val="1"/>
      <w:numFmt w:val="lowerRoman"/>
      <w:lvlText w:val="(%2)"/>
      <w:lvlJc w:val="left"/>
      <w:pPr>
        <w:ind w:left="86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2"/>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Calibri" w:cs="Calibri" w:eastAsia="Calibri" w:hAnsi="Calibri"/>
      <w:color w:val="1F4E79"/>
      <w:sz w:val="36"/>
      <w:szCs w:val="36"/>
    </w:rPr>
  </w:style>
  <w:style w:type="paragraph" w:styleId="Heading2">
    <w:name w:val="Heading 2"/>
    <w:basedOn w:val="Normal"/>
    <w:next w:val="Normal"/>
    <w:qFormat/>
    <w:pPr>
      <w:spacing w:after="120" w:before="300"/>
      <w:outlineLvl w:val="1"/>
    </w:pPr>
    <w:rPr>
      <w:rFonts w:ascii="Calibri" w:cs="Calibri" w:eastAsia="Calibri" w:hAnsi="Calibri"/>
      <w:color w:val="1F4E79"/>
      <w:sz w:val="29"/>
      <w:szCs w:val="29"/>
    </w:rPr>
  </w:style>
  <w:style w:type="paragraph" w:styleId="Heading3">
    <w:name w:val="Heading 3"/>
    <w:basedOn w:val="Normal"/>
    <w:next w:val="Normal"/>
    <w:qFormat/>
    <w:pPr>
      <w:spacing w:after="100" w:before="240"/>
      <w:outlineLvl w:val="2"/>
    </w:pPr>
    <w:rPr>
      <w:rFonts w:ascii="Calibri" w:cs="Calibri" w:eastAsia="Calibri" w:hAnsi="Calibri"/>
      <w:color w:val="1F4E79"/>
      <w:sz w:val="25"/>
      <w:szCs w:val="25"/>
    </w:rPr>
  </w:style>
  <w:style w:type="paragraph" w:styleId="Heading4">
    <w:name w:val="Heading 4"/>
    <w:basedOn w:val="Normal"/>
    <w:next w:val="Normal"/>
    <w:qFormat/>
    <w:pPr>
      <w:spacing w:after="60" w:before="160"/>
      <w:outlineLvl w:val="3"/>
    </w:pPr>
    <w:rPr>
      <w:rFonts w:ascii="Calibri" w:cs="Calibri" w:eastAsia="Calibri" w:hAnsi="Calibri"/>
      <w:i/>
      <w:i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image" Target="media/bb8ca0845141e4086e2b83aed20c3200c25781d4.png"/><Relationship Id="rId11" Type="http://schemas.openxmlformats.org/officeDocument/2006/relationships/image" Target="media/453cdedc0670fa4741190cd9215795fe64bc471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 3 · The Limitation Act 1908</dc:title>
  <dc:creator>Civil Judge Exam Preparation</dc:creator>
  <cp:lastModifiedBy>Un-named</cp:lastModifiedBy>
  <cp:revision>1</cp:revision>
  <dcterms:created xsi:type="dcterms:W3CDTF">2026-10-16T08:52:41.458Z</dcterms:created>
  <dcterms:modified xsi:type="dcterms:W3CDTF">2026-10-16T08:52:41.458Z</dcterms:modified>
</cp:coreProperties>
</file>

<file path=docProps/custom.xml><?xml version="1.0" encoding="utf-8"?>
<Properties xmlns="http://schemas.openxmlformats.org/officeDocument/2006/custom-properties" xmlns:vt="http://schemas.openxmlformats.org/officeDocument/2006/docPropsVTypes"/>
</file>