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Energy-Aware Task Scheduling Using Particle Swarm Optimisation</w:t>
      </w:r>
    </w:p>
    <w:p>
      <w:r>
        <w:t>A. Author, B. Author</w:t>
      </w:r>
    </w:p>
    <w:p>
      <w:r>
        <w:t>Department of CSE, Some University, India</w:t>
      </w:r>
    </w:p>
    <w:p>
      <w:r>
        <w:t>Abstract: We schedule tasks with PSO and report the energy model used in fog nodes.</w:t>
      </w:r>
    </w:p>
    <w:p>
      <w:r>
        <w:t>Keywords: fog computing; PSO; scheduling</w:t>
      </w:r>
    </w:p>
    <w:p>
      <w:r>
        <w:rPr>
          <w:b/>
        </w:rPr>
        <w:t>1. Introduction</w:t>
      </w:r>
    </w:p>
    <w:p>
      <w:r>
        <w:t xml:space="preserve">The energy of node j is </w:t>
      </w:r>
      <w:r>
        <w:rPr>
          <w:position w:val="-10"/>
        </w:rPr>
        <w:object w:dxaOrig="1200" w:dyaOrig="280">
          <v:shape id="_x0000_i101" type="#_x0000_t75" style="width:60pt;height:14pt" o:ole="">
            <v:imagedata r:id="rId9" o:title=""/>
          </v:shape>
          <o:OLEObject Type="Embed" ProgID="Equation.DSMT4" ShapeID="_x0000_i101" DrawAspect="Content" ObjectID="_141" r:id="rId10"/>
        </w:object>
      </w:r>
      <w:r>
        <w:t xml:space="preserve"> and the inline OMML term </w:t>
      </w:r>
      <m:oMath>
        <m:r>
          <m:t>α</m:t>
        </m:r>
        <m:r>
          <m:rPr>
            <m:sty m:val="p"/>
          </m:rPr>
          <m:t>+</m:t>
        </m:r>
        <m:r>
          <m:t>β</m:t>
        </m:r>
      </m:oMath>
      <w:r>
        <w:t xml:space="preserve"> appears inside the sentence [1].</w:t>
      </w:r>
    </w:p>
    <w:p>
      <w:r>
        <w:rPr>
          <w:b/>
        </w:rPr>
        <w:t>2. System Model</w:t>
      </w:r>
    </w:p>
    <w:p>
      <w:r>
        <w:t>The total energy is given by Eq. (1), using MathType:</w:t>
      </w:r>
    </w:p>
    <w:p>
      <w:pPr>
        <w:tabs>
          <w:tab w:pos="4680" w:val="center"/>
          <w:tab w:pos="9360" w:val="right"/>
        </w:tabs>
      </w:pPr>
      <w:r>
        <w:tab/>
      </w:r>
      <w:r>
        <w:rPr>
          <w:position w:val="-10"/>
        </w:rPr>
        <w:object w:dxaOrig="3000" w:dyaOrig="400">
          <v:shape id="_x0000_i102" type="#_x0000_t75" style="width:150pt;height:20pt" o:ole="">
            <v:imagedata r:id="rId11" o:title=""/>
          </v:shape>
          <o:OLEObject Type="Embed" ProgID="Equation.DSMT4" ShapeID="_x0000_i102" DrawAspect="Content" ObjectID="_142" r:id="rId12"/>
        </w:object>
      </w:r>
      <w:r>
        <w:tab/>
      </w:r>
      <w:r>
        <w:t>(1)</w:t>
      </w:r>
    </w:p>
    <w:p>
      <w:r>
        <w:t>The delay constraint is written in an equation table:</w:t>
      </w:r>
    </w:p>
    <w:tbl>
      <w:tblPr>
        <w:tblW w:type="auto" w:w="0"/>
        <w:tblLook w:firstColumn="1" w:firstRow="1" w:lastColumn="0" w:lastRow="0" w:noHBand="0" w:noVBand="1" w:val="04A0"/>
      </w:tblPr>
      <w:tblGrid>
        <w:gridCol w:w="2880"/>
        <w:gridCol w:w="2880"/>
        <w:gridCol w:w="2880"/>
      </w:tblGrid>
      <w:tr>
        <w:tc>
          <w:tcPr>
            <w:tcW w:type="dxa" w:w="864"/>
          </w:tcPr>
          <w:p/>
        </w:tc>
        <w:tc>
          <w:tcPr>
            <w:tcW w:type="dxa" w:w="7200"/>
          </w:tcPr>
          <w:p>
            <m:oMath>
              <m:r>
                <m:t>E</m:t>
              </m:r>
              <m:r>
                <m:rPr>
                  <m:sty m:val="p"/>
                </m:rPr>
                <m:t>=</m:t>
              </m:r>
              <m:r>
                <m:t>m</m:t>
              </m:r>
              <m:sSup>
                <m:e>
                  <m:r>
                    <m:t>c</m:t>
                  </m:r>
                </m:e>
                <m:sup>
                  <m:r>
                    <m:t>2</m:t>
                  </m:r>
                </m:sup>
              </m:sSup>
              <m:r>
                <m:rPr>
                  <m:sty m:val="p"/>
                </m:rPr>
                <m:t>+</m:t>
              </m:r>
              <m:nary>
                <m:naryPr>
                  <m:chr m:val="∑"/>
                  <m:limLoc m:val="undOvr"/>
                  <m:subHide m:val="off"/>
                  <m:supHide m:val="off"/>
                </m:naryPr>
                <m:sub>
                  <m:r>
                    <m:t>i</m:t>
                  </m:r>
                  <m:r>
                    <m:rPr>
                      <m:sty m:val="p"/>
                    </m:rPr>
                    <m:t>=</m:t>
                  </m:r>
                  <m:r>
                    <m:t>1</m:t>
                  </m:r>
                </m:sub>
                <m:sup>
                  <m:r>
                    <m:t>n</m:t>
                  </m:r>
                </m:sup>
                <m:e>
                  <m:sSub>
                    <m:e>
                      <m:r>
                        <m:t>x</m:t>
                      </m:r>
                    </m:e>
                    <m:sub>
                      <m:r>
                        <m:t>i</m:t>
                      </m:r>
                    </m:sub>
                  </m:sSub>
                </m:e>
              </m:nary>
            </m:oMath>
          </w:p>
        </w:tc>
        <w:tc>
          <w:tcPr>
            <w:tcW w:type="dxa" w:w="1296"/>
          </w:tcPr>
          <w:p>
            <w:r>
              <w:t>(2)</w:t>
            </w:r>
          </w:p>
        </w:tc>
      </w:tr>
    </w:tbl>
    <w:p>
      <w:r>
        <w:t>A plain OMML numbered equation follows.</w:t>
      </w:r>
    </w:p>
    <w:p>
      <w:r>
        <w:tab/>
      </w:r>
      <m:oMath>
        <m:r>
          <m:t>E</m:t>
        </m:r>
        <m:r>
          <m:rPr>
            <m:sty m:val="p"/>
          </m:rPr>
          <m:t>=</m:t>
        </m:r>
        <m:r>
          <m:t>m</m:t>
        </m:r>
        <m:sSup>
          <m:e>
            <m:r>
              <m:t>c</m:t>
            </m:r>
          </m:e>
          <m:sup>
            <m:r>
              <m:t>2</m:t>
            </m:r>
          </m:sup>
        </m:sSup>
        <m:r>
          <m:rPr>
            <m:sty m:val="p"/>
          </m:rPr>
          <m:t>+</m:t>
        </m:r>
        <m:nary>
          <m:naryPr>
            <m:chr m:val="∑"/>
            <m:limLoc m:val="undOvr"/>
            <m:subHide m:val="off"/>
            <m:supHide m:val="off"/>
          </m:naryPr>
          <m:sub>
            <m:r>
              <m:t>i</m:t>
            </m:r>
            <m:r>
              <m:rPr>
                <m:sty m:val="p"/>
              </m:rPr>
              <m:t>=</m:t>
            </m:r>
            <m:r>
              <m:t>1</m:t>
            </m:r>
          </m:sub>
          <m:sup>
            <m:r>
              <m:t>n</m:t>
            </m:r>
          </m:sup>
          <m:e>
            <m:sSub>
              <m:e>
                <m:r>
                  <m:t>x</m:t>
                </m:r>
              </m:e>
              <m:sub>
                <m:r>
                  <m:t>i</m:t>
                </m:r>
              </m:sub>
            </m:sSub>
          </m:e>
        </m:nary>
      </m:oMath>
      <w:r>
        <w:tab/>
      </w:r>
      <w:r>
        <w:t>(3)</w:t>
      </w:r>
    </w:p>
    <w:p>
      <w:r>
        <w:rPr>
          <w:b/>
        </w:rPr>
        <w:t>3. Proposed Method</w:t>
      </w:r>
    </w:p>
    <w:p>
      <w:r>
        <w:t>Algorithm 1 summarises the proposed scheduler, whose update rule uses the velocity term.</w:t>
      </w:r>
    </w:p>
    <w:p>
      <w:r>
        <w:rPr>
          <w:b/>
        </w:rPr>
        <w:t xml:space="preserve">Algorithm 1: </w:t>
      </w:r>
      <w:r>
        <w:t>PSO-based task scheduling</w:t>
      </w:r>
    </w:p>
    <w:p>
      <w:pPr>
        <w:spacing w:after="0"/>
        <w:ind w:left="0"/>
      </w:pPr>
      <w:r>
        <w:t>Input: tasks T, fog nodes F, swarm size N</w:t>
      </w:r>
    </w:p>
    <w:p>
      <w:pPr>
        <w:spacing w:after="0"/>
        <w:ind w:left="0"/>
      </w:pPr>
      <w:r>
        <w:t>Output: best schedule g</w:t>
      </w:r>
    </w:p>
    <w:p>
      <w:pPr>
        <w:spacing w:after="0"/>
        <w:ind w:left="0"/>
      </w:pPr>
      <w:r>
        <w:t>1: Initialize N particles randomly</w:t>
      </w:r>
    </w:p>
    <w:p>
      <w:pPr>
        <w:spacing w:after="0"/>
        <w:ind w:left="0"/>
      </w:pPr>
      <w:r>
        <w:t>2: for t = 1 to Tmax do</w:t>
      </w:r>
    </w:p>
    <w:p>
      <w:pPr>
        <w:spacing w:after="0"/>
        <w:ind w:left="432"/>
      </w:pPr>
      <w:r>
        <w:t>3: for each particle i do</w:t>
      </w:r>
    </w:p>
    <w:p>
      <w:pPr>
        <w:spacing w:after="0"/>
        <w:ind w:left="864"/>
      </w:pPr>
      <w:r>
        <w:t xml:space="preserve">4: v ← </w:t>
      </w:r>
      <m:oMath>
        <m:r>
          <m:t>α</m:t>
        </m:r>
        <m:r>
          <m:rPr>
            <m:sty m:val="p"/>
          </m:rPr>
          <m:t>+</m:t>
        </m:r>
        <m:r>
          <m:t>β</m:t>
        </m:r>
      </m:oMath>
    </w:p>
    <w:p>
      <w:pPr>
        <w:spacing w:after="0"/>
        <w:ind w:left="864"/>
      </w:pPr>
      <w:r>
        <w:t>5: x ← x + v</w:t>
      </w:r>
    </w:p>
    <w:p>
      <w:pPr>
        <w:spacing w:after="0"/>
        <w:ind w:left="432"/>
      </w:pPr>
      <w:r>
        <w:t>6: end for</w:t>
      </w:r>
    </w:p>
    <w:p>
      <w:pPr>
        <w:spacing w:after="0"/>
        <w:ind w:left="0"/>
      </w:pPr>
      <w:r>
        <w:t>7: end for</w:t>
      </w:r>
    </w:p>
    <w:p>
      <w:pPr>
        <w:spacing w:after="0"/>
        <w:ind w:left="0"/>
      </w:pPr>
      <w:r>
        <w:t>8: return g</w:t>
      </w:r>
    </w:p>
    <w:p>
      <w:r>
        <w:t>After convergence the best particle is mapped to the fog nodes, as discussed in the following section where we also compare it with the genetic algorithm baseline in detail for completeness.</w:t>
      </w:r>
    </w:p>
    <w:tbl>
      <w:tblPr>
        <w:tblStyle w:val="TableGrid"/>
        <w:tblW w:type="auto" w:w="0"/>
        <w:tblLook w:firstColumn="1" w:firstRow="1" w:lastColumn="0" w:lastRow="0" w:noHBand="0" w:noVBand="1" w:val="04A0"/>
      </w:tblPr>
      <w:tblGrid>
        <w:gridCol w:w="8640"/>
      </w:tblGrid>
      <w:tr>
        <w:tc>
          <w:tcPr>
            <w:tcW w:type="dxa" w:w="8640"/>
          </w:tcPr>
          <w:p>
            <w:r>
              <w:rPr>
                <w:b/>
              </w:rPr>
              <w:t>Algorithm 2: Genetic algorithm baseline</w:t>
            </w:r>
          </w:p>
          <w:p>
            <w:pPr>
              <w:pStyle w:val="ListNumber"/>
            </w:pPr>
            <w:r>
              <w:t>Generate initial population P</w:t>
            </w:r>
          </w:p>
          <w:p>
            <w:pPr>
              <w:pStyle w:val="ListNumber"/>
            </w:pPr>
            <w:r>
              <w:t>Evaluate fitness of each chromosome</w:t>
            </w:r>
          </w:p>
          <w:p>
            <w:pPr>
              <w:pStyle w:val="ListNumber"/>
            </w:pPr>
            <w:r>
              <w:t>Apply crossover and mutation</w:t>
            </w:r>
          </w:p>
          <w:p>
            <w:pPr>
              <w:pStyle w:val="ListNumber"/>
            </w:pPr>
            <w:r>
              <w:t>Return the fittest chromosome</w:t>
            </w:r>
          </w:p>
        </w:tc>
      </w:tr>
    </w:tbl>
    <w:p>
      <w:r>
        <w:rPr>
          <w:b/>
        </w:rPr>
        <w:t>4. Results</w:t>
      </w:r>
    </w:p>
    <w:p>
      <w:r>
        <w:t>Table 1 lists the energy per method with merged headers and a maths cell.</w:t>
      </w:r>
    </w:p>
    <w:p>
      <w:r>
        <w:t>Table 1. Energy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5760"/>
            <w:gridSpan w:val="2"/>
          </w:tcPr>
          <w:p>
            <w:r>
              <w:t>Energy (J)</w:t>
            </w:r>
          </w:p>
        </w:tc>
      </w:tr>
      <w:tr>
        <w:tc>
          <w:tcPr>
            <w:tcW w:type="dxa" w:w="2880"/>
          </w:tcPr>
          <w:p>
            <w:r/>
          </w:p>
        </w:tc>
        <w:tc>
          <w:tcPr>
            <w:tcW w:type="dxa" w:w="2880"/>
          </w:tcPr>
          <w:p>
            <w:r>
              <w:t>Mean</w:t>
            </w:r>
          </w:p>
        </w:tc>
        <w:tc>
          <w:tcPr>
            <w:tcW w:type="dxa" w:w="2880"/>
          </w:tcPr>
          <w:p>
            <w:r>
              <w:t>Std</w:t>
            </w:r>
          </w:p>
        </w:tc>
      </w:tr>
      <w:tr>
        <w:tc>
          <w:tcPr>
            <w:tcW w:type="dxa" w:w="2880"/>
          </w:tcPr>
          <w:p>
            <w:r>
              <w:t>PSO</w:t>
            </w:r>
          </w:p>
        </w:tc>
        <w:tc>
          <w:tcPr>
            <w:tcW w:type="dxa" w:w="2880"/>
          </w:tcPr>
          <w:p>
            <m:oMath>
              <m:r>
                <m:t>α</m:t>
              </m:r>
              <m:r>
                <m:rPr>
                  <m:sty m:val="p"/>
                </m:rPr>
                <m:t>+</m:t>
              </m:r>
              <m:r>
                <m:t>β</m:t>
              </m:r>
            </m:oMath>
          </w:p>
        </w:tc>
        <w:tc>
          <w:tcPr>
            <w:tcW w:type="dxa" w:w="2880"/>
          </w:tcPr>
          <w:p>
            <w:r>
              <w:t>0.4</w:t>
            </w:r>
          </w:p>
        </w:tc>
      </w:tr>
    </w:tbl>
    <w:p>
      <w:r>
        <w:rPr>
          <w:b/>
        </w:rPr>
        <w:t>References</w:t>
      </w:r>
    </w:p>
    <w:p>
      <w:r>
        <w:t>[1] A. Smith, “Fog scheduling,” IEEE Access, vol. 9, pp. 1–10,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mt1.png"/><Relationship Id="rId10" Type="http://schemas.openxmlformats.org/officeDocument/2006/relationships/oleObject" Target="embeddings/oleObject1.bin"/><Relationship Id="rId11" Type="http://schemas.openxmlformats.org/officeDocument/2006/relationships/image" Target="media/mt2.png"/><Relationship Id="rId1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