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A70"/>
          <w:spacing w:val="60"/>
          <w:sz w:val="18"/>
          <w:szCs w:val="18"/>
        </w:rPr>
        <w:t xml:space="preserve">THEBASICS.ACADEMY</w:t>
      </w:r>
    </w:p>
    <w:p>
      <w:pPr>
        <w:spacing w:after="200" w:before="0" w:line="276"/>
      </w:pPr>
      <w:r>
        <w:rPr>
          <w:rFonts w:ascii="Calibri" w:cs="Calibri" w:eastAsia="Calibri" w:hAnsi="Calibri"/>
          <w:color w:val="5A6B7F"/>
          <w:sz w:val="20"/>
          <w:szCs w:val="20"/>
        </w:rPr>
        <w:t xml:space="preserve">Smart Contract Security: Fundamentals &amp; Auditing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5E12"/>
          <w:spacing w:val="40"/>
          <w:sz w:val="20"/>
          <w:szCs w:val="20"/>
        </w:rPr>
        <w:t xml:space="preserve">UNIT III · LABORATORY 4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0E1A2B"/>
          <w:sz w:val="44"/>
          <w:szCs w:val="44"/>
        </w:rPr>
        <w:t xml:space="preserve">Ordering &amp; Time Dependence</w:t>
      </w:r>
    </w:p>
    <w:p>
      <w:pPr>
        <w:spacing w:after="220" w:before="0" w:line="276"/>
      </w:pPr>
      <w:r>
        <w:rPr>
          <w:rFonts w:ascii="Calibri" w:cs="Calibri" w:eastAsia="Calibri" w:hAnsi="Calibri"/>
          <w:color w:val="5A6B7F"/>
          <w:sz w:val="22"/>
          <w:szCs w:val="22"/>
        </w:rPr>
        <w:t xml:space="preserve">Proving front-running, sandwich and timestamp bugs with executable tests</w:t>
      </w:r>
    </w:p>
    <w:tbl>
      <w:tblPr>
        <w:tblW w:type="dxa" w:w="9026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none"/>
          <w:insideV w:val="single" w:color="C8D3DF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B7F"/>
                <w:spacing w:val="40"/>
                <w:sz w:val="15"/>
                <w:szCs w:val="15"/>
              </w:rPr>
              <w:t xml:space="preserve">DURATION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21"/>
                <w:szCs w:val="21"/>
              </w:rPr>
              <w:t xml:space="preserve">2 hours</w:t>
            </w:r>
          </w:p>
        </w:tc>
        <w:tc>
          <w:tcPr>
            <w:tcW w:type="dxa" w:w="2256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B7F"/>
                <w:spacing w:val="40"/>
                <w:sz w:val="15"/>
                <w:szCs w:val="15"/>
              </w:rPr>
              <w:t xml:space="preserve">ASSESSMENT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21"/>
                <w:szCs w:val="21"/>
              </w:rPr>
              <w:t xml:space="preserve">CAL 1 · 30 marks</w:t>
            </w:r>
          </w:p>
        </w:tc>
        <w:tc>
          <w:tcPr>
            <w:tcW w:type="dxa" w:w="2256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B7F"/>
                <w:spacing w:val="40"/>
                <w:sz w:val="15"/>
                <w:szCs w:val="15"/>
              </w:rPr>
              <w:t xml:space="preserve">DEFECTS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21"/>
                <w:szCs w:val="21"/>
              </w:rPr>
              <w:t xml:space="preserve">7 planted</w:t>
            </w:r>
          </w:p>
        </w:tc>
        <w:tc>
          <w:tcPr>
            <w:tcW w:type="dxa" w:w="2256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B7F"/>
                <w:spacing w:val="40"/>
                <w:sz w:val="15"/>
                <w:szCs w:val="15"/>
              </w:rPr>
              <w:t xml:space="preserve">OUTCOME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21"/>
                <w:szCs w:val="21"/>
              </w:rPr>
              <w:t xml:space="preserve">CO2 · Level 4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pStyle w:val="Heading1"/>
        <w:pBdr>
          <w:bottom w:val="single" w:color="C8D3DF" w:sz="6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E1A2B"/>
          <w:sz w:val="30"/>
          <w:szCs w:val="30"/>
        </w:rPr>
        <w:t xml:space="preserve">1. Aim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 locate, reproduce and remediate defects whose exploitability depends on when a transaction executes or where it sits within a block, and to document each finding to the standard expected of a professional audit report.</w:t>
      </w:r>
    </w:p>
    <w:p>
      <w:pPr>
        <w:pStyle w:val="Heading1"/>
        <w:pBdr>
          <w:bottom w:val="single" w:color="C8D3DF" w:sz="6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E1A2B"/>
          <w:sz w:val="30"/>
          <w:szCs w:val="30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Distinguish transaction ordering dependence from time dependence, and recognise each in unfamiliar Solidity.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Use the Hardhat Network as a block builder to construct adversarial transaction orderings.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Write a proof-of-exploit test that demonstrates attacker profit rather than merely a reverted call.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Map every finding to a stable weakness identifier and argue severity in terms of attacker cost.</w:t>
      </w:r>
    </w:p>
    <w:p>
      <w:pPr>
        <w:pStyle w:val="Heading1"/>
        <w:pBdr>
          <w:bottom w:val="single" w:color="C8D3DF" w:sz="6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E1A2B"/>
          <w:sz w:val="30"/>
          <w:szCs w:val="30"/>
        </w:rPr>
        <w:t xml:space="preserve">3. Prerequisites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Unit II — Solidity foundations, visibility, error handling.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Unit III Lectures 1–4, in particular the L4 treatment of ordering and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working Node.js toolchain and familiarity with running Hardhat tests.</w:t>
      </w:r>
    </w:p>
    <w:p>
      <w:pPr>
        <w:pStyle w:val="Heading1"/>
        <w:pBdr>
          <w:bottom w:val="single" w:color="C8D3DF" w:sz="6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E1A2B"/>
          <w:sz w:val="30"/>
          <w:szCs w:val="30"/>
        </w:rPr>
        <w:t xml:space="preserve">4. Apparatus</w:t>
      </w:r>
    </w:p>
    <w:tbl>
      <w:tblPr>
        <w:tblW w:type="dxa" w:w="9026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single" w:color="C8D3DF" w:sz="4"/>
          <w:insideV w:val="single" w:color="C8D3DF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26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/ detail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Solidity compiler</w:t>
            </w:r>
          </w:p>
        </w:tc>
        <w:tc>
          <w:tcPr>
            <w:tcW w:type="dxa" w:w="58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0.8.24, optimizer enabled, 200 runs</w:t>
            </w:r>
          </w:p>
        </w:tc>
      </w:tr>
      <w:tr>
        <w:tc>
          <w:tcPr>
            <w:tcW w:type="dxa" w:w="32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5826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Hardhat with hardhat-toolbox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Network</w:t>
            </w:r>
          </w:p>
        </w:tc>
        <w:tc>
          <w:tcPr>
            <w:tcW w:type="dxa" w:w="58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Hardhat Network, local, auto-mine toggled per test</w:t>
            </w:r>
          </w:p>
        </w:tc>
      </w:tr>
      <w:tr>
        <w:tc>
          <w:tcPr>
            <w:tcW w:type="dxa" w:w="32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Kit</w:t>
            </w:r>
          </w:p>
        </w:tc>
        <w:tc>
          <w:tcPr>
            <w:tcW w:type="dxa" w:w="5826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scs-lab4-student — three contracts, two mocks, one worked example</w:t>
            </w:r>
          </w:p>
        </w:tc>
      </w:tr>
    </w:tbl>
    <w:p>
      <w:pPr>
        <w:pStyle w:val="Heading1"/>
        <w:pBdr>
          <w:bottom w:val="single" w:color="C8D3DF" w:sz="6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E1A2B"/>
          <w:sz w:val="30"/>
          <w:szCs w:val="30"/>
        </w:rPr>
        <w:t xml:space="preserve">5. Procedure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1A2B"/>
          <w:sz w:val="24"/>
          <w:szCs w:val="24"/>
        </w:rPr>
        <w:t xml:space="preserve">5.1 Bring the bench up</w:t>
      </w:r>
    </w:p>
    <w:p>
      <w:pPr>
        <w:shd w:fill="F1F5F9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npm install</w:t>
      </w:r>
    </w:p>
    <w:p>
      <w:pPr>
        <w:shd w:fill="F1F5F9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npx hardhat compile</w:t>
      </w:r>
    </w:p>
    <w:p>
      <w:pPr>
        <w:shd w:fill="F1F5F9" w:color="auto" w:val="clear"/>
        <w:spacing w:after="140" w:before="0" w:line="240"/>
        <w:ind w:left="170" w:right="17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npx hardhat test        # the worked example should pass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Read the compiler output rather than scrolling past it. It has an opinion about one of the contracts in this kit.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1A2B"/>
          <w:sz w:val="24"/>
          <w:szCs w:val="24"/>
        </w:rPr>
        <w:t xml:space="preserve">5.2 Locate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Read all three contracts before writing any test. For each function, ask two questions: does the result change if this transaction is placed after somebody else's, and does the result change if the block timestamp moves by a few seconds? Mark every line where the answer is yes.</w:t>
      </w:r>
    </w:p>
    <w:p>
      <w:pPr>
        <w:pBdr>
          <w:top w:val="single" w:color="9B1C1C" w:sz="4" w:space="6"/>
          <w:bottom w:val="single" w:color="9B1C1C" w:sz="4" w:space="6"/>
          <w:left w:val="single" w:color="9B1C1C" w:sz="4" w:space="6"/>
          <w:right w:val="single" w:color="9B1C1C" w:sz="4" w:space="6"/>
        </w:pBdr>
        <w:shd w:fill="F1F5F9" w:color="auto" w:val="clear"/>
        <w:spacing w:after="160" w:before="140" w:line="276"/>
        <w:ind w:left="140" w:right="140"/>
      </w:pPr>
      <w:r>
        <w:rPr>
          <w:rFonts w:ascii="Calibri" w:cs="Calibri" w:eastAsia="Calibri" w:hAnsi="Calibri"/>
          <w:b/>
          <w:bCs/>
          <w:color w:val="9B1C1C"/>
          <w:sz w:val="21"/>
          <w:szCs w:val="21"/>
        </w:rPr>
        <w:t xml:space="preserve">Ground rule.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Seven defects are planted. Some functions are entirely correct, and reporting a correct function as vulnerable costs one mark. Precision matters as much as recall.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1A2B"/>
          <w:sz w:val="24"/>
          <w:szCs w:val="24"/>
        </w:rPr>
        <w:t xml:space="preserve">5.3 Prove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Each finding needs a test whose title begins with the finding ID exactly as it appears in your findings table. Assert on the outcome an attacker achieves, not on a revert string.</w:t>
      </w:r>
    </w:p>
    <w:p>
      <w:pPr>
        <w:shd w:fill="F1F5F9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take the proposer's seat</w:t>
      </w:r>
    </w:p>
    <w:p>
      <w:pPr>
        <w:shd w:fill="F1F5F9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await network.provider.send("evm_setAutomine", [false]);</w:t>
      </w:r>
    </w:p>
    <w:p>
      <w:pPr>
        <w:shd w:fill="F1F5F9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await victimTx();</w:t>
      </w:r>
    </w:p>
    <w:p>
      <w:pPr>
        <w:shd w:fill="F1F5F9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await attackerTx();</w:t>
      </w:r>
    </w:p>
    <w:p>
      <w:pPr>
        <w:shd w:fill="F1F5F9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await network.provider.send("evm_mine");</w:t>
      </w:r>
    </w:p>
    <w:p>
      <w:pPr>
        <w:shd w:fill="F1F5F9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await network.provider.send("evm_setAutomine", [true]);</w:t>
      </w:r>
    </w:p>
    <w:p>
      <w:pPr>
        <w:shd w:fill="F1F5F9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1F5F9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move the clock for the next block only</w:t>
      </w:r>
    </w:p>
    <w:p>
      <w:pPr>
        <w:shd w:fill="F1F5F9" w:color="auto" w:val="clear"/>
        <w:spacing w:after="140" w:before="0" w:line="240"/>
        <w:ind w:left="170" w:right="17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await network.provider.send("evm_setNextBlockTimestamp", [t]);</w:t>
      </w:r>
    </w:p>
    <w:p>
      <w:pPr>
        <w:pBdr>
          <w:top w:val="single" w:color="8A5E12" w:sz="4" w:space="6"/>
          <w:bottom w:val="single" w:color="8A5E12" w:sz="4" w:space="6"/>
          <w:left w:val="single" w:color="8A5E12" w:sz="4" w:space="6"/>
          <w:right w:val="single" w:color="8A5E12" w:sz="4" w:space="6"/>
        </w:pBdr>
        <w:shd w:fill="F1F5F9" w:color="auto" w:val="clear"/>
        <w:spacing w:after="160" w:before="140" w:line="276"/>
        <w:ind w:left="140" w:right="140"/>
      </w:pPr>
      <w:r>
        <w:rPr>
          <w:rFonts w:ascii="Calibri" w:cs="Calibri" w:eastAsia="Calibri" w:hAnsi="Calibri"/>
          <w:b/>
          <w:bCs/>
          <w:color w:val="8A5E12"/>
          <w:sz w:val="21"/>
          <w:szCs w:val="21"/>
        </w:rPr>
        <w:t xml:space="preserve">Common failure.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Auto-mine left disabled at the end of a test hangs every test that follows. Restore it in an afterEach hook.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1A2B"/>
          <w:sz w:val="24"/>
          <w:szCs w:val="24"/>
        </w:rPr>
        <w:t xml:space="preserve">5.4 Remediate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Choose one finding, patch it in contracts/patched/, and demonstrate that the corresponding test now passes. Record the gas cost before and after, and state honestly what the fix costs in usability or complexity.</w:t>
      </w:r>
    </w:p>
    <w:p>
      <w:pPr>
        <w:pStyle w:val="Heading1"/>
        <w:pBdr>
          <w:bottom w:val="single" w:color="C8D3DF" w:sz="6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E1A2B"/>
          <w:sz w:val="30"/>
          <w:szCs w:val="30"/>
        </w:rPr>
        <w:t xml:space="preserve">6. Exercises</w:t>
      </w:r>
    </w:p>
    <w:tbl>
      <w:tblPr>
        <w:tblW w:type="dxa" w:w="9026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single" w:color="C8D3DF" w:sz="4"/>
          <w:insideV w:val="single" w:color="C8D3DF" w:sz="4"/>
        </w:tblBorders>
      </w:tblPr>
      <w:tblGrid>
        <w:gridCol w:w="500"/>
        <w:gridCol w:w="2300"/>
        <w:gridCol w:w="800"/>
        <w:gridCol w:w="4126"/>
        <w:gridCol w:w="1300"/>
      </w:tblGrid>
      <w:tr>
        <w:trPr>
          <w:tblHeader/>
        </w:trPr>
        <w:tc>
          <w:tcPr>
            <w:tcW w:type="dxa" w:w="500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800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Defects</w:t>
            </w:r>
          </w:p>
        </w:tc>
        <w:tc>
          <w:tcPr>
            <w:tcW w:type="dxa" w:w="4126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Guiding questions</w:t>
            </w:r>
          </w:p>
        </w:tc>
        <w:tc>
          <w:tcPr>
            <w:tcW w:type="dxa" w:w="1300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SealedBidAuction.sol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1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 what sense is this auction sealed? What powers does the seller retain over the clock?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5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LuckyDraw.sol</w:t>
            </w:r>
          </w:p>
        </w:tc>
        <w:tc>
          <w:tcPr>
            <w:tcW w:type="dxa" w:w="8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126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Which seed inputs are already known when draw() is called? What if the winner refuses payment?</w:t>
            </w:r>
          </w:p>
        </w:tc>
        <w:tc>
          <w:tcPr>
            <w:tcW w:type="dxa" w:w="13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SlippageSwap.sol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1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Trace every named parameter through the function body. All of them.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20 min</w:t>
            </w:r>
          </w:p>
        </w:tc>
      </w:tr>
    </w:tbl>
    <w:p>
      <w:pPr>
        <w:pStyle w:val="Heading1"/>
        <w:pBdr>
          <w:bottom w:val="single" w:color="C8D3DF" w:sz="6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E1A2B"/>
          <w:sz w:val="30"/>
          <w:szCs w:val="30"/>
        </w:rPr>
        <w:t xml:space="preserve">7. Deliverables</w:t>
      </w:r>
    </w:p>
    <w:tbl>
      <w:tblPr>
        <w:tblW w:type="dxa" w:w="9026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single" w:color="C8D3DF" w:sz="4"/>
          <w:insideV w:val="single" w:color="C8D3DF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26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findings.csv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Seven rows: ID, contract, function, category, SCWE, severity, impact, test name</w:t>
            </w:r>
          </w:p>
        </w:tc>
      </w:tr>
      <w:tr>
        <w:tc>
          <w:tcPr>
            <w:tcW w:type="dxa" w:w="26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test/*.t.js</w:t>
            </w:r>
          </w:p>
        </w:tc>
        <w:tc>
          <w:tcPr>
            <w:tcW w:type="dxa" w:w="6426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One test file per contract; test titles begin with the finding ID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contracts/patched/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One remediated contract</w:t>
            </w:r>
          </w:p>
        </w:tc>
      </w:tr>
      <w:tr>
        <w:tc>
          <w:tcPr>
            <w:tcW w:type="dxa" w:w="26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REMEDIATION.md</w:t>
            </w:r>
          </w:p>
        </w:tc>
        <w:tc>
          <w:tcPr>
            <w:tcW w:type="dxa" w:w="6426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What changed, why, the gas delta, and the trade-off accepted</w:t>
            </w:r>
          </w:p>
        </w:tc>
      </w:tr>
    </w:tbl>
    <w:p>
      <w:pPr>
        <w:pStyle w:val="Heading1"/>
        <w:pBdr>
          <w:bottom w:val="single" w:color="C8D3DF" w:sz="6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E1A2B"/>
          <w:sz w:val="30"/>
          <w:szCs w:val="30"/>
        </w:rPr>
        <w:t xml:space="preserve">8. Assessment rubric</w:t>
      </w:r>
    </w:p>
    <w:tbl>
      <w:tblPr>
        <w:tblW w:type="dxa" w:w="9026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single" w:color="C8D3DF" w:sz="4"/>
          <w:insideV w:val="single" w:color="C8D3DF" w:sz="4"/>
        </w:tblBorders>
      </w:tblPr>
      <w:tblGrid>
        <w:gridCol w:w="2400"/>
        <w:gridCol w:w="5426"/>
        <w:gridCol w:w="1200"/>
      </w:tblGrid>
      <w:tr>
        <w:trPr>
          <w:tblHeader/>
        </w:trPr>
        <w:tc>
          <w:tcPr>
            <w:tcW w:type="dxa" w:w="2400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426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 marks awarded when</w:t>
            </w:r>
          </w:p>
        </w:tc>
        <w:tc>
          <w:tcPr>
            <w:tcW w:type="dxa" w:w="1200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Detection</w:t>
            </w:r>
          </w:p>
        </w:tc>
        <w:tc>
          <w:tcPr>
            <w:tcW w:type="dxa" w:w="54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All seven defects located; no correct function reported as vulnerable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Reproduction</w:t>
            </w:r>
          </w:p>
        </w:tc>
        <w:tc>
          <w:tcPr>
            <w:tcW w:type="dxa" w:w="5426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Every finding has a named test that fails against the unpatched contract</w:t>
            </w:r>
          </w:p>
        </w:tc>
        <w:tc>
          <w:tcPr>
            <w:tcW w:type="dxa" w:w="12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Severity &amp; rationale</w:t>
            </w:r>
          </w:p>
        </w:tc>
        <w:tc>
          <w:tcPr>
            <w:tcW w:type="dxa" w:w="54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Impact and likelihood argued in terms of what the attack costs an attacker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5426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One patch applied, the matching test now passes, gas delta reported</w:t>
            </w:r>
          </w:p>
        </w:tc>
        <w:tc>
          <w:tcPr>
            <w:tcW w:type="dxa" w:w="12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Reference mapping</w:t>
            </w:r>
          </w:p>
        </w:tc>
        <w:tc>
          <w:tcPr>
            <w:tcW w:type="dxa" w:w="54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Each finding carries an SCWE or SC Top 10 identifier, cited with its year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Report hygiene</w:t>
            </w:r>
          </w:p>
        </w:tc>
        <w:tc>
          <w:tcPr>
            <w:tcW w:type="dxa" w:w="5426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Findings table complete, suite runs clean, no stray output</w:t>
            </w:r>
          </w:p>
        </w:tc>
        <w:tc>
          <w:tcPr>
            <w:tcW w:type="dxa" w:w="12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tcW w:type="dxa" w:w="54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30</w:t>
            </w:r>
          </w:p>
        </w:tc>
      </w:tr>
    </w:tbl>
    <w:p>
      <w:pPr>
        <w:pBdr>
          <w:top w:val="single" w:color="8A5E12" w:sz="4" w:space="6"/>
          <w:bottom w:val="single" w:color="8A5E12" w:sz="4" w:space="6"/>
          <w:left w:val="single" w:color="8A5E12" w:sz="4" w:space="6"/>
          <w:right w:val="single" w:color="8A5E12" w:sz="4" w:space="6"/>
        </w:pBdr>
        <w:shd w:fill="F1F5F9" w:color="auto" w:val="clear"/>
        <w:spacing w:after="160" w:before="140" w:line="276"/>
        <w:ind w:left="140" w:right="140"/>
      </w:pPr>
      <w:r>
        <w:rPr>
          <w:rFonts w:ascii="Calibri" w:cs="Calibri" w:eastAsia="Calibri" w:hAnsi="Calibri"/>
          <w:b/>
          <w:bCs/>
          <w:color w:val="8A5E12"/>
          <w:sz w:val="21"/>
          <w:szCs w:val="21"/>
        </w:rPr>
        <w:t xml:space="preserve">Deduction.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One mark per false positive, capped at the eight detection marks. Under-reporting to protect marks is the wrong instinct — report what you can defend.</w:t>
      </w:r>
    </w:p>
    <w:p>
      <w:pPr>
        <w:pStyle w:val="Heading1"/>
        <w:pBdr>
          <w:bottom w:val="single" w:color="C8D3DF" w:sz="6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E1A2B"/>
          <w:sz w:val="30"/>
          <w:szCs w:val="30"/>
        </w:rPr>
        <w:t xml:space="preserve">9. Reference stack</w:t>
      </w:r>
    </w:p>
    <w:tbl>
      <w:tblPr>
        <w:tblW w:type="dxa" w:w="9026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single" w:color="C8D3DF" w:sz="4"/>
          <w:insideV w:val="single" w:color="C8D3DF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Weakness in this lab</w:t>
            </w:r>
          </w:p>
        </w:tc>
        <w:tc>
          <w:tcPr>
            <w:tcW w:type="dxa" w:w="3000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Identifier</w:t>
            </w:r>
          </w:p>
        </w:tc>
      </w:tr>
      <w:tr>
        <w:tc>
          <w:tcPr>
            <w:tcW w:type="dxa" w:w="60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Insufficient protection against front-running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SCWE-037</w:t>
            </w:r>
          </w:p>
        </w:tc>
      </w:tr>
      <w:tr>
        <w:tc>
          <w:tcPr>
            <w:tcW w:type="dxa" w:w="6026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Transaction order dependence</w:t>
            </w:r>
          </w:p>
        </w:tc>
        <w:tc>
          <w:tcPr>
            <w:tcW w:type="dxa" w:w="30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SCWE-052</w:t>
            </w:r>
          </w:p>
        </w:tc>
      </w:tr>
      <w:tr>
        <w:tc>
          <w:tcPr>
            <w:tcW w:type="dxa" w:w="60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Insecure use of block variables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SCWE-031</w:t>
            </w:r>
          </w:p>
        </w:tc>
      </w:tr>
      <w:tr>
        <w:tc>
          <w:tcPr>
            <w:tcW w:type="dxa" w:w="6026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Reliance on block.prevrandao for high-value randomness</w:t>
            </w:r>
          </w:p>
        </w:tc>
        <w:tc>
          <w:tcPr>
            <w:tcW w:type="dxa" w:w="30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SCWE-153</w:t>
            </w:r>
          </w:p>
        </w:tc>
      </w:tr>
      <w:tr>
        <w:tc>
          <w:tcPr>
            <w:tcW w:type="dxa" w:w="60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Missing slippage protection in automated swaps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SCWE-090</w:t>
            </w:r>
          </w:p>
        </w:tc>
      </w:tr>
      <w:tr>
        <w:tc>
          <w:tcPr>
            <w:tcW w:type="dxa" w:w="6026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Absence of time-locked functions</w:t>
            </w:r>
          </w:p>
        </w:tc>
        <w:tc>
          <w:tcPr>
            <w:tcW w:type="dxa" w:w="30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SCWE-020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5A6B7F"/>
          <w:sz w:val="20"/>
          <w:szCs w:val="20"/>
        </w:rPr>
        <w:t xml:space="preserve">Read them at scs.owasp.org/SCWE/. Front-running and timestamp dependence were standalone entries in the 2023 OWASP Smart Contract Top 10 but sit inside broader categories in the 2025 and 2026 revisions — always cite the year alongside a Top 10 identifier. SCWE numbers are stable across revisions, which is why this course prefers them.</w:t>
      </w:r>
    </w:p>
    <w:p>
      <w:pPr>
        <w:spacing w:after="20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1A2B"/>
          <w:sz w:val="24"/>
          <w:szCs w:val="24"/>
        </w:rPr>
        <w:t xml:space="preserve">Sign-off</w:t>
      </w:r>
    </w:p>
    <w:tbl>
      <w:tblPr>
        <w:tblW w:type="dxa" w:w="9026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single" w:color="C8D3DF" w:sz="4"/>
          <w:insideV w:val="single" w:color="C8D3DF" w:sz="4"/>
        </w:tblBorders>
      </w:tblPr>
      <w:tblGrid>
        <w:gridCol w:w="1800"/>
        <w:gridCol w:w="2800"/>
        <w:gridCol w:w="2426"/>
        <w:gridCol w:w="2000"/>
      </w:tblGrid>
      <w:tr>
        <w:trPr>
          <w:tblHeader/>
        </w:trPr>
        <w:tc>
          <w:tcPr>
            <w:tcW w:type="dxa" w:w="1800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26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shd w:fill="0E1A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Balaji Pachai</w:t>
            </w:r>
          </w:p>
        </w:tc>
        <w:tc>
          <w:tcPr>
            <w:tcW w:type="dxa" w:w="24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8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Dr. Monika Gadre</w:t>
            </w:r>
          </w:p>
        </w:tc>
        <w:tc>
          <w:tcPr>
            <w:tcW w:type="dxa" w:w="2426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E7EE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Dr. Tushar Deshmukh</w:t>
            </w:r>
          </w:p>
        </w:tc>
        <w:tc>
          <w:tcPr>
            <w:tcW w:type="dxa" w:w="24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3DF" w:sz="4" w:space="6"/>
      </w:pBdr>
      <w:tabs>
        <w:tab w:val="right" w:pos="9026"/>
      </w:tabs>
    </w:pPr>
    <w:r>
      <w:rPr>
        <w:rFonts w:ascii="Calibri" w:cs="Calibri" w:eastAsia="Calibri" w:hAnsi="Calibri"/>
        <w:color w:val="5A6B7F"/>
        <w:sz w:val="16"/>
        <w:szCs w:val="16"/>
      </w:rPr>
      <w:t xml:space="preserve">DES Pune University · B.Sc. (Blockchain Technology) · Semester VI · Unit III Lab 4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5A6B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thebasics.academy</dc:creator>
  <dc:description>DES Pune University — B.Sc. Blockchain Technology</dc:description>
  <cp:lastModifiedBy>Un-named</cp:lastModifiedBy>
  <cp:revision>1</cp:revision>
  <dcterms:created xsi:type="dcterms:W3CDTF">2026-08-20T02:12:14.186Z</dcterms:created>
  <dcterms:modified xsi:type="dcterms:W3CDTF">2026-08-20T02:12:14.200Z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