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New</w:t>
      </w:r>
      <w:r>
        <w:t xml:space="preserve"> </w:t>
      </w:r>
      <w:r>
        <w:t xml:space="preserve">paper</w:t>
      </w:r>
      <w:r>
        <w:t xml:space="preserve"> </w:t>
      </w:r>
      <w:r>
        <w:t xml:space="preserve">template</w:t>
      </w:r>
    </w:p>
    <w:bookmarkStart w:id="21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u w:val="single"/>
        </w:rPr>
        <w:t xml:space="preserve">This</w:t>
      </w:r>
      <w:r>
        <w:t xml:space="preserve"> </w:t>
      </w:r>
      <w:r>
        <w:t xml:space="preserve">is an R</w:t>
      </w:r>
      <w:r>
        <w:t xml:space="preserve"> </w:t>
      </w:r>
      <w:r>
        <w:rPr>
          <w:bCs/>
          <w:b/>
        </w:rPr>
        <w:t xml:space="preserve">Markdown</w:t>
      </w:r>
      <w:r>
        <w:t xml:space="preserve"> </w:t>
      </w:r>
      <w:r>
        <w:rPr>
          <w:iCs/>
          <w:i/>
        </w:rPr>
        <w:t xml:space="preserve">document.</w:t>
      </w:r>
      <w:r>
        <w:t xml:space="preserve"> </w:t>
      </w:r>
      <w:r>
        <w:rPr>
          <w:vertAlign w:val="superscript"/>
        </w:rPr>
        <w:t xml:space="preserve">Markdown</w:t>
      </w:r>
      <w:r>
        <w:t xml:space="preserve"> </w:t>
      </w:r>
      <w:r>
        <w:t xml:space="preserve">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text in bold</w:t>
      </w:r>
      <w:r>
        <w:t xml:space="preserve"> </w:t>
      </w:r>
      <w:r>
        <w:rPr>
          <w:iCs/>
          <w:i/>
        </w:rPr>
        <w:t xml:space="preserve">italic</w:t>
      </w:r>
      <w:r>
        <w:t xml:space="preserve"> </w:t>
      </w:r>
      <w:r>
        <w:rPr>
          <w:u w:val="single"/>
        </w:rPr>
        <w:t xml:space="preserve">underline</w:t>
      </w:r>
    </w:p>
    <w:bookmarkEnd w:id="21"/>
    <w:bookmarkStart w:id="48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You can add references either by referring to their id in the .bib file e.g.,</w:t>
      </w:r>
      <w:r>
        <w:t xml:space="preserve"> </w:t>
      </w:r>
      <w:r>
        <w:t xml:space="preserve">(Marinković et al., 2019)</w:t>
      </w:r>
      <w:r>
        <w:t xml:space="preserve">, or by switching to the visual editor (Cogwheel in the .Rmd menu -&gt; Use Visual Editor). [</w:t>
      </w:r>
      <w:r>
        <w:t xml:space="preserve">Jokura et al. (2023)</w:t>
      </w:r>
      <w:r>
        <w:t xml:space="preserve">]</w:t>
      </w:r>
      <w:r>
        <w:t xml:space="preserve">(Jokura et al., 2023)</w:t>
      </w:r>
      <w:r>
        <w:t xml:space="preserve">(Jacobs and Ryu, 2023)</w:t>
      </w:r>
    </w:p>
    <w:p>
      <w:pPr>
        <w:pStyle w:val="BodyText"/>
      </w:pPr>
      <w:r>
        <w:t xml:space="preserve">It is now a test to edit the text and see how the changes show up on GitHub.</w:t>
      </w:r>
    </w:p>
    <w:p>
      <w:pPr>
        <w:pStyle w:val="BodyText"/>
      </w:pPr>
      <w:r>
        <w:t xml:space="preserve">Test of git show.</w:t>
      </w:r>
    </w:p>
    <w:p>
      <w:pPr>
        <w:pStyle w:val="BodyText"/>
      </w:pPr>
      <w:r>
        <w:t xml:space="preserve">In the visual editor mode, go to</w:t>
      </w:r>
      <w:r>
        <w:t xml:space="preserve"> </w:t>
      </w:r>
      <w:r>
        <w:t xml:space="preserve">‘</w:t>
      </w:r>
      <w:r>
        <w:t xml:space="preserve">Insert</w:t>
      </w:r>
      <w:r>
        <w:t xml:space="preserve">’</w:t>
      </w:r>
      <w:r>
        <w:t xml:space="preserve"> </w:t>
      </w:r>
      <w:r>
        <w:t xml:space="preserve">-&gt; @ Citation</w:t>
      </w:r>
    </w:p>
    <w:p>
      <w:pPr>
        <w:pStyle w:val="BodyText"/>
      </w:pPr>
      <w:r>
        <w:t xml:space="preserve">You can select a Zotero library, PubMed, CrossRef etc. and insert the citations.</w:t>
      </w:r>
      <w:r>
        <w:t xml:space="preserve"> </w:t>
      </w:r>
      <w:r>
        <w:t xml:space="preserve">(Jacobs and Ryu, 2023)</w:t>
      </w:r>
    </w:p>
    <w:p>
      <w:pPr>
        <w:pStyle w:val="BodyText"/>
      </w:pPr>
      <w:r>
        <w:t xml:space="preserve">The easiest way is to use the command line:</w:t>
      </w:r>
    </w:p>
    <w:p>
      <w:pPr>
        <w:pStyle w:val="SourceCode"/>
      </w:pPr>
      <w:r>
        <w:rPr>
          <w:rStyle w:val="ExtensionTok"/>
        </w:rPr>
        <w:t xml:space="preserve">curl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-LH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"Accept: application/x-bibtex"</w:t>
      </w:r>
      <w:r>
        <w:rPr>
          <w:rStyle w:val="NormalTok"/>
        </w:rPr>
        <w:t xml:space="preserve"> https://doi.org/10.7554/eLife.91258.1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references.bib</w:t>
      </w:r>
    </w:p>
    <w:p>
      <w:pPr>
        <w:pStyle w:val="FirstParagraph"/>
      </w:pPr>
      <w:r>
        <w:rPr>
          <w:iCs/>
          <w:i/>
        </w:rPr>
        <w:t xml:space="preserve">Platynereis dumerilii</w:t>
      </w:r>
      <w:r>
        <w:t xml:space="preserve"> </w:t>
      </w:r>
      <w:r>
        <w:t xml:space="preserve">is a marine annelid…</w:t>
      </w:r>
      <w:r>
        <w:t xml:space="preserve"> </w:t>
      </w:r>
      <w:r>
        <w:t xml:space="preserve">(Ozpolat et al., 2021)</w:t>
      </w:r>
    </w:p>
    <w:p>
      <w:pPr>
        <w:pStyle w:val="BodyText"/>
      </w:pPr>
      <w:r>
        <w:t xml:space="preserve">The references are stored in manuscript/references.bib (need to be defined in the Yaml header). This file will automatically updated when you insert a new reference through the Visual editor &gt; Insert &gt; Citations.</w:t>
      </w:r>
    </w:p>
    <w:p>
      <w:pPr>
        <w:pStyle w:val="BodyText"/>
      </w:pPr>
      <w:r>
        <w:t xml:space="preserve">In this documents, references will be formatted in the style of eLife. This is defined in the Yaml header under: csl: elife.csl. The elife.csl file is saved in the /manuscript folder.</w:t>
      </w:r>
    </w:p>
    <w:p>
      <w:pPr>
        <w:pStyle w:val="BodyText"/>
      </w:pPr>
      <w:r>
        <w:t xml:space="preserve">If you would like to use a different citation format, download the respective .csl file (e.g., from the Zotero style repository</w:t>
      </w:r>
      <w:r>
        <w:t xml:space="preserve"> </w:t>
      </w:r>
      <w:hyperlink r:id="rId22">
        <w:r>
          <w:rPr>
            <w:rStyle w:val="Hyperlink"/>
          </w:rPr>
          <w:t xml:space="preserve">https://www.zotero.org/styles</w:t>
        </w:r>
      </w:hyperlink>
      <w:r>
        <w:t xml:space="preserve">), save it in the /manuscript folder of the project and change the Yaml to csl: your_favourite_journal.csl.</w:t>
      </w:r>
    </w:p>
    <w:bookmarkStart w:id="29" w:name="results"/>
    <w:p>
      <w:pPr>
        <w:pStyle w:val="Heading2"/>
      </w:pPr>
      <w:r>
        <w:t xml:space="preserve">Results</w:t>
      </w:r>
    </w:p>
    <w:p>
      <w:pPr>
        <w:pStyle w:val="FirstParagraph"/>
      </w:pPr>
      <w:r>
        <w:t xml:space="preserve">Inserting Figures</w:t>
      </w:r>
      <w:r>
        <w:t xml:space="preserve"> </w:t>
      </w:r>
    </w:p>
    <w:p>
      <w:pPr>
        <w:pStyle w:val="BodyText"/>
      </w:pPr>
      <w:r>
        <w:t xml:space="preserve">Test comment here.</w:t>
      </w:r>
      <w:r>
        <w:t xml:space="preserve"> </w:t>
      </w:r>
    </w:p>
    <w:p>
      <w:pPr>
        <w:pStyle w:val="BodyText"/>
      </w:pPr>
      <w:r>
        <w:t xml:space="preserve">You can add your figures into the rendered document. We saved the figures into /manuscript/figures or /manuscript/figure_supplements and can insert them from there. We use knitr::include_graphics for this. The title and legend can also be edited, as will as the width of the output figure. Test comment behaviour:</w:t>
      </w:r>
      <w:r>
        <w:t xml:space="preserve"> </w:t>
      </w:r>
    </w:p>
    <w:p>
      <w:pPr>
        <w:pStyle w:val="CaptionedFigure"/>
      </w:pPr>
      <w:r>
        <w:drawing>
          <wp:inline>
            <wp:extent cx="5334000" cy="1939636"/>
            <wp:effectExtent b="0" l="0" r="0" t="0"/>
            <wp:docPr descr="Figure 1. A figure (A) A nice picture. (B) legend. (C)   (D)" title="" id="24" name="Picture"/>
            <a:graphic>
              <a:graphicData uri="http://schemas.openxmlformats.org/drawingml/2006/picture">
                <pic:pic>
                  <pic:nvPicPr>
                    <pic:cNvPr descr="figures/Fig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A figure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p>
      <w:pPr>
        <w:pStyle w:val="CaptionedFigure"/>
      </w:pPr>
      <w:r>
        <w:drawing>
          <wp:inline>
            <wp:extent cx="5334000" cy="3487615"/>
            <wp:effectExtent b="0" l="0" r="0" t="0"/>
            <wp:docPr descr="Figure 1. Our nice figure from yesterday (A) A nice picture. (B) legend. (C)   (D)" title="" id="27" name="Picture"/>
            <a:graphic>
              <a:graphicData uri="http://schemas.openxmlformats.org/drawingml/2006/picture">
                <pic:pic>
                  <pic:nvPicPr>
                    <pic:cNvPr descr="figures/Figure_complex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Our nice figure from yesterday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bookmarkEnd w:id="29"/>
    <w:bookmarkStart w:id="30" w:name="equations"/>
    <w:p>
      <w:pPr>
        <w:pStyle w:val="Heading2"/>
      </w:pPr>
      <w:r>
        <w:t xml:space="preserve">Equations</w:t>
      </w:r>
    </w:p>
    <w:p>
      <w:pPr>
        <w:pStyle w:val="FirstParagraph"/>
      </w:pPr>
      <w:r>
        <w:t xml:space="preserve">Equations can also be inserted, Insert -&gt; Display Math: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br/>
      </w:r>
    </w:p>
    <w:bookmarkEnd w:id="30"/>
    <w:bookmarkStart w:id="31" w:name="sourcing-code-and-working-with-variable"/>
    <w:p>
      <w:pPr>
        <w:pStyle w:val="Heading2"/>
      </w:pPr>
      <w:r>
        <w:t xml:space="preserve">Sourcing code and working with variable</w:t>
      </w:r>
    </w:p>
    <w:p>
      <w:pPr>
        <w:pStyle w:val="FirstParagraph"/>
      </w:pPr>
      <w:r>
        <w:t xml:space="preserve">The mean value of Nanog expression was 0.0909 indicating that Nanog is downregulated. The</w:t>
      </w:r>
      <w:r>
        <w:t xml:space="preserve"> </w:t>
      </w:r>
      <w:r>
        <w:t xml:space="preserve">‘</w:t>
      </w:r>
      <w:r>
        <w:t xml:space="preserve">analysis/scripts/statistics_for_paper.R</w:t>
      </w:r>
      <w:r>
        <w:t xml:space="preserve">’</w:t>
      </w:r>
      <w:r>
        <w:t xml:space="preserve"> </w:t>
      </w:r>
      <w:r>
        <w:t xml:space="preserve">script is sourced and it runs but the output is not included in the knitted output. But we can access the variables defined in the sourced script simply by adding ` r var_name ` between ` backticks, in this case max_PRC value is 21 (now this number comes from our sourced script).</w:t>
      </w:r>
    </w:p>
    <w:p>
      <w:pPr>
        <w:pStyle w:val="BodyText"/>
      </w:pPr>
      <w:r>
        <w:t xml:space="preserve">If we update the data, the script can recalculate the variable we want to refer to in the text and update the number.</w:t>
      </w:r>
    </w:p>
    <w:bookmarkEnd w:id="31"/>
    <w:bookmarkStart w:id="33" w:name="acknowledgements"/>
    <w:p>
      <w:pPr>
        <w:pStyle w:val="Heading2"/>
      </w:pPr>
      <w:r>
        <w:t xml:space="preserve">Acknowledgements</w:t>
      </w:r>
    </w:p>
    <w:p>
      <w:pPr>
        <w:pStyle w:val="FirstParagraph"/>
      </w:pPr>
      <w:r>
        <w:t xml:space="preserve">We would like to thank the Jekely lab for the R project template (</w:t>
      </w:r>
      <w:hyperlink r:id="rId32">
        <w:r>
          <w:rPr>
            <w:rStyle w:val="Hyperlink"/>
          </w:rPr>
          <w:t xml:space="preserve">https://github.com/JekelyLab/new_paper_template</w:t>
        </w:r>
      </w:hyperlink>
      <w:r>
        <w:t xml:space="preserve">) we used to write this paper. This work was funded by …</w:t>
      </w:r>
    </w:p>
    <w:bookmarkEnd w:id="33"/>
    <w:bookmarkStart w:id="36" w:name="materials-and-methods"/>
    <w:p>
      <w:pPr>
        <w:pStyle w:val="Heading2"/>
      </w:pPr>
      <w:r>
        <w:t xml:space="preserve">Materials and Methods</w:t>
      </w:r>
    </w:p>
    <w:p>
      <w:pPr>
        <w:pStyle w:val="FirstParagraph"/>
      </w:pPr>
      <w:r>
        <w:t xml:space="preserve">You can insert tables from source data, such as .csv or Excel files and render them in html with the tinytable package.</w:t>
      </w:r>
    </w:p>
    <w:p>
      <w:pPr>
        <w:pStyle w:val="BodyText"/>
      </w:pPr>
      <w:r>
        <w:t xml:space="preserve">Alternatively, you can use the Markdown grid table format. For more complex tables, you can use the</w:t>
      </w:r>
      <w:r>
        <w:t xml:space="preserve"> </w:t>
      </w:r>
      <w:hyperlink r:id="rId34">
        <w:r>
          <w:rPr>
            <w:rStyle w:val="Hyperlink"/>
          </w:rPr>
          <w:t xml:space="preserve">tablesgenerator</w:t>
        </w:r>
      </w:hyperlink>
      <w:r>
        <w:t xml:space="preserve"> </w:t>
      </w:r>
      <w:r>
        <w:t xml:space="preserve">online grid table editor/converter (e.g. converts csv or excel files).</w:t>
      </w:r>
    </w:p>
    <w:p>
      <w:pPr>
        <w:pStyle w:val="BodyText"/>
      </w:pPr>
      <w:r>
        <w:t xml:space="preserve">The output may differ between html and pdf, for most consistent results use the grid table format described</w:t>
      </w:r>
      <w:r>
        <w:t xml:space="preserve"> </w:t>
      </w:r>
      <w:hyperlink r:id="rId35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Key Resources Table</w:t>
      </w:r>
    </w:p>
    <w:p>
      <w:pPr>
        <w:pStyle w:val="SourceCode"/>
      </w:pPr>
      <w:r>
        <w:rPr>
          <w:rStyle w:val="VerbatimChar"/>
        </w:rPr>
        <w:t xml:space="preserve">Warning: The `placement` argument in `tt()` is deprecated. Please use this</w:t>
      </w:r>
      <w:r>
        <w:br/>
      </w:r>
      <w:r>
        <w:rPr>
          <w:rStyle w:val="VerbatimChar"/>
        </w:rPr>
        <w:t xml:space="preserve">instead: `theme_tt(table, 'placement')`</w:t>
      </w:r>
    </w:p>
    <w:tbl>
      <w:tblPr>
        <w:tblStyle w:val="Table"/>
        <w:tblW w:type="pct" w:w="4952"/>
        <w:tblLook w:firstRow="1" w:lastRow="0" w:firstColumn="0" w:lastColumn="0" w:noHBand="0" w:noVBand="0" w:val="0020"/>
        <w:jc w:val="start"/>
        <w:tblLayout w:type="fixed"/>
      </w:tblPr>
      <w:tblGrid>
        <w:gridCol w:w="993"/>
        <w:gridCol w:w="1247"/>
        <w:gridCol w:w="2317"/>
        <w:gridCol w:w="356"/>
        <w:gridCol w:w="29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 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TableCaption"/>
      </w:pPr>
      <w:r>
        <w:t xml:space="preserve">Grid Table example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Col1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37" w:name="complex-grid-table-example"/>
    <w:p>
      <w:pPr>
        <w:pStyle w:val="Heading2"/>
      </w:pPr>
      <w:r>
        <w:t xml:space="preserve">Complex grid table example</w:t>
      </w:r>
    </w:p>
    <w:p>
      <w:pPr>
        <w:pStyle w:val="FirstParagraph"/>
      </w:pPr>
      <w:r>
        <w:t xml:space="preserve">This table was generated by tt() as the output of an r chunk in a Quarto doc. For larger multi-page tables, this method gives correct page breaks in the pdf and html outputs. You can change the relative column widths with {tbl-colwidths=</w:t>
      </w:r>
      <w:r>
        <w:t xml:space="preserve">“</w:t>
      </w:r>
      <w:r>
        <w:t xml:space="preserve">[10,20,20,20,30]</w:t>
      </w:r>
      <w:r>
        <w:t xml:space="preserve">”</w:t>
      </w:r>
      <w:r>
        <w:t xml:space="preserve">} placed after the table caption declaration at the end.</w:t>
      </w:r>
    </w:p>
    <w:p>
      <w:pPr>
        <w:pStyle w:val="TableCaption"/>
      </w:pPr>
      <w:r>
        <w:t xml:space="preserve">More complex Grid Table example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More complex 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 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bookmarkEnd w:id="37"/>
    <w:bookmarkStart w:id="47" w:name="references"/>
    <w:p>
      <w:pPr>
        <w:pStyle w:val="Heading2"/>
      </w:pPr>
      <w:r>
        <w:t xml:space="preserve">References</w:t>
      </w:r>
    </w:p>
    <w:bookmarkStart w:id="46" w:name="refs"/>
    <w:bookmarkStart w:id="39" w:name="ref-Jacobs2023"/>
    <w:p>
      <w:pPr>
        <w:pStyle w:val="Bibliography"/>
      </w:pPr>
      <w:r>
        <w:t xml:space="preserve">Jacobs EAK, Ryu S. 2023. Larval zebrafish as a model for studying individual variability in translational neuroscience research.</w:t>
      </w:r>
      <w:r>
        <w:t xml:space="preserve"> </w:t>
      </w:r>
      <w:r>
        <w:rPr>
          <w:iCs/>
          <w:i/>
        </w:rPr>
        <w:t xml:space="preserve">Frontiers in Behavioral Neuroscience</w:t>
      </w:r>
      <w:r>
        <w:t xml:space="preserve"> </w:t>
      </w:r>
      <w:r>
        <w:rPr>
          <w:bCs/>
          <w:b/>
        </w:rPr>
        <w:t xml:space="preserve">17</w:t>
      </w:r>
      <w:r>
        <w:t xml:space="preserve">. doi:</w:t>
      </w:r>
      <w:hyperlink r:id="rId38">
        <w:r>
          <w:rPr>
            <w:rStyle w:val="Hyperlink"/>
          </w:rPr>
          <w:t xml:space="preserve">10.3389/fnbeh.2023.1143391</w:t>
        </w:r>
      </w:hyperlink>
    </w:p>
    <w:bookmarkEnd w:id="39"/>
    <w:bookmarkStart w:id="41" w:name="ref-Jokura_2023"/>
    <w:p>
      <w:pPr>
        <w:pStyle w:val="Bibliography"/>
      </w:pPr>
      <w:r>
        <w:t xml:space="preserve">Jokura K, Ueda N, Gühmann M, Yañez-Guerra LA, Słowiński P, Wedgwood KCA, Jékely G. 2023. Nitric oxide feedback to ciliary photoreceptor cells gates a UV avoidance circuit. doi:</w:t>
      </w:r>
      <w:hyperlink r:id="rId40">
        <w:r>
          <w:rPr>
            <w:rStyle w:val="Hyperlink"/>
          </w:rPr>
          <w:t xml:space="preserve">10.7554/elife.91258.1</w:t>
        </w:r>
      </w:hyperlink>
    </w:p>
    <w:bookmarkEnd w:id="41"/>
    <w:bookmarkStart w:id="43" w:name="ref-Marinkovi2020"/>
    <w:p>
      <w:pPr>
        <w:pStyle w:val="Bibliography"/>
      </w:pPr>
      <w:r>
        <w:t xml:space="preserve">Marinković M, Berger J, Jékely G. 2019. Neuronal coordination of motile cilia in locomotion and feeding.</w:t>
      </w:r>
      <w:r>
        <w:t xml:space="preserve"> </w:t>
      </w:r>
      <w:r>
        <w:rPr>
          <w:iCs/>
          <w:i/>
        </w:rPr>
        <w:t xml:space="preserve">Philosophical Transactions of the Royal Society B: Biological Sciences</w:t>
      </w:r>
      <w:r>
        <w:t xml:space="preserve"> </w:t>
      </w:r>
      <w:r>
        <w:rPr>
          <w:bCs/>
          <w:b/>
        </w:rPr>
        <w:t xml:space="preserve">375</w:t>
      </w:r>
      <w:r>
        <w:t xml:space="preserve">:20190165. doi:</w:t>
      </w:r>
      <w:hyperlink r:id="rId42">
        <w:r>
          <w:rPr>
            <w:rStyle w:val="Hyperlink"/>
          </w:rPr>
          <w:t xml:space="preserve">10.1098/rstb.2019.0165</w:t>
        </w:r>
      </w:hyperlink>
    </w:p>
    <w:bookmarkEnd w:id="43"/>
    <w:bookmarkStart w:id="45" w:name="ref-ozpolat2021"/>
    <w:p>
      <w:pPr>
        <w:pStyle w:val="Bibliography"/>
      </w:pPr>
      <w:r>
        <w:t xml:space="preserve">Ozpolat BD, Randel N, Williams EA, Bezares-Calderón LA, Andreatta G, Balavoine G, Bertucci PY, Ferrier DEK, Gambi MC, Gazave E, Handberg-Thorsager M, Hardege J, Hird C, Hsieh Y-W, Hui J, Mutemi KN, Schneider SQ, Simakov O, Vergara HM, Vervoort M, Jékely G, Tessmar-Raible K, Raible F, Arendt D. 2021. The Nereid on the rise: Platynereis as a model system.</w:t>
      </w:r>
      <w:r>
        <w:t xml:space="preserve"> </w:t>
      </w:r>
      <w:r>
        <w:rPr>
          <w:iCs/>
          <w:i/>
        </w:rPr>
        <w:t xml:space="preserve">Zenodo</w:t>
      </w:r>
      <w:r>
        <w:t xml:space="preserve">. doi:</w:t>
      </w:r>
      <w:hyperlink r:id="rId44">
        <w:r>
          <w:rPr>
            <w:rStyle w:val="Hyperlink"/>
          </w:rPr>
          <w:t xml:space="preserve">10.5281/ZENODO.4907400</w:t>
        </w:r>
      </w:hyperlink>
    </w:p>
    <w:bookmarkEnd w:id="45"/>
    <w:bookmarkEnd w:id="46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paper template</dc:title>
  <dc:creator/>
  <cp:keywords/>
  <dcterms:created xsi:type="dcterms:W3CDTF">2024-06-06T08:46:58Z</dcterms:created>
  <dcterms:modified xsi:type="dcterms:W3CDTF">2024-06-06T08:46:58Z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rossref">
    <vt:lpwstr/>
  </property>
  <property fmtid="{D5CDD505-2E9C-101B-9397-08002B2CF9AE}" pid="5" name="csl">
    <vt:lpwstr>elife.csl</vt:lpwstr>
  </property>
  <property fmtid="{D5CDD505-2E9C-101B-9397-08002B2CF9AE}" pid="6" name="documentclass">
    <vt:lpwstr>article</vt:lpwstr>
  </property>
  <property fmtid="{D5CDD505-2E9C-101B-9397-08002B2CF9AE}" pid="7" name="fontsize">
    <vt:lpwstr>11pt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nestretch">
    <vt:lpwstr>1.2</vt:lpwstr>
  </property>
  <property fmtid="{D5CDD505-2E9C-101B-9397-08002B2CF9AE}" pid="13" name="linkcolor">
    <vt:lpwstr>blue</vt:lpwstr>
  </property>
  <property fmtid="{D5CDD505-2E9C-101B-9397-08002B2CF9AE}" pid="14" name="mainfont">
    <vt:lpwstr>Arial</vt:lpwstr>
  </property>
  <property fmtid="{D5CDD505-2E9C-101B-9397-08002B2CF9AE}" pid="15" name="max-width">
    <vt:lpwstr>75%</vt:lpwstr>
  </property>
  <property fmtid="{D5CDD505-2E9C-101B-9397-08002B2CF9AE}" pid="16" name="monofont">
    <vt:lpwstr>Times New Roman</vt:lpwstr>
  </property>
  <property fmtid="{D5CDD505-2E9C-101B-9397-08002B2CF9AE}" pid="17" name="subtitle">
    <vt:lpwstr>Author 11,2,* , Author 21,2, Author 33, Author 4E4  1Heidelberg University, Centre for Organismal Studies (COS), 69120 Heidelberg, Germany  2Affiliation 2  3Affiliation 3  4Affiliation 4  *Correspondence: xy@cos.uni-heidelberg.de</vt:lpwstr>
  </property>
  <property fmtid="{D5CDD505-2E9C-101B-9397-08002B2CF9AE}" pid="18" name="toc-title">
    <vt:lpwstr>Table of contents</vt:lpwstr>
  </property>
</Properties>
</file>