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0A1DB0" w14:textId="77777777" w:rsidR="0068539C" w:rsidRDefault="0068539C">
      <w:pPr>
        <w:spacing w:line="480" w:lineRule="auto"/>
      </w:pPr>
    </w:p>
    <w:p w14:paraId="132192C0" w14:textId="77777777" w:rsidR="0068539C" w:rsidRDefault="0068539C">
      <w:pPr>
        <w:spacing w:line="480" w:lineRule="auto"/>
      </w:pPr>
    </w:p>
    <w:p w14:paraId="0A0790DE" w14:textId="77777777" w:rsidR="0068539C" w:rsidRDefault="0068539C">
      <w:pPr>
        <w:spacing w:line="480" w:lineRule="auto"/>
      </w:pPr>
    </w:p>
    <w:p w14:paraId="5F4D4234" w14:textId="77777777" w:rsidR="0068539C" w:rsidRDefault="0068539C">
      <w:pPr>
        <w:spacing w:line="480" w:lineRule="auto"/>
      </w:pPr>
    </w:p>
    <w:p w14:paraId="31F1AF84" w14:textId="77777777" w:rsidR="0068539C" w:rsidRDefault="0068539C">
      <w:pPr>
        <w:spacing w:line="480" w:lineRule="auto"/>
      </w:pPr>
    </w:p>
    <w:p w14:paraId="1FE720A4" w14:textId="77777777" w:rsidR="0068539C" w:rsidRDefault="0068539C">
      <w:pPr>
        <w:spacing w:line="480" w:lineRule="auto"/>
      </w:pPr>
    </w:p>
    <w:p w14:paraId="00DBE436" w14:textId="77777777" w:rsidR="0068539C" w:rsidRDefault="0068539C">
      <w:pPr>
        <w:spacing w:line="480" w:lineRule="auto"/>
      </w:pPr>
    </w:p>
    <w:p w14:paraId="0ECE9AAD" w14:textId="77777777" w:rsidR="0068539C" w:rsidRDefault="00000000">
      <w:pPr>
        <w:spacing w:line="480" w:lineRule="auto"/>
        <w:jc w:val="center"/>
      </w:pPr>
      <w:r>
        <w:rPr>
          <w:b/>
          <w:bCs/>
        </w:rPr>
        <w:t>Machine Learning Classification of Coronary Artery Disease: Data Preprocessing and Initial Model Development</w:t>
      </w:r>
    </w:p>
    <w:p w14:paraId="27109506" w14:textId="77777777" w:rsidR="0068539C" w:rsidRDefault="0068539C">
      <w:pPr>
        <w:spacing w:line="480" w:lineRule="auto"/>
      </w:pPr>
    </w:p>
    <w:p w14:paraId="4231D2AC" w14:textId="77777777" w:rsidR="0068539C" w:rsidRDefault="00000000">
      <w:pPr>
        <w:spacing w:line="480" w:lineRule="auto"/>
        <w:jc w:val="center"/>
      </w:pPr>
      <w:r>
        <w:t xml:space="preserve">Jude Adenuga, Pranathy Anumula, Rashidah Carr, and Gino Varghese</w:t>
      </w:r>
    </w:p>
    <w:p w14:paraId="0C6BD742" w14:textId="77777777" w:rsidR="0068539C" w:rsidRDefault="00000000">
      <w:pPr>
        <w:spacing w:line="480" w:lineRule="auto"/>
        <w:jc w:val="center"/>
      </w:pPr>
      <w:r>
        <w:t>School of Computer and Information Sciences, University of the Cumberlands</w:t>
      </w:r>
    </w:p>
    <w:p w14:paraId="202DB4C7" w14:textId="77777777" w:rsidR="0068539C" w:rsidRDefault="00000000">
      <w:pPr>
        <w:spacing w:line="480" w:lineRule="auto"/>
        <w:jc w:val="center"/>
      </w:pPr>
      <w:r>
        <w:t>PhDAI 733: Python Application for Analytics in AI</w:t>
      </w:r>
    </w:p>
    <w:p w14:paraId="147CF9CE" w14:textId="77777777" w:rsidR="0068539C" w:rsidRDefault="00000000">
      <w:pPr>
        <w:spacing w:line="480" w:lineRule="auto"/>
        <w:jc w:val="center"/>
      </w:pPr>
      <w:r>
        <w:t>Dr. Karriem Perry</w:t>
      </w:r>
    </w:p>
    <w:p w14:paraId="19882091" w14:textId="23CE33ED" w:rsidR="0068539C" w:rsidRDefault="00000000">
      <w:pPr>
        <w:spacing w:line="480" w:lineRule="auto"/>
        <w:jc w:val="center"/>
      </w:pPr>
      <w:r>
        <w:t>September 27, 2026</w:t>
      </w:r>
    </w:p>
    <w:p w14:paraId="16560E28" w14:textId="77777777" w:rsidR="0068539C" w:rsidRDefault="00000000">
      <w:r>
        <w:br w:type="page"/>
      </w:r>
    </w:p>
    <w:p w14:paraId="7E69BFD6" w14:textId="77777777" w:rsidR="0068539C" w:rsidRDefault="00000000">
      <w:pPr>
        <w:spacing w:line="480" w:lineRule="auto"/>
        <w:jc w:val="center"/>
      </w:pPr>
      <w:r>
        <w:rPr>
          <w:b/>
          <w:bCs/>
        </w:rPr>
        <w:lastRenderedPageBreak/>
        <w:t>Machine Learning Classification of Coronary Artery Disease: Data Preprocessing and Initial Model Development</w:t>
      </w:r>
    </w:p>
    <w:p w14:paraId="39F1747F" w14:textId="77777777" w:rsidR="0068539C" w:rsidRDefault="00000000">
      <w:pPr>
        <w:pStyle w:val="Heading1"/>
      </w:pPr>
      <w:r>
        <w:t>Introduction and Problem Framing</w:t>
      </w:r>
    </w:p>
    <w:p w14:paraId="7F0EFA6F" w14:textId="2A00AD4E" w:rsidR="0068539C" w:rsidRDefault="00000000">
      <w:pPr>
        <w:spacing w:line="480" w:lineRule="auto"/>
        <w:ind w:firstLine="720"/>
      </w:pPr>
      <w:r>
        <w:t xml:space="preserve">Coronary artery disease is the largest component of cardiovascular disease, the leading cause of death worldwide (World Health Organization, 2024, 2025). Its definitive test, coronary angiography, is invasive and expensive, so clinicians decide who needs it from a non-invasive workup of history, symptoms, a resting ECG, blood work, and an exercise stress test. A model that estimates the probability of significant narrowing from that workup could, once validated, help a clinic prioritize who goes to angiography first and spare low-risk patients an unnecessary procedure (Detrano et al., 1989). This initial analysis builds and evaluates that model, while ranking patients by risk and setting a safe threshold for follow-up are left to the next phase, once the model has been shown to be trustworthy at the low-risk end.</w:t>
      </w:r>
    </w:p>
    <w:p w14:paraId="13873535" w14:textId="64706B76" w:rsidR="00AF017C" w:rsidRDefault="00000000">
      <w:pPr>
        <w:spacing w:line="480" w:lineRule="auto"/>
        <w:ind w:firstLine="720"/>
      </w:pPr>
      <w:r>
        <w:t xml:space="preserve">The objective of this project is to build and evaluate a Python classification model that predicts angiographically significant disease (more than 50% narrowing in a major vessel) from the first-line workup alone, using the Cleveland file of the Heart Disease dataset in the UCI Machine Learning Repository (Janosi et al., 1988). Cardiologists are the primary stakeholders, and what they need is a score that supports their referral decision with a clear reason behind each score. Hospital quality leadership needs evidence that the model does not miss disease and that it performs consistently across patient groups, because a model that works only for the average patient cannot be deployed safely. We also want to keep in mind that patients bear the cost of both a missed diagnosis and an unnecessary invasive test, so both types of error matter. This preliminary analysis has four objectives that follow those stakeholder needs: </w:t>
      </w:r>
    </w:p>
    <w:p w14:paraId="467C5464" w14:textId="77777777" w:rsidR="00AF017C" w:rsidRDefault="00000000" w:rsidP="00AF017C">
      <w:pPr>
        <w:pStyle w:val="ListParagraph"/>
        <w:numPr>
          <w:ilvl w:val="0"/>
          <w:numId w:val="2"/>
        </w:numPr>
        <w:spacing w:line="480" w:lineRule="auto"/>
      </w:pPr>
      <w:r>
        <w:t>auditing and cleaning the data with a documented decision for every issue found,</w:t>
      </w:r>
    </w:p>
    <w:p w14:paraId="326F65DA" w14:textId="77777777" w:rsidR="00AF017C" w:rsidRDefault="00000000" w:rsidP="00AF017C">
      <w:pPr>
        <w:pStyle w:val="ListParagraph"/>
        <w:numPr>
          <w:ilvl w:val="0"/>
          <w:numId w:val="2"/>
        </w:numPr>
        <w:spacing w:line="480" w:lineRule="auto"/>
      </w:pPr>
      <w:r>
        <w:lastRenderedPageBreak/>
        <w:t xml:space="preserve">building a leakage-safe preprocessing pipeline and an initial classifier from the first-line workup only, </w:t>
      </w:r>
    </w:p>
    <w:p w14:paraId="6C62DFB3" w14:textId="77777777" w:rsidR="00AF017C" w:rsidRDefault="00000000" w:rsidP="00AF017C">
      <w:pPr>
        <w:pStyle w:val="ListParagraph"/>
        <w:numPr>
          <w:ilvl w:val="0"/>
          <w:numId w:val="2"/>
        </w:numPr>
        <w:spacing w:line="480" w:lineRule="auto"/>
      </w:pPr>
      <w:r>
        <w:t xml:space="preserve">tuning that classifier with cross-validation and reporting recall alongside accuracy because a missed diagnosis is the costly error, and </w:t>
      </w:r>
    </w:p>
    <w:p w14:paraId="7CAA6D68" w14:textId="4A3035FD" w:rsidR="0068539C" w:rsidRDefault="00000000" w:rsidP="00AF017C">
      <w:pPr>
        <w:pStyle w:val="ListParagraph"/>
        <w:numPr>
          <w:ilvl w:val="0"/>
          <w:numId w:val="2"/>
        </w:numPr>
        <w:spacing w:line="480" w:lineRule="auto"/>
      </w:pPr>
      <w:r>
        <w:t>recording early fairness observations by sex and age.</w:t>
      </w:r>
    </w:p>
    <w:p w14:paraId="31341D01" w14:textId="77777777" w:rsidR="0068539C" w:rsidRDefault="00000000">
      <w:pPr>
        <w:pStyle w:val="Heading1"/>
      </w:pPr>
      <w:r>
        <w:t>Dataset Exploration and Preprocessing</w:t>
      </w:r>
    </w:p>
    <w:p w14:paraId="37496A55" w14:textId="77777777" w:rsidR="0068539C" w:rsidRDefault="00000000">
      <w:pPr>
        <w:pStyle w:val="Heading2"/>
      </w:pPr>
      <w:r>
        <w:t>Structure, Target, and Data Quality</w:t>
      </w:r>
    </w:p>
    <w:p w14:paraId="168116D9" w14:textId="604AC32E" w:rsidR="0068539C" w:rsidRDefault="00000000">
      <w:pPr>
        <w:spacing w:line="480" w:lineRule="auto"/>
        <w:ind w:firstLine="720"/>
      </w:pPr>
      <w:r>
        <w:t xml:space="preserve">The Cleveland file contains 303 patients who were referred for angiography in the 1980s, along with 13 clinical predictors, and it is the most complete of the four UCI site files. This completeness is why most published work on this dataset uses it. Because the notebook fetches the data directly from UCI with the ucimlrepo package, no data file needs to be stored in the GitHub repository. The initial data audit covered completeness, consistency, and conformity, and the file passed all three checks with only minor findings. Only six values are missing across the whole file, four in the fluoroscopy vessel count and two in the thallium scan, and no patient appears more than once. Every coded column uses only the codes the UCI codebook documents, and every continuous measurement falls within a clinically plausible range, with no placeholder zeros in blood pressure, cholesterol, or heart rate of the kind that make the other three site files harder to work with. The six incomplete rows (2.0%) were dropped, leaving 297 patients, so that every model in the study is trained and tested on the same sample. The target counts diseased vessels from 0 to 4 and was collapsed to any disease versus none, because the clinical question is whether disease is present and the higher severity classes are too small to model separately. The result is a nearly balanced target of 137 diseased and 160 healthy patients (46.1%), which means </w:t>
        <w:lastRenderedPageBreak/>
        <w:t xml:space="preserve">a model that always predicts "no disease" would be about 54% accurate and accuracy alone cannot show whether the model has learned anything.</w:t>
      </w:r>
    </w:p>
    <w:p w14:paraId="71563FBF" w14:textId="6FEFB217" w:rsidR="0068539C" w:rsidRDefault="00AF017C">
      <w:pPr>
        <w:spacing w:line="480" w:lineRule="auto"/>
        <w:ind w:firstLine="720"/>
      </w:pPr>
      <w:r>
        <w:t xml:space="preserve">The exploratory charts showed the symptom and stress-test variables separate the classes strongly and, in one case, against intuition: patients with asymptomatic chest pain have a 73% disease rate against 18% to 30% for the other chest-pain types. This pattern is a referral effect, because an asymptomatic patient reaches angiography only when another test was abnormal. Exercise-induced angina raises the disease rate from 32% to 76%. Men, who make up two thirds of the sample, have roughly twice the rate of women (56% versus 26%), and diseased patients reach a lower peak heart rate (median 142 versus 161) with little overlap between the interquartile boxes. These findings guided feature selection and frame the fairness discussion that follows the modeling results.</w:t>
      </w:r>
    </w:p>
    <w:p w14:paraId="14D87614" w14:textId="77777777" w:rsidR="0068539C" w:rsidRDefault="00000000">
      <w:pPr>
        <w:pStyle w:val="Heading2"/>
      </w:pPr>
      <w:r>
        <w:t>Feature Selection, Pipeline, and Split</w:t>
      </w:r>
    </w:p>
    <w:p w14:paraId="4F36A220" w14:textId="4AD89E18" w:rsidR="0068539C" w:rsidRDefault="00000000">
      <w:pPr>
        <w:spacing w:line="480" w:lineRule="auto"/>
        <w:ind w:firstLine="720"/>
      </w:pPr>
      <w:r>
        <w:t xml:space="preserve">A clinical decision guided preprocessing more than data quality did. The fluoroscopy vessel count and thallium scan are obtained late in the diagnostic pathway, after most of the workup, so both were excluded and the model uses the 11 first-line predictors, which include five continuous measurements (age, resting blood pressure, cholesterol, maximum heart rate, ST depression), three categorical codes (chest-pain type, resting ECG, ST slope), and three binary flags (sex, fasting blood sugar, exercise angina). Preprocessing was built as a scikit-learn ColumnTransformer that standardizes the continuous measurements, one-hot encodes the categorical codes with the first level dropped, and passes the binary flags through unchanged, resulting in 15 encoded features. Wrapping the transformer and the classifier in one Pipeline guarantees that scaling and encoding are fitted on training data only, so no test-set information </w:t>
        <w:lastRenderedPageBreak/>
        <w:t xml:space="preserve">leaks into preprocessing. An 80/20 stratified split with a fixed seed produced 237 training and 60 test patients (28 with disease), with prevalence held at 46% in both.</w:t>
      </w:r>
    </w:p>
    <w:p w14:paraId="7DF67CB0" w14:textId="77777777" w:rsidR="0068539C" w:rsidRDefault="00000000">
      <w:pPr>
        <w:pStyle w:val="Heading1"/>
      </w:pPr>
      <w:r>
        <w:t>Initial Model Development</w:t>
      </w:r>
    </w:p>
    <w:p w14:paraId="741A6EAF" w14:textId="31C34EB0" w:rsidR="0068539C" w:rsidRDefault="00000000">
      <w:pPr>
        <w:spacing w:line="480" w:lineRule="auto"/>
        <w:ind w:firstLine="720"/>
      </w:pPr>
      <w:r>
        <w:t xml:space="preserve">A Random Forest classifier (Breiman, 2001) was selected as the initial model because it combines many decision trees, captures non-linear relationships and interactions between predictors (for example, ST depression mattering more in older patients), and handles the mixed numeric and coded inputs without assuming linearity. It was fitted through the pipeline described above using scikit-learn (Pedregosa et al., 2011) and evaluated on the held-out test set with accuracy, precision, recall, F1, and a confusion matrix, with particular attention to recall for the disease class, since a false negative is a patient with disease whom the model would not refer.</w:t>
      </w:r>
    </w:p>
    <w:p w14:paraId="35152E6E" w14:textId="0AC85599" w:rsidR="0068539C" w:rsidRDefault="00000000">
      <w:pPr>
        <w:spacing w:line="480" w:lineRule="auto"/>
        <w:ind w:firstLine="720"/>
      </w:pPr>
      <w:r>
        <w:t xml:space="preserve">Table 1 summarizes the results. As shown, the initial forest (100 trees) reached 80.0% accuracy on the 60-patient test set, identifying 21 of 28 diseased patients (recall .750, F1 .778) and wrongly flagging 5 of 32 healthy ones. Hyperparameter tuning used GridSearchCV with five-fold stratified cross-validation on the training set over 24 combinations of forest size, maximum depth, minimum samples per split, and minimum samples per leaf, scored on disease recall because the initial model had missed seven patients. The selected configuration (200 trees, unlimited depth, at least five samples per split and two per leaf) achieved a cross-validated recall of .743. On the test set, however, it did not improve on the initial model: accuracy fell to 76.7%, recall to .714, and the false negatives rose from seven to eight. With a test set this small, one patient is 1.7 percentage points of accuracy and 3.6 points of recall, so the two configurations are statistically indistinguishable, and the fair assessment is that tuning on recall alone neither helped nor hurt. Next steps could add a majority-class baseline and a logistic regression for comparison, </w:t>
        <w:lastRenderedPageBreak/>
        <w:t>report ROC-AUC so models can be compared independently of the decision threshold, and treat the decision threshold itself, not the tree parameters, as the lever for raising recall.</w:t>
      </w:r>
    </w:p>
    <w:p w14:paraId="6F4568F5" w14:textId="77777777" w:rsidR="0068539C" w:rsidRDefault="00000000">
      <w:pPr>
        <w:keepNext/>
        <w:spacing w:before="240" w:line="480" w:lineRule="auto"/>
      </w:pPr>
      <w:r>
        <w:rPr>
          <w:b/>
          <w:bCs/>
        </w:rPr>
        <w:lastRenderedPageBreak/>
        <w:t>Table 1</w:t>
      </w:r>
    </w:p>
    <w:p w14:paraId="54D868BA" w14:textId="77777777" w:rsidR="0068539C" w:rsidRDefault="00000000">
      <w:pPr>
        <w:keepNext/>
        <w:spacing w:line="480" w:lineRule="auto"/>
      </w:pPr>
      <w:r>
        <w:rPr>
          <w:i/>
          <w:iCs/>
        </w:rPr>
        <w:t>Test-Set Performance of the Initial and Tuned Random Forest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0"/>
        <w:gridCol w:w="1120"/>
        <w:gridCol w:w="1120"/>
        <w:gridCol w:w="900"/>
        <w:gridCol w:w="760"/>
        <w:gridCol w:w="1300"/>
        <w:gridCol w:w="1200"/>
      </w:tblGrid>
      <w:tr w:rsidR="0068539C" w14:paraId="498C35DD" w14:textId="77777777">
        <w:trPr>
          <w:tblHeader/>
        </w:trPr>
        <w:tc>
          <w:tcPr>
            <w:tcW w:w="2960"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0D368CCD" w14:textId="77777777" w:rsidR="0068539C" w:rsidRDefault="00000000">
            <w:r>
              <w:t>Model</w:t>
            </w:r>
          </w:p>
        </w:tc>
        <w:tc>
          <w:tcPr>
            <w:tcW w:w="1120"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00C4572A" w14:textId="77777777" w:rsidR="0068539C" w:rsidRDefault="00000000">
            <w:pPr>
              <w:jc w:val="center"/>
            </w:pPr>
            <w:r>
              <w:t>Accuracy</w:t>
            </w:r>
          </w:p>
        </w:tc>
        <w:tc>
          <w:tcPr>
            <w:tcW w:w="1120"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07508CB3" w14:textId="77777777" w:rsidR="0068539C" w:rsidRDefault="00000000">
            <w:pPr>
              <w:jc w:val="center"/>
            </w:pPr>
            <w:r>
              <w:t>Precision</w:t>
            </w:r>
          </w:p>
        </w:tc>
        <w:tc>
          <w:tcPr>
            <w:tcW w:w="900"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38326979" w14:textId="77777777" w:rsidR="0068539C" w:rsidRDefault="00000000">
            <w:pPr>
              <w:jc w:val="center"/>
            </w:pPr>
            <w:r>
              <w:t>Recall</w:t>
            </w:r>
          </w:p>
        </w:tc>
        <w:tc>
          <w:tcPr>
            <w:tcW w:w="760"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01052003" w14:textId="77777777" w:rsidR="0068539C" w:rsidRDefault="00000000">
            <w:pPr>
              <w:jc w:val="center"/>
            </w:pPr>
            <w:r>
              <w:t>F1</w:t>
            </w:r>
          </w:p>
        </w:tc>
        <w:tc>
          <w:tcPr>
            <w:tcW w:w="1300"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3CA9D52D" w14:textId="77777777" w:rsidR="0068539C" w:rsidRDefault="00000000">
            <w:pPr>
              <w:jc w:val="center"/>
            </w:pPr>
            <w:r>
              <w:t>False negatives</w:t>
            </w:r>
          </w:p>
        </w:tc>
        <w:tc>
          <w:tcPr>
            <w:tcW w:w="1200" w:type="dxa"/>
            <w:tcBorders>
              <w:top w:val="single" w:sz="6" w:space="0" w:color="000000"/>
              <w:left w:val="none" w:sz="0" w:space="0" w:color="FFFFFF"/>
              <w:bottom w:val="single" w:sz="6" w:space="0" w:color="000000"/>
              <w:right w:val="none" w:sz="0" w:space="0" w:color="FFFFFF"/>
            </w:tcBorders>
            <w:tcMar>
              <w:top w:w="40" w:type="dxa"/>
              <w:left w:w="60" w:type="dxa"/>
              <w:bottom w:w="40" w:type="dxa"/>
              <w:right w:w="60" w:type="dxa"/>
            </w:tcMar>
          </w:tcPr>
          <w:p w14:paraId="5A640121" w14:textId="77777777" w:rsidR="0068539C" w:rsidRDefault="00000000">
            <w:pPr>
              <w:jc w:val="center"/>
            </w:pPr>
            <w:r>
              <w:t>CV recall</w:t>
            </w:r>
          </w:p>
        </w:tc>
      </w:tr>
      <w:tr w:rsidR="0068539C" w14:paraId="5E7B8293" w14:textId="77777777">
        <w:tc>
          <w:tcPr>
            <w:tcW w:w="2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2FB4830" w14:textId="77777777" w:rsidR="0068539C" w:rsidRDefault="00000000">
            <w:r>
              <w:t>Majority-class reference</w:t>
            </w:r>
          </w:p>
        </w:tc>
        <w:tc>
          <w:tcPr>
            <w:tcW w:w="1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D0D184E" w14:textId="77777777" w:rsidR="0068539C" w:rsidRDefault="00000000">
            <w:pPr>
              <w:jc w:val="center"/>
            </w:pPr>
            <w:r>
              <w:t>.533</w:t>
            </w:r>
          </w:p>
        </w:tc>
        <w:tc>
          <w:tcPr>
            <w:tcW w:w="1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1A6A2B06" w14:textId="77777777" w:rsidR="0068539C" w:rsidRDefault="00000000">
            <w:pPr>
              <w:jc w:val="center"/>
            </w:pPr>
            <w:r>
              <w:t>.000</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760151FA" w14:textId="77777777" w:rsidR="0068539C" w:rsidRDefault="00000000">
            <w:pPr>
              <w:jc w:val="center"/>
            </w:pPr>
            <w:r>
              <w:t>.000</w:t>
            </w:r>
          </w:p>
        </w:tc>
        <w:tc>
          <w:tcPr>
            <w:tcW w:w="7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2BB2EAFE" w14:textId="77777777" w:rsidR="0068539C" w:rsidRDefault="00000000">
            <w:pPr>
              <w:jc w:val="center"/>
            </w:pPr>
            <w:r>
              <w:t>.000</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9EDDFD4" w14:textId="77777777" w:rsidR="0068539C" w:rsidRDefault="00000000">
            <w:pPr>
              <w:jc w:val="center"/>
            </w:pPr>
            <w:r>
              <w:t>28</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5B07B6C" w14:textId="77777777" w:rsidR="0068539C" w:rsidRDefault="00000000">
            <w:pPr>
              <w:jc w:val="center"/>
            </w:pPr>
            <w:r>
              <w:t>n/a</w:t>
            </w:r>
          </w:p>
        </w:tc>
      </w:tr>
      <w:tr w:rsidR="0068539C" w14:paraId="0E4793D3" w14:textId="77777777">
        <w:tc>
          <w:tcPr>
            <w:tcW w:w="29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434D1EEA" w14:textId="77777777" w:rsidR="0068539C" w:rsidRDefault="00000000">
            <w:r>
              <w:t>Random forest, initial (100 trees)</w:t>
            </w:r>
          </w:p>
        </w:tc>
        <w:tc>
          <w:tcPr>
            <w:tcW w:w="1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00A7C4DD" w14:textId="77777777" w:rsidR="0068539C" w:rsidRDefault="00000000">
            <w:pPr>
              <w:jc w:val="center"/>
            </w:pPr>
            <w:r>
              <w:t>.800</w:t>
            </w:r>
          </w:p>
        </w:tc>
        <w:tc>
          <w:tcPr>
            <w:tcW w:w="112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F37FB32" w14:textId="77777777" w:rsidR="0068539C" w:rsidRDefault="00000000">
            <w:pPr>
              <w:jc w:val="center"/>
            </w:pPr>
            <w:r>
              <w:t>.808</w:t>
            </w:r>
          </w:p>
        </w:tc>
        <w:tc>
          <w:tcPr>
            <w:tcW w:w="9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1AC8DBF" w14:textId="77777777" w:rsidR="0068539C" w:rsidRDefault="00000000">
            <w:pPr>
              <w:jc w:val="center"/>
            </w:pPr>
            <w:r>
              <w:t>.750</w:t>
            </w:r>
          </w:p>
        </w:tc>
        <w:tc>
          <w:tcPr>
            <w:tcW w:w="76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33C6C2DC" w14:textId="77777777" w:rsidR="0068539C" w:rsidRDefault="00000000">
            <w:pPr>
              <w:jc w:val="center"/>
            </w:pPr>
            <w:r>
              <w:t>.778</w:t>
            </w:r>
          </w:p>
        </w:tc>
        <w:tc>
          <w:tcPr>
            <w:tcW w:w="13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B2E5008" w14:textId="77777777" w:rsidR="0068539C" w:rsidRDefault="00000000">
            <w:pPr>
              <w:jc w:val="center"/>
            </w:pPr>
            <w:r>
              <w:t>7</w:t>
            </w:r>
          </w:p>
        </w:tc>
        <w:tc>
          <w:tcPr>
            <w:tcW w:w="1200" w:type="dxa"/>
            <w:tcBorders>
              <w:top w:val="none" w:sz="0" w:space="0" w:color="FFFFFF"/>
              <w:left w:val="none" w:sz="0" w:space="0" w:color="FFFFFF"/>
              <w:bottom w:val="none" w:sz="0" w:space="0" w:color="FFFFFF"/>
              <w:right w:val="none" w:sz="0" w:space="0" w:color="FFFFFF"/>
            </w:tcBorders>
            <w:tcMar>
              <w:top w:w="40" w:type="dxa"/>
              <w:left w:w="60" w:type="dxa"/>
              <w:bottom w:w="40" w:type="dxa"/>
              <w:right w:w="60" w:type="dxa"/>
            </w:tcMar>
          </w:tcPr>
          <w:p w14:paraId="6AC12223" w14:textId="77777777" w:rsidR="0068539C" w:rsidRDefault="00000000">
            <w:pPr>
              <w:jc w:val="center"/>
            </w:pPr>
            <w:r>
              <w:t>n/a</w:t>
            </w:r>
          </w:p>
        </w:tc>
      </w:tr>
      <w:tr w:rsidR="0068539C" w14:paraId="2ECDBAA2" w14:textId="77777777">
        <w:tc>
          <w:tcPr>
            <w:tcW w:w="296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6AFEC9D6" w14:textId="77777777" w:rsidR="0068539C" w:rsidRDefault="00000000">
            <w:r>
              <w:t>Random forest, tuned (200 trees, leaf 2, split 5)</w:t>
            </w:r>
          </w:p>
        </w:tc>
        <w:tc>
          <w:tcPr>
            <w:tcW w:w="112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4B91FBD2" w14:textId="77777777" w:rsidR="0068539C" w:rsidRDefault="00000000">
            <w:pPr>
              <w:jc w:val="center"/>
            </w:pPr>
            <w:r>
              <w:t>.767</w:t>
            </w:r>
          </w:p>
        </w:tc>
        <w:tc>
          <w:tcPr>
            <w:tcW w:w="112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3A76827A" w14:textId="77777777" w:rsidR="0068539C" w:rsidRDefault="00000000">
            <w:pPr>
              <w:jc w:val="center"/>
            </w:pPr>
            <w:r>
              <w:t>.769</w:t>
            </w:r>
          </w:p>
        </w:tc>
        <w:tc>
          <w:tcPr>
            <w:tcW w:w="9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6F785E54" w14:textId="77777777" w:rsidR="0068539C" w:rsidRDefault="00000000">
            <w:pPr>
              <w:jc w:val="center"/>
            </w:pPr>
            <w:r>
              <w:t>.714</w:t>
            </w:r>
          </w:p>
        </w:tc>
        <w:tc>
          <w:tcPr>
            <w:tcW w:w="76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77C7BED0" w14:textId="77777777" w:rsidR="0068539C" w:rsidRDefault="00000000">
            <w:pPr>
              <w:jc w:val="center"/>
            </w:pPr>
            <w:r>
              <w:t>.741</w:t>
            </w:r>
          </w:p>
        </w:tc>
        <w:tc>
          <w:tcPr>
            <w:tcW w:w="13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44F02CF8" w14:textId="77777777" w:rsidR="0068539C" w:rsidRDefault="00000000">
            <w:pPr>
              <w:jc w:val="center"/>
            </w:pPr>
            <w:r>
              <w:t>8</w:t>
            </w:r>
          </w:p>
        </w:tc>
        <w:tc>
          <w:tcPr>
            <w:tcW w:w="1200" w:type="dxa"/>
            <w:tcBorders>
              <w:top w:val="none" w:sz="0" w:space="0" w:color="FFFFFF"/>
              <w:left w:val="none" w:sz="0" w:space="0" w:color="FFFFFF"/>
              <w:bottom w:val="single" w:sz="6" w:space="0" w:color="000000"/>
              <w:right w:val="none" w:sz="0" w:space="0" w:color="FFFFFF"/>
            </w:tcBorders>
            <w:tcMar>
              <w:top w:w="40" w:type="dxa"/>
              <w:left w:w="60" w:type="dxa"/>
              <w:bottom w:w="40" w:type="dxa"/>
              <w:right w:w="60" w:type="dxa"/>
            </w:tcMar>
          </w:tcPr>
          <w:p w14:paraId="4CFA063A" w14:textId="77777777" w:rsidR="0068539C" w:rsidRDefault="00000000">
            <w:pPr>
              <w:jc w:val="center"/>
            </w:pPr>
            <w:r>
              <w:t>.743</w:t>
            </w:r>
          </w:p>
        </w:tc>
      </w:tr>
    </w:tbl>
    <w:p w14:paraId="257DB158" w14:textId="77777777" w:rsidR="0068539C" w:rsidRDefault="00000000">
      <w:pPr>
        <w:spacing w:before="120" w:after="240"/>
      </w:pPr>
      <w:r>
        <w:rPr>
          <w:i/>
          <w:iCs/>
        </w:rPr>
        <w:t xml:space="preserve">Note. </w:t>
      </w:r>
      <w:r>
        <w:t xml:space="preserve">Positive class is disease (n = 28 of 60 test patients). The majority-class reference predicts "no disease" for every patient and is shown for scale. CV recall is the mean disease recall over five stratified folds on the 237-patient training set.</w:t>
      </w:r>
    </w:p>
    <w:p>
      <w:pPr>
        <w:pStyle w:val="Heading1"/>
      </w:pPr>
      <w:r>
        <w:t>Ethical Considerations</w:t>
      </w:r>
    </w:p>
    <w:p w14:paraId="08A2F95F" w14:textId="05CAD030" w:rsidR="0068539C" w:rsidRDefault="00000000">
      <w:pPr>
        <w:spacing w:line="480" w:lineRule="auto"/>
        <w:ind w:firstLine="720"/>
      </w:pPr>
      <w:r>
        <w:t xml:space="preserve">Three biases are visible in the data before any model is trained, and each bears on how the model would perform across groups. The sample is two-thirds male, with disease prevalence of 56% in men against 26% in women, so the model learned from about 112 diseased men but only 25 diseased women and has had far less opportunity to learn how disease presents in women. Because sex is itself a predictor, a woman with disease starts from a lower score and needs stronger findings elsewhere to cross the decision threshold, which makes it likely that the seven missed patients in the test set include a disproportionate share of women. Every patient in the file was referred for angiography, so the model learns that clinic’s referral pattern, and the clearest sign is the 73% disease rate among asymptomatic patients, who reach angiography only when some other test was abnormal. All 297 patients were also seen at one hospital in the 1980s, so a model that fits Cleveland well may not transfer to another site or to patients seen today. Age carries the same risk as sex, because prevalence rises with age and a younger patient with disease therefore looks low risk on age and often on maximum heart rate as well. The notebook evaluates the model on the test set as a whole, and a 60-patient test set with roughly five diseased women is too small to measure these gaps with any confidence, so computing sensitivity and the false-negative rate by sex and age band is the first fairness task for the next phase, and it is the evidence required before the model could be described as performing consistently across patient groups. </w:t>
      </w:r>
    </w:p>
    <w:p>
      <w:pPr>
        <w:spacing w:line="480" w:lineRule="auto"/>
        <w:ind w:firstLine="720"/>
      </w:pPr>
      <w:r>
        <w:t xml:space="preserve">Two further questions from the course guidance concern transparency and data protection. A Random Forest is not directly interpretable in the way a logistic regression is, because no single coefficient tells a clinician why a patient scored high, but it can still be made transparent enough for decision support. Feature importances from the tuned pipeline show which inputs drive the score and can be checked against the exploratory findings in Section 3, and per-patient explanations such as SHAP values can be added in the next phase so that each referral recommendation arrives with the findings that produced it. For that reason the model is proposed as decision support only, ranking patients for angiography priority while the clinician makes every referral decision. On data protection, the dataset was de-identified by the original investigators before public release and carries no names, dates, or record numbers, and UCI distributes it for research under a Creative Commons license. The team nevertheless treats it as clinical data, keeping it in a restricted team Drive folder, fetching it from UCI at run time instead of committing it to the GitHub repository, and reporting no result that could identify an individual patient. A deployed version of the model would fall under HIPAA in the United States and GDPR in Europe, which would require a lawful basis for processing, minimum necessary access, audit logging, and safeguards around automated decisions with significant effects on patients.</w:t>
      </w:r>
    </w:p>
    <w:p w14:paraId="6209444C" w14:textId="77777777" w:rsidR="0068539C" w:rsidRDefault="00000000">
      <w:pPr>
        <w:pStyle w:val="Heading1"/>
      </w:pPr>
      <w:r>
        <w:t>Team Collaboration Process</w:t>
      </w:r>
    </w:p>
    <w:p>
      <w:pPr>
        <w:spacing w:line="480" w:lineRule="auto"/>
        <w:ind w:firstLine="720"/>
      </w:pPr>
      <w:r>
        <w:t xml:space="preserve">Our team used a collaborative and organized approach throughout the project so that both the technical analysis and this written report reflect decisions the whole group made together. At the beginning of the project we discussed the overall objective, selected the Heart Disease dataset, and agreed that the main goal would be to predict the presence of coronary artery disease using only the information available during the initial clinical workup. Responsibilities were then divided among team members according to the major stages of the analytics process, which meant that one member owned data exploration and cleaning, another owned preprocessing and the train-test split, another owned model development, evaluation, and tuning, and the remaining member owned the problem framing, the ethical analysis, and the assembly of this report, with each stage of the notebook building directly on the one before it.</w:t>
      </w:r>
    </w:p>
    <w:p>
      <w:pPr>
        <w:spacing w:line="480" w:lineRule="auto"/>
        <w:ind w:firstLine="720"/>
      </w:pPr>
      <w:r>
        <w:t xml:space="preserve">Google Colab served as the primary coding environment because it allowed every team member to open the same Python notebook, test code, and compare results without maintaining separate local configurations, and because the notebook fetches the dataset directly from UCI at run time, everyone worked from identical data. GitHub was used for version control and to maintain an organized record of changes to the project files, with the notebook committed with outputs cleared so that differences between versions stay readable and a decisions log recording the choices that later sections depend on. Outlook email and Blackboard messages were the team’s main communication channels, and we used them to share project updates, discuss task responsibilities, exchange files and links, communicate deadlines, and follow up on decisions that required input from more than one person. Keeping those exchanges in writing meant that important information was documented and available to everyone, which mattered most when team members were working at different times.</w:t>
      </w:r>
    </w:p>
    <w:p>
      <w:pPr>
        <w:spacing w:line="480" w:lineRule="auto"/>
        <w:ind w:firstLine="720"/>
      </w:pPr>
      <w:r>
        <w:t xml:space="preserve">Team members communicated regularly to review findings, identify issues, and agree on methodological decisions before they were included in the final analysis. The clearest example is the choice of clinical variables, where the team discussed which predictors belonged in the model and agreed to exclude the fluoroscopy vessel count and the thallium scan because both are obtained late in the diagnostic process, after the point at which a referral model would be used. We also reviewed the importance of preventing data leakage by fitting all preprocessing inside the pipeline on training data only, selected evaluation metrics suited to a clinical setting, and agreed to emphasize recall because a false negative is a patient with disease whom the model would fail to refer. After evaluating the initial and tuned Random Forest models, the team compared the results and discussed the limitations that a small dataset, uneven demographic representation, and possible referral bias place on what the model can claim. Working through those decisions together in Colab, GitHub, and written communication allowed the team to coordinate responsibilities, keep everyone informed, and make each technical decision collaboratively from the start of the project to the end.</w:t>
      </w:r>
    </w:p>
    <w:p w14:paraId="1DC15D69" w14:textId="77777777" w:rsidR="0068539C" w:rsidRDefault="00000000">
      <w:r>
        <w:br w:type="page"/>
      </w:r>
    </w:p>
    <w:p w14:paraId="1E294390" w14:textId="77777777" w:rsidR="0068539C" w:rsidRDefault="00000000">
      <w:pPr>
        <w:pStyle w:val="Heading1"/>
      </w:pPr>
      <w:r>
        <w:lastRenderedPageBreak/>
        <w:t>References</w:t>
      </w:r>
    </w:p>
    <w:p w14:paraId="3011AA8E" w14:textId="77777777" w:rsidR="0068539C" w:rsidRDefault="00000000">
      <w:pPr>
        <w:spacing w:line="480" w:lineRule="auto"/>
        <w:ind w:left="720" w:hanging="720"/>
      </w:pPr>
      <w:r>
        <w:t xml:space="preserve">Breiman, L. (2001). Random forests. </w:t>
      </w:r>
      <w:r>
        <w:rPr>
          <w:i/>
          <w:iCs/>
        </w:rPr>
        <w:t>Machine Learning, 45</w:t>
      </w:r>
      <w:r>
        <w:t>(1), 5–32. https://doi.org/10.1023/A:1010933404324</w:t>
      </w:r>
    </w:p>
    <w:p w14:paraId="30C8C8C0" w14:textId="77777777" w:rsidR="0068539C" w:rsidRDefault="00000000">
      <w:pPr>
        <w:spacing w:line="480" w:lineRule="auto"/>
        <w:ind w:left="720" w:hanging="720"/>
      </w:pPr>
      <w:r>
        <w:t xml:space="preserve">Detrano, R., Janosi, A., Steinbrunn, W., Pfisterer, M., Schmid, J.-J., Sandhu, S., Guppy, K. H., Lee, S., &amp; Froelicher, V. (1989). International application of a new probability algorithm for the diagnosis of coronary artery disease. </w:t>
      </w:r>
      <w:r>
        <w:rPr>
          <w:i/>
          <w:iCs/>
        </w:rPr>
        <w:t>The American Journal of Cardiology, 64</w:t>
      </w:r>
      <w:r>
        <w:t>(5), 304–310. https://doi.org/10.1016/0002-9149(89)90524-9</w:t>
      </w:r>
    </w:p>
    <w:p w14:paraId="21CA4C50" w14:textId="77777777" w:rsidR="0068539C" w:rsidRDefault="00000000">
      <w:pPr>
        <w:spacing w:line="480" w:lineRule="auto"/>
        <w:ind w:left="720" w:hanging="720"/>
      </w:pPr>
      <w:r>
        <w:t xml:space="preserve">Janosi, A., Steinbrunn, W., Pfisterer, M., &amp; Detrano, R. (1988). </w:t>
      </w:r>
      <w:r>
        <w:rPr>
          <w:i/>
          <w:iCs/>
        </w:rPr>
        <w:t>Heart disease</w:t>
      </w:r>
      <w:r>
        <w:t xml:space="preserve"> [Data set]. UCI Machine Learning Repository. https://doi.org/10.24432/C52P4X</w:t>
      </w:r>
    </w:p>
    <w:p w14:paraId="68DE5561" w14:textId="77777777" w:rsidR="0068539C" w:rsidRDefault="00000000">
      <w:pPr>
        <w:spacing w:line="480" w:lineRule="auto"/>
        <w:ind w:left="720" w:hanging="720"/>
      </w:pPr>
      <w:r>
        <w:t xml:space="preserve">Pedregosa, F., Varoquaux, G., Gramfort, A., Michel, V., Thirion, B., Grisel, O., Blondel, M., Prettenhofer, P., Weiss, R., Dubourg, V., Vanderplas, J., Passos, A., Cournapeau, D., Brucher, M., Perrot, M., &amp; Duchesnay, É. (2011). Scikit-learn: Machine learning in Python. </w:t>
      </w:r>
      <w:r>
        <w:rPr>
          <w:i/>
          <w:iCs/>
        </w:rPr>
        <w:t>Journal of Machine Learning Research, 12</w:t>
      </w:r>
      <w:r>
        <w:t>, 2825–2830.</w:t>
      </w:r>
    </w:p>
    <w:p w14:paraId="347E4C8C" w14:textId="77777777" w:rsidR="0068539C" w:rsidRDefault="00000000">
      <w:pPr>
        <w:spacing w:line="480" w:lineRule="auto"/>
        <w:ind w:left="720" w:hanging="720"/>
      </w:pPr>
      <w:r>
        <w:t xml:space="preserve">World Health Organization. (2024, August 7). </w:t>
      </w:r>
      <w:r>
        <w:rPr>
          <w:i/>
          <w:iCs/>
        </w:rPr>
        <w:t>The top 10 causes of death</w:t>
      </w:r>
      <w:r>
        <w:t>. https://www.who.int/news-room/fact-sheets/detail/the-top-10-causes-of-death</w:t>
      </w:r>
    </w:p>
    <w:p w14:paraId="6C4B5652" w14:textId="77777777" w:rsidR="0068539C" w:rsidRDefault="00000000">
      <w:pPr>
        <w:spacing w:line="480" w:lineRule="auto"/>
        <w:ind w:left="720" w:hanging="720"/>
      </w:pPr>
      <w:r>
        <w:t xml:space="preserve">World Health Organization. (2025, July 31). </w:t>
      </w:r>
      <w:r>
        <w:rPr>
          <w:i/>
          <w:iCs/>
        </w:rPr>
        <w:t>Cardiovascular diseases (CVDs)</w:t>
      </w:r>
      <w:r>
        <w:t>. https://www.who.int/news-room/fact-sheets/detail/cardiovascular-diseases-(cvds)</w:t>
      </w:r>
    </w:p>
    <w:sectPr w:rsidR="0068539C">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72761" w14:textId="77777777" w:rsidR="00480366" w:rsidRDefault="00480366">
      <w:r>
        <w:separator/>
      </w:r>
    </w:p>
  </w:endnote>
  <w:endnote w:type="continuationSeparator" w:id="0">
    <w:p w14:paraId="721244A0" w14:textId="77777777" w:rsidR="00480366" w:rsidRDefault="004803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22821E" w14:textId="77777777" w:rsidR="00480366" w:rsidRDefault="00480366">
      <w:r>
        <w:separator/>
      </w:r>
    </w:p>
  </w:footnote>
  <w:footnote w:type="continuationSeparator" w:id="0">
    <w:p w14:paraId="6B621351" w14:textId="77777777" w:rsidR="00480366" w:rsidRDefault="004803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8130A" w14:textId="77777777" w:rsidR="0068539C" w:rsidRDefault="00000000">
    <w:pPr>
      <w:jc w:val="right"/>
    </w:pPr>
    <w:r>
      <w:fldChar w:fldCharType="begin"/>
    </w:r>
    <w:r>
      <w:instrText>PAGE</w:instrText>
    </w:r>
    <w:r>
      <w:fldChar w:fldCharType="separate"/>
    </w:r>
    <w:r w:rsidR="00AF017C">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E3455"/>
    <w:multiLevelType w:val="hybridMultilevel"/>
    <w:tmpl w:val="56A0C116"/>
    <w:lvl w:ilvl="0" w:tplc="D97ADB0E">
      <w:start w:val="1"/>
      <w:numFmt w:val="bullet"/>
      <w:lvlText w:val="●"/>
      <w:lvlJc w:val="left"/>
      <w:pPr>
        <w:ind w:left="720" w:hanging="360"/>
      </w:pPr>
    </w:lvl>
    <w:lvl w:ilvl="1" w:tplc="60808226">
      <w:start w:val="1"/>
      <w:numFmt w:val="bullet"/>
      <w:lvlText w:val="○"/>
      <w:lvlJc w:val="left"/>
      <w:pPr>
        <w:ind w:left="1440" w:hanging="360"/>
      </w:pPr>
    </w:lvl>
    <w:lvl w:ilvl="2" w:tplc="51FC97C2">
      <w:start w:val="1"/>
      <w:numFmt w:val="bullet"/>
      <w:lvlText w:val="■"/>
      <w:lvlJc w:val="left"/>
      <w:pPr>
        <w:ind w:left="2160" w:hanging="360"/>
      </w:pPr>
    </w:lvl>
    <w:lvl w:ilvl="3" w:tplc="65641EF2">
      <w:start w:val="1"/>
      <w:numFmt w:val="bullet"/>
      <w:lvlText w:val="●"/>
      <w:lvlJc w:val="left"/>
      <w:pPr>
        <w:ind w:left="2880" w:hanging="360"/>
      </w:pPr>
    </w:lvl>
    <w:lvl w:ilvl="4" w:tplc="7BF876E2">
      <w:start w:val="1"/>
      <w:numFmt w:val="bullet"/>
      <w:lvlText w:val="○"/>
      <w:lvlJc w:val="left"/>
      <w:pPr>
        <w:ind w:left="3600" w:hanging="360"/>
      </w:pPr>
    </w:lvl>
    <w:lvl w:ilvl="5" w:tplc="557A96A2">
      <w:start w:val="1"/>
      <w:numFmt w:val="bullet"/>
      <w:lvlText w:val="■"/>
      <w:lvlJc w:val="left"/>
      <w:pPr>
        <w:ind w:left="4320" w:hanging="360"/>
      </w:pPr>
    </w:lvl>
    <w:lvl w:ilvl="6" w:tplc="6FD0F7CA">
      <w:start w:val="1"/>
      <w:numFmt w:val="bullet"/>
      <w:lvlText w:val="●"/>
      <w:lvlJc w:val="left"/>
      <w:pPr>
        <w:ind w:left="5040" w:hanging="360"/>
      </w:pPr>
    </w:lvl>
    <w:lvl w:ilvl="7" w:tplc="BFCA2CEA">
      <w:start w:val="1"/>
      <w:numFmt w:val="bullet"/>
      <w:lvlText w:val="●"/>
      <w:lvlJc w:val="left"/>
      <w:pPr>
        <w:ind w:left="5760" w:hanging="360"/>
      </w:pPr>
    </w:lvl>
    <w:lvl w:ilvl="8" w:tplc="5E682A06">
      <w:start w:val="1"/>
      <w:numFmt w:val="bullet"/>
      <w:lvlText w:val="●"/>
      <w:lvlJc w:val="left"/>
      <w:pPr>
        <w:ind w:left="6480" w:hanging="360"/>
      </w:pPr>
    </w:lvl>
  </w:abstractNum>
  <w:abstractNum w:abstractNumId="1" w15:restartNumberingAfterBreak="0">
    <w:nsid w:val="5E6E5B1B"/>
    <w:multiLevelType w:val="hybridMultilevel"/>
    <w:tmpl w:val="AF90D1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72131914">
    <w:abstractNumId w:val="0"/>
    <w:lvlOverride w:ilvl="0">
      <w:startOverride w:val="1"/>
    </w:lvlOverride>
  </w:num>
  <w:num w:numId="2" w16cid:durableId="1572959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39C"/>
    <w:rsid w:val="00321AE4"/>
    <w:rsid w:val="003E3EE8"/>
    <w:rsid w:val="00480366"/>
    <w:rsid w:val="0068539C"/>
    <w:rsid w:val="00756239"/>
    <w:rsid w:val="008A4CEF"/>
    <w:rsid w:val="00AF017C"/>
    <w:rsid w:val="00B82F0A"/>
    <w:rsid w:val="00FA0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6C28"/>
  <w15:docId w15:val="{D4112284-150D-45F5-A642-6A22D9C63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line="480" w:lineRule="auto"/>
      <w:jc w:val="center"/>
      <w:outlineLvl w:val="0"/>
    </w:pPr>
    <w:rPr>
      <w:b/>
      <w:bCs/>
      <w:color w:val="000000"/>
    </w:rPr>
  </w:style>
  <w:style w:type="paragraph" w:styleId="Heading2">
    <w:name w:val="heading 2"/>
    <w:uiPriority w:val="9"/>
    <w:unhideWhenUsed/>
    <w:qFormat/>
    <w:pPr>
      <w:spacing w:line="480" w:lineRule="auto"/>
      <w:outlineLvl w:val="1"/>
    </w:pPr>
    <w:rPr>
      <w:b/>
      <w:b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Pages>
  <Words>1726</Words>
  <Characters>9840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Rashidah Carr</cp:lastModifiedBy>
  <cp:revision>4</cp:revision>
  <dcterms:created xsi:type="dcterms:W3CDTF">2026-09-26T13:46:00Z</dcterms:created>
  <dcterms:modified xsi:type="dcterms:W3CDTF">2026-09-26T17:26:00Z</dcterms:modified>
</cp:coreProperties>
</file>