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Video script: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Josh is a committed student, he is always at the library. His friend Hannah uses LendingStuff to make money by lending her snowblower to her neighbors. Josh decides to do the same with his charger since his laptop is always charger.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He downloaded the app before but now he is actually going to use it.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 He starts by logging in,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 opens the side bar and inputs his charger’s details. He is only at the library for 3 hours so he puts it for rent for 3 hours only. He just got his charger so he charges $5 an hour. Then, Josh simply clicks the post button. After the app confirms the success of the posting process, he can now wait for a renter who needs the charger.</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John is a hardworking student, he spends a lot of time exploring his opportunities for this summer. Fortunately, he found a Software developer position at  Amazon, which is his favorite company. And after several weeks of impatience, Amazon invites John for an online interview which is taking place in 20 minutes. Unfortunately, John forgot his Macbook laptop charger at his apartment in Mississauga and it’s going to die in 5 minutes. He remembers the LendingStuff application ad he saw on his way to the library and he downloads it right away to borrow a charger, maybe someone in the same library is not using theirs.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John starts with logging in. Luckily, he finds the interface very user-friendly that he inputs his search preferences in less than a minute.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It looks like John has found a Macbook charger for rent in the neighboring building.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After reviewing the details of the charger, including the renting rate, John decides to rent the item, and simply clicks the rent button.</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He can see that the item status changed to rented to avoid over-renting it by other people.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He goes back to myRentedItems page to check whether the transaction is confirmed.</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Now John can happily prepare for his coming interview.</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Next:</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We saw how two people in different situations needed to use the app and how they would use it.</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For the next iteration, we are planning to implement a secure workflow for the transactions and a more secure authentication of the users.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