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4.png" ContentType="image/png"/>
  <Override PartName="/word/media/rId28.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prognostic</w:t>
      </w:r>
      <w:r>
        <w:t xml:space="preserve"> </w:t>
      </w:r>
      <w:r>
        <w:t xml:space="preserve">tumor–stroma</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stromal,</w:t>
      </w:r>
      <w:r>
        <w:t xml:space="preserve"> </w:t>
      </w:r>
      <w:r>
        <w:t xml:space="preserve">and</w:t>
      </w:r>
      <w:r>
        <w:t xml:space="preserve"> </w:t>
      </w:r>
      <w:r>
        <w:t xml:space="preserve">microenvironmental</w:t>
      </w:r>
      <w:r>
        <w:t xml:space="preserve"> </w:t>
      </w:r>
      <w:r>
        <w:t xml:space="preserve">heterogeneity.</w:t>
      </w:r>
      <w:r>
        <w:t xml:space="preserve"> </w:t>
      </w:r>
      <w:r>
        <w:t xml:space="preserve">However,</w:t>
      </w:r>
      <w:r>
        <w:t xml:space="preserve"> </w:t>
      </w:r>
      <w:r>
        <w:t xml:space="preserve">unsupervised</w:t>
      </w:r>
      <w:r>
        <w:t xml:space="preserve"> </w:t>
      </w:r>
      <w:r>
        <w:t xml:space="preserve">gene-program</w:t>
      </w:r>
      <w:r>
        <w:t xml:space="preserve"> </w:t>
      </w:r>
      <w:r>
        <w:t xml:space="preserve">discovery</w:t>
      </w:r>
      <w:r>
        <w:t xml:space="preserve"> </w:t>
      </w:r>
      <w:r>
        <w:t xml:space="preserve">typically</w:t>
      </w:r>
      <w:r>
        <w:t xml:space="preserve"> </w:t>
      </w:r>
      <w:r>
        <w:t xml:space="preserve">captures</w:t>
      </w:r>
      <w:r>
        <w:t xml:space="preserve"> </w:t>
      </w:r>
      <w:r>
        <w:t xml:space="preserve">dominant</w:t>
      </w:r>
      <w:r>
        <w:t xml:space="preserve"> </w:t>
      </w:r>
      <w:r>
        <w:t xml:space="preserve">axes</w:t>
      </w:r>
      <w:r>
        <w:t xml:space="preserve"> </w:t>
      </w:r>
      <w:r>
        <w:t xml:space="preserve">of</w:t>
      </w:r>
      <w:r>
        <w:t xml:space="preserve"> </w:t>
      </w:r>
      <w:r>
        <w:t xml:space="preserve">transcriptomic</w:t>
      </w:r>
      <w:r>
        <w:t xml:space="preserve"> </w:t>
      </w:r>
      <w:r>
        <w:t xml:space="preserve">variation</w:t>
      </w:r>
      <w:r>
        <w:t xml:space="preserve"> </w:t>
      </w:r>
      <w:r>
        <w:t xml:space="preserve">that</w:t>
      </w:r>
      <w:r>
        <w:t xml:space="preserve"> </w:t>
      </w:r>
      <w:r>
        <w:t xml:space="preserve">are</w:t>
      </w:r>
      <w:r>
        <w:t xml:space="preserve"> </w:t>
      </w:r>
      <w:r>
        <w:t xml:space="preserve">not</w:t>
      </w:r>
      <w:r>
        <w:t xml:space="preserve"> </w:t>
      </w:r>
      <w:r>
        <w:t xml:space="preserve">necessarily</w:t>
      </w:r>
      <w:r>
        <w:t xml:space="preserve"> </w:t>
      </w:r>
      <w:r>
        <w:t xml:space="preserve">prognostic.</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outcomes</w:t>
      </w:r>
      <w:r>
        <w:t xml:space="preserve"> </w:t>
      </w:r>
      <w:r>
        <w:t xml:space="preserve">into</w:t>
      </w:r>
      <w:r>
        <w:t xml:space="preserve"> </w:t>
      </w:r>
      <w:r>
        <w:t xml:space="preserve">gene-program</w:t>
      </w:r>
      <w:r>
        <w:t xml:space="preserve"> </w:t>
      </w:r>
      <w:r>
        <w:t xml:space="preserve">discovery</w:t>
      </w:r>
      <w:r>
        <w:t xml:space="preserve"> </w:t>
      </w:r>
      <w:r>
        <w:t xml:space="preserve">and</w:t>
      </w:r>
      <w:r>
        <w:t xml:space="preserve"> </w:t>
      </w:r>
      <w:r>
        <w:t xml:space="preserve">applies</w:t>
      </w:r>
      <w:r>
        <w:t xml:space="preserve"> </w:t>
      </w:r>
      <w:r>
        <w:t xml:space="preserve">the</w:t>
      </w:r>
      <w:r>
        <w:t xml:space="preserve"> </w:t>
      </w:r>
      <w:r>
        <w:t xml:space="preserve">learned</w:t>
      </w:r>
      <w:r>
        <w:t xml:space="preserve"> </w:t>
      </w:r>
      <w:r>
        <w:t xml:space="preserve">programs</w:t>
      </w:r>
      <w:r>
        <w:t xml:space="preserve"> </w:t>
      </w:r>
      <w:r>
        <w:t xml:space="preserve">to</w:t>
      </w:r>
      <w:r>
        <w:t xml:space="preserve"> </w:t>
      </w:r>
      <w:r>
        <w:t xml:space="preserve">new</w:t>
      </w:r>
      <w:r>
        <w:t xml:space="preserve"> </w:t>
      </w:r>
      <w:r>
        <w:t xml:space="preserve">cohorts</w:t>
      </w:r>
      <w:r>
        <w:t xml:space="preserve"> </w:t>
      </w:r>
      <w:r>
        <w:t xml:space="preserve">without</w:t>
      </w:r>
      <w:r>
        <w:t xml:space="preserve"> </w:t>
      </w:r>
      <w:r>
        <w:t xml:space="preserve">refitting.</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survival-aligned</w:t>
      </w:r>
      <w:r>
        <w:t xml:space="preserve"> </w:t>
      </w:r>
      <w:r>
        <w:t xml:space="preserve">program</w:t>
      </w:r>
      <w:r>
        <w:t xml:space="preserve"> </w:t>
      </w:r>
      <w:r>
        <w:t xml:space="preserve">(D1)</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pooled</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before</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A</w:t>
      </w:r>
      <w:r>
        <w:t xml:space="preserve"> </w:t>
      </w:r>
      <w:r>
        <w:t xml:space="preserve">matched-rank,</w:t>
      </w:r>
      <w:r>
        <w:t xml:space="preserve"> </w:t>
      </w:r>
      <w:r>
        <w:t xml:space="preserve">matched-budget</w:t>
      </w:r>
      <w:r>
        <w:t xml:space="preserve"> </w:t>
      </w:r>
      <w:r>
        <w:t xml:space="preserve">unsupervised</w:t>
      </w:r>
      <w:r>
        <w:t xml:space="preserve"> </w:t>
      </w:r>
      <w:r>
        <w:t xml:space="preserve">control</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whereas</w:t>
      </w:r>
      <w:r>
        <w:t xml:space="preserve"> </w:t>
      </w:r>
      <w:r>
        <w:t xml:space="preserve">a</w:t>
      </w:r>
      <w:r>
        <w:t xml:space="preserve"> </w:t>
      </w:r>
      <w:r>
        <w:t xml:space="preserve">rank-optimized</w:t>
      </w:r>
      <w:r>
        <w:t xml:space="preserve"> </w:t>
      </w:r>
      <w:r>
        <w:t xml:space="preserve">seven-factor</w:t>
      </w:r>
      <w:r>
        <w:t xml:space="preserve"> </w:t>
      </w:r>
      <w:r>
        <w:t xml:space="preserve">control</w:t>
      </w:r>
      <w:r>
        <w:t xml:space="preserve"> </w:t>
      </w:r>
      <w:r>
        <w:t xml:space="preserve">carried</w:t>
      </w:r>
      <w:r>
        <w:t xml:space="preserve"> </w:t>
      </w:r>
      <w:r>
        <w:t xml:space="preserve">comparable</w:t>
      </w:r>
      <w:r>
        <w:t xml:space="preserve"> </w:t>
      </w:r>
      <w:r>
        <w:t xml:space="preserve">prognostic</w:t>
      </w:r>
      <w:r>
        <w:t xml:space="preserve"> </w:t>
      </w:r>
      <w:r>
        <w:t xml:space="preserve">information.</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recovered</w:t>
      </w:r>
      <w:r>
        <w:t xml:space="preserve"> </w:t>
      </w:r>
      <w:r>
        <w:t xml:space="preserve">prognostic</w:t>
      </w:r>
      <w:r>
        <w:t xml:space="preserve"> </w:t>
      </w:r>
      <w:r>
        <w:t xml:space="preserve">genes</w:t>
      </w:r>
      <w:r>
        <w:t xml:space="preserve"> </w:t>
      </w:r>
      <w:r>
        <w:t xml:space="preserve">more</w:t>
      </w:r>
      <w:r>
        <w:t xml:space="preserve"> </w:t>
      </w:r>
      <w:r>
        <w:t xml:space="preserve">accurately</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expression</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and its clinical heterogeneity reflects variation in both malignant cells and the surrounding microenvironment. Bulk transcriptomic studies have identified clinically relevant malignant and stromal states in PDAC, including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w:t>
      </w:r>
      <w:r>
        <w:t xml:space="preserve">and, from single-cell-informed analyses,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Most transcriptomic programs in PDAC have been defined from expression patterns and only subsequently related to outcome</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 It remains unclear whether using survival information during discovery can characterize programs that add prognostic information beyond established classifications. Such programs could support prognostic assay development and trial stratification, while highlighting genes and biological processes for downstream validation and clinical application.</w:t>
      </w:r>
    </w:p>
    <w:p>
      <w:pPr>
        <w:pStyle w:val="BodyText"/>
      </w:pPr>
      <w:r>
        <w:t xml:space="preserve">Addressing this question often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represent these composite profiles as combinations of gene programs, defined by weighted sets of co-varying genes that together form a representation of the tumor transcriptome, alongside sample-specific program usage indicating how strongly each program contributes to each tumor. In PDAC, these approaches have supported molecular subtype discovery and subsequent single-sample classification</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tumor- and stroma-specific expression</w:t>
      </w:r>
      <w:hyperlink w:anchor="ref-moffitt2015virtual">
        <w:r>
          <w:rPr>
            <w:rStyle w:val="Hyperlink"/>
            <w:vertAlign w:val="superscript"/>
          </w:rPr>
          <w:t xml:space="preserve">3</w:t>
        </w:r>
      </w:hyperlink>
      <w:r>
        <w:t xml:space="preserve">, and compartment-specific tumor–stroma characterization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12</w:t>
        </w:r>
      </w:hyperlink>
      <w:r>
        <w:t xml:space="preserve">. Incorporating survival into program discovery could instead resolve prognostic signal into distinct gene programs, helping identify the biological processes associated with outcome and whether those same programs recur across independent cohorts.</w:t>
      </w:r>
    </w:p>
    <w:p>
      <w:pPr>
        <w:pStyle w:val="BodyText"/>
      </w:pPr>
      <w:r>
        <w:t xml:space="preserve">Standard NMF learns gene-program weights and sample-specific program usage by minimizing reconstruction error, the mismatch between the measured expression matrix and the expression reconstructed from the product of those program weights and usages. Such reconstruction-driven criteria favor patterns that capture prominent expression variation regardless of their relevance to patient survival</w:t>
      </w:r>
      <w:hyperlink w:anchor="ref-bair2004semi">
        <w:r>
          <w:rPr>
            <w:rStyle w:val="Hyperlink"/>
            <w:vertAlign w:val="superscript"/>
          </w:rPr>
          <w:t xml:space="preserve">13</w:t>
        </w:r>
      </w:hyperlink>
      <w:r>
        <w:rPr>
          <w:vertAlign w:val="superscript"/>
        </w:rPr>
        <w:t xml:space="preserve">,</w:t>
      </w:r>
      <w:hyperlink w:anchor="ref-cook2007fisher">
        <w:r>
          <w:rPr>
            <w:rStyle w:val="Hyperlink"/>
            <w:vertAlign w:val="superscript"/>
          </w:rPr>
          <w:t xml:space="preserve">14</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15</w:t>
        </w:r>
      </w:hyperlink>
      <w:r>
        <w:rPr>
          <w:vertAlign w:val="superscript"/>
        </w:rPr>
        <w:t xml:space="preserve">,</w:t>
      </w:r>
      <w:hyperlink w:anchor="ref-aran2015systematic">
        <w:r>
          <w:rPr>
            <w:rStyle w:val="Hyperlink"/>
            <w:vertAlign w:val="superscript"/>
          </w:rPr>
          <w:t xml:space="preserve">16</w:t>
        </w:r>
      </w:hyperlink>
      <w:r>
        <w:t xml:space="preserve">.</w:t>
      </w:r>
    </w:p>
    <w:p>
      <w:pPr>
        <w:pStyle w:val="BodyText"/>
      </w:pPr>
      <w:r>
        <w:t xml:space="preserve">Because NMF decompositions are not unique, different solutions can reconstruct the same expression data comparably well while defining the underlying gene programs differently</w:t>
      </w:r>
      <w:hyperlink w:anchor="ref-donoho2004nmf">
        <w:r>
          <w:rPr>
            <w:rStyle w:val="Hyperlink"/>
            <w:vertAlign w:val="superscript"/>
          </w:rPr>
          <w:t xml:space="preserve">17</w:t>
        </w:r>
      </w:hyperlink>
      <w:r>
        <w:rPr>
          <w:vertAlign w:val="superscript"/>
        </w:rPr>
        <w:t xml:space="preserve">–</w:t>
      </w:r>
      <w:hyperlink w:anchor="ref-gillis2014nmf">
        <w:r>
          <w:rPr>
            <w:rStyle w:val="Hyperlink"/>
            <w:vertAlign w:val="superscript"/>
          </w:rPr>
          <w:t xml:space="preserve">19</w:t>
        </w:r>
      </w:hyperlink>
      <w:r>
        <w:t xml:space="preserve">. This ambiguity may contribute to the variation among proposed unsupervised PDAC subtype taxonomies</w:t>
      </w:r>
      <w:hyperlink w:anchor="ref-lautizi2022pancreatic">
        <w:r>
          <w:rPr>
            <w:rStyle w:val="Hyperlink"/>
            <w:vertAlign w:val="superscript"/>
          </w:rPr>
          <w:t xml:space="preserve">20</w:t>
        </w:r>
      </w:hyperlink>
      <w:r>
        <w:t xml:space="preserve">. The basal-like/classical dichotomy itself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refinement of stromal CAF subtypes is ongoing</w:t>
      </w:r>
      <w:hyperlink w:anchor="ref-peng2024determination">
        <w:r>
          <w:rPr>
            <w:rStyle w:val="Hyperlink"/>
            <w:vertAlign w:val="superscript"/>
          </w:rPr>
          <w:t xml:space="preserve">5</w:t>
        </w:r>
      </w:hyperlink>
      <w:r>
        <w:t xml:space="preserve">. Existing survival-supervised models such as penalized Cox regression and supervised principal components generally identify outcome-associated genes or linear combinations of genes rather than decomposing expression into interpretable gene programs</w:t>
      </w:r>
      <w:hyperlink w:anchor="ref-bair2004semi">
        <w:r>
          <w:rPr>
            <w:rStyle w:val="Hyperlink"/>
            <w:vertAlign w:val="superscript"/>
          </w:rPr>
          <w:t xml:space="preserve">13</w:t>
        </w:r>
      </w:hyperlink>
      <w:r>
        <w:rPr>
          <w:vertAlign w:val="superscript"/>
        </w:rPr>
        <w:t xml:space="preserve">,</w:t>
      </w:r>
      <w:hyperlink w:anchor="ref-simon2011regularization">
        <w:r>
          <w:rPr>
            <w:rStyle w:val="Hyperlink"/>
            <w:vertAlign w:val="superscript"/>
          </w:rPr>
          <w:t xml:space="preserve">21</w:t>
        </w:r>
      </w:hyperlink>
      <w:r>
        <w:t xml:space="preserve">. This distinction is particularly relevant in PDAC, where malignant and stromal gene programs underlie established molecular subtypes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allowing survival information to influence gene-program discovery while retaining a decomposed representation of the transcriptome. Because the factorization is sensitive to initialization, solutions from many independent restarts are aggregated to initialize a final fit. The resulting gene weights are then held fixed, or frozen, so that the same learned programs can be evaluated in external cohorts without refitting the representation.</w:t>
      </w:r>
    </w:p>
    <w:p>
      <w:pPr>
        <w:pStyle w:val="BodyText"/>
      </w:pPr>
      <w:r>
        <w:t xml:space="preserve">We evaluate DeSurv in PDAC by comparing the resulting representation with unsupervised NMF at matched and higher rank, where rank is the number of programs the factorization extracts, and with conventional supervised survival models such as penalized Cox regression and supervised principal components (Supplementary Table [tab:architecture]). We then evaluate the clinical relevance of the learned programs in independent cohorts and ask whether they retain prognostic information beyond established PDAC classifiers. Simulations in which the true underlying (latent) programs are known characterize the conditions under which incorporating survival into factorization improves recovery of prognostic structure.</w:t>
      </w:r>
    </w:p>
    <w:bookmarkStart w:id="42" w:name="results"/>
    <w:p>
      <w:pPr>
        <w:pStyle w:val="Heading1"/>
      </w:pPr>
      <w:r>
        <w:t xml:space="preserve">Results</w:t>
      </w:r>
    </w:p>
    <w:bookmarkStart w:id="23" w:name="X20ee7d05d1e1569da8d1832bf95c1184a6e3459"/>
    <w:p>
      <w:pPr>
        <w:pStyle w:val="Heading2"/>
      </w:pPr>
      <w:r>
        <w:t xml:space="preserve">DeSurv directly incorporates survival information into gene program discovery</w:t>
      </w:r>
    </w:p>
    <w:p>
      <w:pPr>
        <w:pStyle w:val="FirstParagraph"/>
      </w:pPr>
      <w:r>
        <w:t xml:space="preserve">DeSurv jointly factorizes the tumor transcriptome into gene programs and sample-specific program usage while incorporating association with patient survival into the learning objective. A supervision parameter</w:t>
      </w:r>
      <w:r>
        <w:t xml:space="preserve"> </w:t>
      </w:r>
      <m:oMath>
        <m:r>
          <m:t>α</m:t>
        </m:r>
      </m:oMath>
      <w:r>
        <w:t xml:space="preserve"> </w:t>
      </w:r>
      <w:r>
        <w:t xml:space="preserve">controls the influence of survival, with</w:t>
      </w:r>
      <w:r>
        <w:t xml:space="preserve"> </w:t>
      </w:r>
      <m:oMath>
        <m:r>
          <m:t>α</m:t>
        </m:r>
        <m:r>
          <m:rPr>
            <m:sty m:val="p"/>
          </m:rPr>
          <m:t>=</m:t>
        </m:r>
        <m:r>
          <m:t>0</m:t>
        </m:r>
      </m:oMath>
      <w:r>
        <w:t xml:space="preserve"> </w:t>
      </w:r>
      <w:r>
        <w:t xml:space="preserve">reducing the model to a purely reconstruction-driven factorization, while the rank</w:t>
      </w:r>
      <w:r>
        <w:t xml:space="preserve"> </w:t>
      </w:r>
      <m:oMath>
        <m:r>
          <m:t>k</m:t>
        </m:r>
      </m:oMath>
      <w:r>
        <w:t xml:space="preserve"> </w:t>
      </w:r>
      <w:r>
        <w:t xml:space="preserve">sets the number of programs extracted (Fig. [fig:schema]a; Methods). During fitting, DeSurv estimates gene-program weights, sample-specific program usage, and Cox coefficients. After training, the gene-program weights are fixed, allowing the same learned programs to be evaluated in new cohorts without refitting the representation.</w:t>
      </w:r>
    </w:p>
    <w:p>
      <w:pPr>
        <w:pStyle w:val="BodyText"/>
      </w:pPr>
      <w:r>
        <w:t xml:space="preserve">We trained DeSurv in pooled TCGA and CPTAC PDAC cohorts</w:t>
      </w:r>
      <w:hyperlink w:anchor="ref-raphael2017integrated">
        <w:r>
          <w:rPr>
            <w:rStyle w:val="Hyperlink"/>
            <w:vertAlign w:val="superscript"/>
          </w:rPr>
          <w:t xml:space="preserve">22</w:t>
        </w:r>
      </w:hyperlink>
      <w:r>
        <w:rPr>
          <w:vertAlign w:val="superscript"/>
        </w:rPr>
        <w:t xml:space="preserve">,</w:t>
      </w:r>
      <w:hyperlink w:anchor="ref-cao2021proteogenomic">
        <w:r>
          <w:rPr>
            <w:rStyle w:val="Hyperlink"/>
            <w:vertAlign w:val="superscript"/>
          </w:rPr>
          <w:t xml:space="preserve">23</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24</w:t>
        </w:r>
      </w:hyperlink>
      <w:r>
        <w:rPr>
          <w:vertAlign w:val="superscript"/>
        </w:rPr>
        <w:t xml:space="preserve">,</w:t>
      </w:r>
      <w:hyperlink w:anchor="ref-shahriari2016taking">
        <w:r>
          <w:rPr>
            <w:rStyle w:val="Hyperlink"/>
            <w:vertAlign w:val="superscript"/>
          </w:rPr>
          <w:t xml:space="preserve">25</w:t>
        </w:r>
      </w:hyperlink>
      <w:r>
        <w:t xml:space="preserve">, a sequential search algorithm that proposes each new setting based on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ranks (Supplementary Figs. [fig:fig-si-bo-tuning] and [fig:fig-cindex-by-k]). We therefore applied the one-standard-error rule, selecting the most parsimonious model within one standard error of the best and yielding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observed configuration, which had rank</w:t>
      </w:r>
      <w:r>
        <w:t xml:space="preserve"> </w:t>
      </w:r>
      <m:oMath>
        <m:r>
          <m:t>k</m:t>
        </m:r>
        <m:r>
          <m:rPr>
            <m:sty m:val="p"/>
          </m:rPr>
          <m:t>=</m:t>
        </m:r>
        <m:r>
          <m:t>7</m:t>
        </m:r>
      </m:oMath>
      <w:r>
        <w:t xml:space="preserve"> </w:t>
      </w:r>
      <w:r>
        <w:t xml:space="preserve">(Fig. [fig:schema]b; Methods; Supplementary Information, Bayesian Optimization). In contrast, standard unsupervised rank criteria (reconstruction residuals, cophenetic correlation and silhouette width</w:t>
      </w:r>
      <w:hyperlink w:anchor="ref-brunet2004metagenes">
        <w:r>
          <w:rPr>
            <w:rStyle w:val="Hyperlink"/>
            <w:vertAlign w:val="superscript"/>
          </w:rPr>
          <w:t xml:space="preserve">26</w:t>
        </w:r>
      </w:hyperlink>
      <w:r>
        <w:rPr>
          <w:vertAlign w:val="superscript"/>
        </w:rPr>
        <w:t xml:space="preserve">,</w:t>
      </w:r>
      <w:hyperlink w:anchor="ref-frigyesi2008nmf">
        <w:r>
          <w:rPr>
            <w:rStyle w:val="Hyperlink"/>
            <w:vertAlign w:val="superscript"/>
          </w:rPr>
          <w:t xml:space="preserve">27</w:t>
        </w:r>
      </w:hyperlink>
      <w:r>
        <w:t xml:space="preserve">) gave conflicting rank choices in the same data (Supplementary Fig. [fig:fig-nmf-diagnostics]), echoing the cross-study instability of unsupervised PDAC subtype taxonomies</w:t>
      </w:r>
      <w:hyperlink w:anchor="ref-lautizi2022pancreatic">
        <w:r>
          <w:rPr>
            <w:rStyle w:val="Hyperlink"/>
            <w:vertAlign w:val="superscript"/>
          </w:rPr>
          <w:t xml:space="preserve">20</w:t>
        </w:r>
      </w:hyperlink>
      <w:r>
        <w:t xml:space="preserve">. All model and hyperparameter selection was completed within the training cohorts.</w:t>
      </w:r>
    </w:p>
    <w:p>
      <w:pPr>
        <w:pStyle w:val="BodyText"/>
      </w:pPr>
      <w:r>
        <w:t xml:space="preserve">The final fit was initialized from a consensus of 100 random restarts (Methods). Individual restarts reached similar training concordance (median C-index 0.70, range 0.68–0.73) yet dispersed gene sets (median pairwise Jaccard of top-ranked genes 0.13 against 0.07 by chance), so the consensus step, not any single restart, defines the reported programs. Consensus fits from each half of 8 split-half partitions of that restart pool agreed closely with the reported basis (median gene-loading correlations 0.97–0.99, median top-ranked-gene Jaccard 0.73–0.88; Supplementary Information, Stability of the recovered gene programs). These partitions assess sensitivity to restart-pool composition within the same training data; they do not independently repeat the full discovery procedure.</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and Cox proportional hazards likelihood. The gene-program matrix</w:t>
      </w:r>
      <w:r>
        <w:rPr>
          <w:iCs/>
          <w:i/>
        </w:rPr>
        <w:t xml:space="preserve"> </w:t>
      </w:r>
      <m:oMath>
        <m:r>
          <m:t>W</m:t>
        </m:r>
      </m:oMath>
      <w:r>
        <w:rPr>
          <w:iCs/>
          <w:i/>
        </w:rPr>
        <w:t xml:space="preserve"> </w:t>
      </w:r>
      <w:r>
        <w:rPr>
          <w:iCs/>
          <w:i/>
        </w:rPr>
        <w:t xml:space="preserve">enters both objectives:</w:t>
      </w:r>
      <w:r>
        <w:rPr>
          <w:iCs/>
          <w:i/>
        </w:rPr>
        <w:t xml:space="preserve"> </w:t>
      </w:r>
      <m:oMath>
        <m:r>
          <m:t>X</m:t>
        </m:r>
        <m:r>
          <m:rPr>
            <m:sty m:val="p"/>
          </m:rPr>
          <m:t>≈</m:t>
        </m:r>
        <m:r>
          <m:t>W</m:t>
        </m:r>
        <m:r>
          <m:t>H</m:t>
        </m:r>
      </m:oMath>
      <w:r>
        <w:rPr>
          <w:iCs/>
          <w:i/>
        </w:rPr>
        <w:t xml:space="preserve"> </w:t>
      </w:r>
      <w:r>
        <w:rPr>
          <w:iCs/>
          <w:i/>
        </w:rPr>
        <w:t xml:space="preserve">defines the reconstruction, while projected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observed configuration (Methods). Survival supervision therefore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Following model selection in the training data, the resulting gene weights are fixed for evaluation in external cohorts.</w:t>
      </w:r>
    </w:p>
    <w:bookmarkEnd w:id="23"/>
    <w:bookmarkStart w:id="27" w:name="Xa815650fb79fa4af0033772bb01e5f5618d22bf"/>
    <w:p>
      <w:pPr>
        <w:pStyle w:val="Heading2"/>
      </w:pPr>
      <w:r>
        <w:t xml:space="preserve">Survival supervision changes which gene programs are recovered</w:t>
      </w:r>
    </w:p>
    <w:p>
      <w:pPr>
        <w:pStyle w:val="FirstParagraph"/>
      </w:pPr>
      <w:r>
        <w:t xml:space="preserve">To compare the recovered gene programs at the same rank, we fitted DeSurv and standard Lee multiplicative NMF with</w:t>
      </w:r>
      <w:r>
        <w:t xml:space="preserve"> </w:t>
      </w:r>
      <m:oMath>
        <m:r>
          <m:t>k</m:t>
        </m:r>
        <m:r>
          <m:rPr>
            <m:sty m:val="p"/>
          </m:rPr>
          <m:t>=</m:t>
        </m:r>
        <m:r>
          <m:t>3</m:t>
        </m:r>
      </m:oMath>
      <w:r>
        <w:t xml:space="preserve">. DeSurv resolved three distinct programs (D1–D3): D1, enriched for classical tumor and restCAF-like stromal signatures; D2, enriched for proCAF-like stroma; and D3, enriched for basal-like tumor programs (Fig. [fig:pdac]a). In the COMPASS trial cohort, D1 scores correlated with GATA6 RNA in situ hybridization, independently supporting the classical tumor component of D1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the unsupervised comparator, recovered a different set of programs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28</w:t>
        </w:r>
      </w:hyperlink>
      <w:r>
        <w:rPr>
          <w:vertAlign w:val="superscript"/>
        </w:rPr>
        <w:t xml:space="preserve">,</w:t>
      </w:r>
      <w:hyperlink w:anchor="ref-Maurer2019">
        <w:r>
          <w:rPr>
            <w:rStyle w:val="Hyperlink"/>
            <w:vertAlign w:val="superscript"/>
          </w:rPr>
          <w:t xml:space="preserve">29</w:t>
        </w:r>
      </w:hyperlink>
      <w:r>
        <w:t xml:space="preserve">, and a third factor (N2) for exocrine-associated variation. Both methods recovered activated-stroma and proCAF-like reference programs but differed at the tumor-restraining end: among the displayed top-ranked genes, the restCAF and iCAF reference programs corresponded to a DeSurv factor but to no standard NMF factor (Fig. [fig:pdac]a,b). These are bulk gene-program correspondences, not identifications of CAF cell states (Supplementary Information, Stromal resolution: which reference programs are recovered from bulk).</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30</w:t>
        </w:r>
      </w:hyperlink>
      <w:r>
        <w:t xml:space="preserve">), the smallest share among the three factors. However, in post-fit unpenalized Cox models of the three training-cohort scores, omitting D1 and refitting on the remaining scores lowered the maximized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this conditional survival contribution. In the matched-rank standard NMF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These conditional, nonadditive increments describe associations in the training data used for discovery and do not independently validate prognostic relevance. Thus, the programs that best reconstruct the transcriptome need not be those that are most relevant to survival</w:t>
      </w:r>
      <w:hyperlink w:anchor="ref-aran2015systematic">
        <w:r>
          <w:rPr>
            <w:rStyle w:val="Hyperlink"/>
            <w:vertAlign w:val="superscript"/>
          </w:rPr>
          <w:t xml:space="preserve">16</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gene-loading Spearman correlation over all analyzed genes; Fig. [fig:pdac]d). Consistently, D1’s gene weights were poorly reconstructed from the three NMF factors together (</w:t>
      </w:r>
      <m:oMath>
        <m:sSup>
          <m:e>
            <m:r>
              <m:t>R</m:t>
            </m:r>
          </m:e>
          <m:sup>
            <m:r>
              <m:t>2</m:t>
            </m:r>
          </m:sup>
        </m:sSup>
        <m:r>
          <m:rPr>
            <m:sty m:val="p"/>
          </m:rPr>
          <m:t>=</m:t>
        </m:r>
        <m:r>
          <m:t>0.09</m:t>
        </m:r>
      </m:oMath>
      <w:r>
        <w:t xml:space="preserve">; Supplementary Table [tab:projection-r2]). DeSurv reconstructed the analysis matrix less completely than matched-rank NMF (</w:t>
      </w:r>
      <m:oMath>
        <m:sSup>
          <m:e>
            <m:r>
              <m:t>R</m:t>
            </m:r>
          </m:e>
          <m:sup>
            <m:r>
              <m:t>2</m:t>
            </m:r>
          </m:sup>
        </m:sSup>
      </m:oMath>
      <w:r>
        <w:t xml:space="preserve"> </w:t>
      </w:r>
      <w:r>
        <w:t xml:space="preserve">0.75 versus 0.81, a difference of 6.0 percentage points; Supplementary Table [tab:overall-r2]). Thus, survival supervision preserved most of the variance-dominant tumor and stromal structure while resolving D1 as a distinct program not captured by matched-rank NMF.</w:t>
      </w:r>
    </w:p>
    <w:p>
      <w:pPr>
        <w:pStyle w:val="BodyText"/>
      </w:pPr>
      <w:r>
        <w:t xml:space="preserve">Differences in optimization procedure or computational effort did not appear to explain this result. We repeated the comparison with a matched-budget unsupervised control that used DeSurv’s optimizer, gene filter, cross-validation folds, Bayesian-optimization budget and consensus initialization, with rank fixed at three,</w:t>
      </w:r>
      <w:r>
        <w:t xml:space="preserve"> </w:t>
      </w:r>
      <m:oMath>
        <m:r>
          <m:t>α</m:t>
        </m:r>
      </m:oMath>
      <w:r>
        <w:t xml:space="preserve"> </w:t>
      </w:r>
      <w:r>
        <w:t xml:space="preserve">fixed at zero and the remaining hyperparameters re-optimized (Methods). Survival therefore played no part in the factorization objective, although it still guided tuning, including the gene support used in consensus initialization. The control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defined as the union of reference programs with Spearman</w:t>
      </w:r>
      <w:r>
        <w:rPr>
          <w:iCs/>
          <w:i/>
        </w:rPr>
        <w:t xml:space="preserve"> </w:t>
      </w:r>
      <m:oMath>
        <m:r>
          <m:t>ρ</m:t>
        </m:r>
        <m:r>
          <m:rPr>
            <m:sty m:val="p"/>
          </m:rPr>
          <m:t>&gt;</m:t>
        </m:r>
        <m:r>
          <m:t>0.2</m:t>
        </m:r>
      </m:oMath>
      <w:r>
        <w:rPr>
          <w:iCs/>
          <w:i/>
        </w:rPr>
        <w:t xml:space="preserve"> </w:t>
      </w:r>
      <w:r>
        <w:rPr>
          <w:iCs/>
          <w:i/>
        </w:rPr>
        <w:t xml:space="preserve">for at least one factor from either method. Grey cells denote programs with no genes represented in that method’s displayed gene space, for which the correlation is not computable. Rows labeled SCISSORS: restCAF and SCISSORS: proCAF display the SCISSORS iCAF and myCAF gene sets under the naming used by the DeCAF classification (Supplementary Information). These are correspondences between bulk gene programs and reference signatures, not direct identifications of CAF cell states. (c) Per-factor reconstruction contribution (normalized Shapley share, summing to 100%) versus survival contribution, defined as the decrease in maximized unpenalized Cox partial log-likelihood when one factor is omitted and the model is refitted using the remaining training-cohort scores computed over all analyzed genes. These increments are conditional and nonadditive; because D1 was estimated using these survival outcomes, its increment locates survival signal within the fitted model but does not independently validate its prognostic relevance. (d) Pairwise correspondence between NMF and DeSurv factors (Spearman correlation of gene loadings in</w:t>
      </w:r>
      <w:r>
        <w:rPr>
          <w:iCs/>
          <w:i/>
        </w:rPr>
        <w:t xml:space="preserve"> </w:t>
      </w:r>
      <m:oMath>
        <m:r>
          <m:t>W</m:t>
        </m:r>
      </m:oMath>
      <w:r>
        <w:rPr>
          <w:iCs/>
          <w:i/>
        </w:rPr>
        <w:t xml:space="preserve"> </w:t>
      </w:r>
      <w:r>
        <w:rPr>
          <w:iCs/>
          <w:i/>
        </w:rPr>
        <w:t xml:space="preserve">over all analyzed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1" w:name="X63dd48f35e94be278b5d3dd339c4c2fc8b88d90"/>
    <w:p>
      <w:pPr>
        <w:pStyle w:val="Heading2"/>
      </w:pPr>
      <w:r>
        <w:t xml:space="preserve">Frozen DeSurv programs retain prognostic information across independent PDAC cohorts</w:t>
      </w:r>
    </w:p>
    <w:p>
      <w:pPr>
        <w:pStyle w:val="FirstParagraph"/>
      </w:pPr>
      <w:r>
        <w:t xml:space="preserve">We next scored five external validation datasets from four independent, non-metastatic, treatment-naive PDAC cohorts (Dijk, Moffitt, PACA-AU [array and RNA-seq], and Puleo; Supplementary Table [tab:cohorts]) by projecting each tumor’s expression onto the frozen programs over the union of their top-ranked genes (810 genes;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retaining the RNA-sequencing measurement for PACA-AU patients profiled on both platforms, and included</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with a statistically significant combined association in the dataset-stratified analysis (HR per within-dataset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while D2 was near 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varied more across datasets (Fig. [fig:val]a). None of the three standard NMF factors at the same rank showed a significant combined association (HRs 0.94–1.00; Fig. [fig:val]a, right); these are individual factor associations from a standard NMF fit, not the combined risk score of the matched-budget control in Table [tab:hr-adjusted].</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dataset-stratified analysis (HR per pooled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Puleo contributed 288 of the 570 unique patients, so leave-one-dataset-out analyses assessed whether the pooled estimate depended strongly on that cohort; the estimates were similar with each dataset omitted in turn (HRs 1.34–1.45; Supplementary Table [tab:loco]). Scaled Schoenfeld residuals indicated attenuation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it should be read as a time-averaged summary rather than a constant multiplicative effect.</w:t>
      </w:r>
    </w:p>
    <w:p>
      <w:pPr>
        <w:pStyle w:val="BodyText"/>
      </w:pPr>
      <w:r>
        <w:t xml:space="preserve">Allowing cohort-specific slopes did not significantly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each of the four cohorts), and the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In a sensitivity analysis recalibrating the frozen score in sample within each validation dataset (apparent rather than out-of-sample error), the integrated Brier score, an event-weighted summary over dataset-specific follow-up horizons,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Platform-specific PACA-AU array and RNA-seq estimates are shown separately, and black diamonds denote combined estimates over unique patients (per-factor dataset-stratified Cox models on the de-duplicated patient-level data, with each program standardized within dataset and scored on the union top-gene support; PACA-AU array duplicates excluded).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in the training data. Supervised scores correlated most strongly with D1 and only weakly with the D2 stromal program. These score correspondences do not establish recovery of identical gene programs. No validation-cohort survival outcomes were used in training, scoring or hyperparameter selection; they enter only the association estimates shown and the separately described recalibration analysis (Methods; Supplementary Information, Proper-scoring sensitivity of the external validation).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pooled SD (95% CI),</w:t>
            </w:r>
            <w:r>
              <w:t xml:space="preserve"> </w:t>
            </w:r>
            <m:oMath>
              <m:r>
                <m:t>P</m:t>
              </m:r>
            </m:oMath>
          </w:p>
        </w:tc>
        <w:tc>
          <w:tcPr/>
          <w:p>
            <w:pPr>
              <w:pStyle w:val="Compact"/>
              <w:jc w:val="left"/>
            </w:pPr>
            <w:r>
              <w:t xml:space="preserve">Adjusted HR per pooled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pooled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the rank selected by the same one-standard-error rule applied to its own Bayesian-optimization results (</w:t>
      </w:r>
      <m:oMath>
        <m:r>
          <m:t>k</m:t>
        </m:r>
        <m:r>
          <m:rPr>
            <m:sty m:val="p"/>
          </m:rPr>
          <m:t>=</m:t>
        </m:r>
        <m:r>
          <m:t>7</m:t>
        </m:r>
      </m:oMath>
      <w:r>
        <w:rPr>
          <w:iCs/>
          <w:i/>
        </w:rPr>
        <w:t xml:space="preserve">); both use the same fitting pipeline, consensus procedure and outcome-based tuning budget as DeSurv, with</w:t>
      </w:r>
      <w:r>
        <w:rPr>
          <w:iCs/>
          <w:i/>
        </w:rPr>
        <w:t xml:space="preserve"> </w:t>
      </w:r>
      <m:oMath>
        <m:r>
          <m:t>α</m:t>
        </m:r>
      </m:oMath>
      <w:r>
        <w:rPr>
          <w:iCs/>
          <w:i/>
        </w:rPr>
        <w:t xml:space="preserve"> </w:t>
      </w:r>
      <w:r>
        <w:rPr>
          <w:iCs/>
          <w:i/>
        </w:rPr>
        <w:t xml:space="preserve">fixed at zero (Supplementary Table [tab:tab-cindex-comparison]). These are point estimates for the selected models, not tests of superiority and not a comparison of minimum ranks.</w:t>
      </w:r>
    </w:p>
    <w:bookmarkEnd w:id="31"/>
    <w:bookmarkStart w:id="32" w:name="X7fde2f7385271f1c6cf3a3491d058fdf04b2c4f"/>
    <w:p>
      <w:pPr>
        <w:pStyle w:val="Heading2"/>
      </w:pPr>
      <w:r>
        <w:t xml:space="preserve">D1 retains prognostic information beyond established PDAC classifications</w:t>
      </w:r>
    </w:p>
    <w:p>
      <w:pPr>
        <w:pStyle w:val="FirstParagraph"/>
      </w:pPr>
      <w:r>
        <w:t xml:space="preserve">Across the pooled validation cohorts (</w:t>
      </w:r>
      <m:oMath>
        <m:r>
          <m:t>n</m:t>
        </m:r>
        <m:r>
          <m:rPr>
            <m:sty m:val="p"/>
          </m:rPr>
          <m:t>=</m:t>
        </m:r>
        <m:r>
          <m:t>570</m:t>
        </m:r>
      </m:oMath>
      <w:r>
        <w:t xml:space="preserve">, 388 events), binary PurIST and DeCAF classifications together explained 34% of the within-dataset variance in the continuous D1 score, and DeCAF alone explained 19%. D1 nevertheless remained associated with survival after adjustment for both classifiers (HR per within-dataset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dataset-stratified Cox model with additive PurIST and DeCAF terms improved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D1 therefore overlaps substantially with these classifications without being reducible to them.</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In these same datasets, adjustment for purity left the DeSurv linear predictor’s survival association essentially unchanged (HR per SD: PACA-AU array, 1.44 versus 1.45; RNA-seq, 1.66 versus 1.65; Supplementary Table [tab:clinical-adjustment]). In Puleo, the largest validation cohort, the DeSurv linear predictor also remained prognostic after adjustment for sex and resection-margin status (HR per SD 1.33, 95% CI</w:t>
      </w:r>
      <w:r>
        <w:t xml:space="preserve"> </w:t>
      </w:r>
      <m:oMath>
        <m:r>
          <m:t>1.14</m:t>
        </m:r>
      </m:oMath>
      <w:r>
        <w:t xml:space="preserve">–</w:t>
      </w:r>
      <m:oMath>
        <m:r>
          <m:t>1.55</m:t>
        </m:r>
      </m:oMath>
      <w:r>
        <w:t xml:space="preserve">; Supplementary Table [tab:clinical-adjustment]). Together, within the PACA-AU datasets, the weak correlations between D1 and purity and the stability of the linear predictor after purity adjustment argue against measured tumor purity as the main explanation for these findings, although they do not establish the cellular identity of D1’s restCAF-like component (Supplementary Information, Stromal resolution: which reference programs are recovered from bulk).</w:t>
      </w:r>
    </w:p>
    <w:bookmarkEnd w:id="32"/>
    <w:bookmarkStart w:id="36" w:name="exploratory-transport-to-treated-disease"/>
    <w:p>
      <w:pPr>
        <w:pStyle w:val="Heading2"/>
      </w:pPr>
      <w:r>
        <w:t xml:space="preserve">Exploratory transport to treated disease</w:t>
      </w:r>
    </w:p>
    <w:p>
      <w:pPr>
        <w:pStyle w:val="FirstParagraph"/>
      </w:pPr>
      <w:r>
        <w:t xml:space="preserve">We also projected the frozen programs, without retraining, into two treated PDAC cohorts. In the O’Kane/COMPASS cohort of metastatic disease (</w:t>
      </w:r>
      <m:oMath>
        <m:r>
          <m:t>n</m:t>
        </m:r>
        <m:r>
          <m:rPr>
            <m:sty m:val="p"/>
          </m:rPr>
          <m:t>=</m:t>
        </m:r>
        <m:r>
          <m:t>173</m:t>
        </m:r>
      </m:oMath>
      <w:r>
        <w:t xml:space="preserve">, 123 deaths),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these laser-capture microdissected profiles are epithelial-enriched, primarily reflecting the tumor component of D1.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 into independent treated PDAC cohorts), a shift that may reflect cell composition, cellular state or both. Because treatment, stage and cohort were not independently varied, these analyses are exploratory and do not establish differential treatment benefit.</w:t>
      </w:r>
    </w:p>
    <w:p>
      <w:pPr>
        <w:pStyle w:val="BodyText"/>
      </w:pPr>
      <w:r>
        <w:drawing>
          <wp:inline>
            <wp:extent cx="5334000" cy="2524290"/>
            <wp:effectExtent b="0" l="0" r="0" t="0"/>
            <wp:docPr descr="" title="" id="34" name="Picture"/>
            <a:graphic>
              <a:graphicData uri="http://schemas.openxmlformats.org/drawingml/2006/picture">
                <pic:pic>
                  <pic:nvPicPr>
                    <pic:cNvPr descr=".docx_media/figures_fig_treated_1.png" id="35" name="Picture"/>
                    <pic:cNvPicPr>
                      <a:picLocks noChangeArrowheads="1" noChangeAspect="1"/>
                    </pic:cNvPicPr>
                  </pic:nvPicPr>
                  <pic:blipFill>
                    <a:blip r:embed="rId33"/>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D1 in treated metastatic PDAC from the O’Kane/COMPASS cohort. Points and 95% confidence intervals show hazard ratios per SD of the frozen D1 score within the FOLFIRINOX (FFX), gemcitabine/nab-paclitaxel (GA), and GA/experimental treatment arms; the diamond shows the common association from a Cox model stratified by treatment arm (HR</w:t>
      </w:r>
      <w:r>
        <w:rPr>
          <w:iCs/>
          <w:i/>
        </w:rPr>
        <w:t xml:space="preserve"> </w:t>
      </w:r>
      <m:oMath>
        <m:r>
          <m:t>0.75</m:t>
        </m:r>
      </m:oMath>
      <w:r>
        <w:rPr>
          <w:iCs/>
          <w:i/>
        </w:rPr>
        <w:t xml:space="preserve">, 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had protective point estimates in all three arms, with no evidence of an arm-by-score interaction (</w:t>
      </w:r>
      <m:oMath>
        <m:r>
          <m:t>P</m:t>
        </m:r>
        <m:r>
          <m:rPr>
            <m:sty m:val="p"/>
          </m:rPr>
          <m:t>=</m:t>
        </m:r>
        <m:r>
          <m:t>0.40</m:t>
        </m:r>
      </m:oMath>
      <w:r>
        <w:rPr>
          <w:iCs/>
          <w:i/>
        </w:rPr>
        <w:t xml:space="preserve">), although individual arms were underpowered for detecting heterogeneity. Scores were derived from laser-capture microdissected, epithelial-enriched profiles. (b) Projected proCAF-like D2 scores before and after treatment in paired Linehan biopsies (</w:t>
      </w:r>
      <m:oMath>
        <m:r>
          <m:t>n</m:t>
        </m:r>
        <m:r>
          <m:rPr>
            <m:sty m:val="p"/>
          </m:rPr>
          <m:t>=</m:t>
        </m:r>
        <m:r>
          <m:t>29</m:t>
        </m:r>
      </m:oMath>
      <w:r>
        <w:rPr>
          <w:iCs/>
          <w:i/>
        </w:rPr>
        <w:t xml:space="preserve">). Grey lines connect biopsies from the same patient; the red line shows the group mean, which increased by</w:t>
      </w:r>
      <w:r>
        <w:rPr>
          <w:iCs/>
          <w:i/>
        </w:rPr>
        <w:t xml:space="preserve"> </w:t>
      </w:r>
      <m:oMath>
        <m:r>
          <m:t>0.34</m:t>
        </m:r>
      </m:oMath>
      <w:r>
        <w:rPr>
          <w:iCs/>
          <w:i/>
        </w:rPr>
        <w:t xml:space="preserve"> </w:t>
      </w:r>
      <w:r>
        <w:rPr>
          <w:iCs/>
          <w:i/>
        </w:rPr>
        <w:t xml:space="preserve">SD after treatment (paired Wilcoxon</w:t>
      </w:r>
      <w:r>
        <w:rPr>
          <w:iCs/>
          <w:i/>
        </w:rPr>
        <w:t xml:space="preserve"> </w:t>
      </w:r>
      <m:oMath>
        <m:r>
          <m:t>P</m:t>
        </m:r>
        <m:r>
          <m:rPr>
            <m:sty m:val="p"/>
          </m:rPr>
          <m:t>=</m:t>
        </m:r>
        <m:r>
          <m:t>0.013</m:t>
        </m:r>
      </m:oMath>
      <w:r>
        <w:rPr>
          <w:iCs/>
          <w:i/>
        </w:rPr>
        <w:t xml:space="preserve">). Because treatment, stage and cohort were not independently varied, these analyses support transportability rather than treatment-predictive effects.</w:t>
      </w:r>
    </w:p>
    <w:bookmarkEnd w:id="36"/>
    <w:bookmarkStart w:id="37" w:name="Xc685441adc07ef39d4fb33262bfe779f9f1a448"/>
    <w:p>
      <w:pPr>
        <w:pStyle w:val="Heading2"/>
      </w:pPr>
      <w:r>
        <w:t xml:space="preserve">Method comparisons distinguish survival prediction from gene program recovery</w:t>
      </w:r>
    </w:p>
    <w:p>
      <w:pPr>
        <w:pStyle w:val="FirstParagraph"/>
      </w:pPr>
      <w:r>
        <w:t xml:space="preserve">At DeSurv’s rank, the matched-budget unsupervised control did not show a statistically significant survival association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whose rank the same one-standard-error rule set at</w:t>
      </w:r>
      <w:r>
        <w:t xml:space="preserve"> </w:t>
      </w:r>
      <m:oMath>
        <m:r>
          <m:t>k</m:t>
        </m:r>
        <m:r>
          <m:rPr>
            <m:sty m:val="p"/>
          </m:rPr>
          <m:t>=</m:t>
        </m:r>
        <m:r>
          <m:t>7</m:t>
        </m:r>
      </m:oMath>
      <w:r>
        <w:t xml:space="preserve">, carried comparable external prognostic information (Table [tab:hr-adjusted]; Supplementary Table [tab:tab-cindex-comparison]).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Seven is where the one-standard-error rule landed for the unsupervised search, not a general minimum rank for comparable prognostic information. Survival supervision was not required to obtain a prognostic signal, but it altered which programs were identified and how that signal was decomposed.</w:t>
      </w:r>
    </w:p>
    <w:p>
      <w:pPr>
        <w:pStyle w:val="BodyText"/>
      </w:pPr>
      <w:r>
        <w:t xml:space="preserve">To test whether D1 was specific to the DeSurv optimizer, we applied three other survival-supervised approaches to the training datasets (one supervised component each for supervised principal components and Cox partial least squares, one penalized fit for sparse Cox; Methods). All three produced patient scores strongly correlated with D1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whereas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This indicates a shared survival-associated signal in the patient scores, not that the three methods recover the same gene programs.</w:t>
      </w:r>
    </w:p>
    <w:p>
      <w:pPr>
        <w:pStyle w:val="BodyText"/>
      </w:pPr>
      <w:r>
        <w:t xml:space="preserve">Independently tuned supervised principal components and lasso-penalized Cox regression had pooled external C-indices of</w:t>
      </w:r>
      <w:r>
        <w:t xml:space="preserve"> </w:t>
      </w:r>
      <m:oMath>
        <m:r>
          <m:t>0.60</m:t>
        </m:r>
      </m:oMath>
      <w:r>
        <w:t xml:space="preserve"> </w:t>
      </w:r>
      <w:r>
        <w:t xml:space="preserve">and</w:t>
      </w:r>
      <w:r>
        <w:t xml:space="preserve"> </w:t>
      </w:r>
      <m:oMath>
        <m:r>
          <m:t>0.60</m:t>
        </m:r>
      </m:oMath>
      <w:r>
        <w:t xml:space="preserve">, versus</w:t>
      </w:r>
      <w:r>
        <w:t xml:space="preserve"> </w:t>
      </w:r>
      <m:oMath>
        <m:r>
          <m:t>0.61</m:t>
        </m:r>
      </m:oMath>
      <w:r>
        <w:t xml:space="preserve"> </w:t>
      </w:r>
      <w:r>
        <w:t xml:space="preserve">for DeSurv. For this comparison, DeSurv used per-program gene supports and unpenalized Cox coefficients re-estimated on the training scores, rather than the union-support predictor used for primary external validation. The selected genes of the supervised predictors, however, were enriched for basal-like tumor programs in every cross-validation seed and for none of the stromal, immune or exocrine programs examined,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They nevertheless carried some stromal information, correlating with an external activated-stroma and proCAF signature at</w:t>
      </w:r>
      <w:r>
        <w:t xml:space="preserve"> </w:t>
      </w:r>
      <m:oMath>
        <m:d>
          <m:dPr>
            <m:begChr m:val="|"/>
            <m:endChr m:val="|"/>
            <m:sepChr m:val=""/>
            <m:grow/>
          </m:dPr>
          <m:e>
            <m:r>
              <m:t>r</m:t>
            </m:r>
          </m:e>
        </m:d>
        <m:r>
          <m:rPr>
            <m:sty m:val="p"/>
          </m:rPr>
          <m:t>=</m:t>
        </m:r>
        <m:r>
          <m:t>0.20</m:t>
        </m:r>
      </m:oMath>
      <w:r>
        <w:t xml:space="preserve"> </w:t>
      </w:r>
      <w:r>
        <w:t xml:space="preserve">and</w:t>
      </w:r>
      <w:r>
        <w:t xml:space="preserve"> </w:t>
      </w:r>
      <m:oMath>
        <m:r>
          <m:t>0.23</m:t>
        </m:r>
      </m:oMath>
      <w:r>
        <w:t xml:space="preserve">, against</w:t>
      </w:r>
      <w:r>
        <w:t xml:space="preserve"> </w:t>
      </w:r>
      <m:oMath>
        <m:r>
          <m:t>0.55</m:t>
        </m:r>
      </m:oMath>
      <w:r>
        <w:t xml:space="preserve"> </w:t>
      </w:r>
      <w:r>
        <w:t xml:space="preserve">for D2 (Supplementary Information). Thus, the methods differed less in prognostic discrimination than in how that information was represented: conventional supervised predictors combined contributions from underlying expression programs within a single score, whereas DeSurv retained D1–D3 as separately scored programs with explicit survival coefficients. This decomposition allows the tumor and stromal programs contributing to prognosis to be interrogated separately and retains program-specific ranked gene sets.</w:t>
      </w:r>
    </w:p>
    <w:bookmarkEnd w:id="37"/>
    <w:bookmarkStart w:id="41" w:name="X6689aa5313dac45210423b6867d0aa8d64ac134"/>
    <w:p>
      <w:pPr>
        <w:pStyle w:val="Heading2"/>
      </w:pPr>
      <w:r>
        <w:t xml:space="preserve">Survival supervision improves program recovery when prognostic signal contributes little expression variation</w:t>
      </w:r>
    </w:p>
    <w:p>
      <w:pPr>
        <w:pStyle w:val="FirstParagraph"/>
      </w:pPr>
      <w:r>
        <w:t xml:space="preserve">In simulations with known latent structure, expression profiles were generated for</w:t>
      </w:r>
      <w:r>
        <w:t xml:space="preserve"> </w:t>
      </w:r>
      <m:oMath>
        <m:r>
          <m:t>p</m:t>
        </m:r>
        <m:r>
          <m:rPr>
            <m:sty m:val="p"/>
          </m:rPr>
          <m:t>=</m:t>
        </m:r>
        <m:r>
          <m:t>3</m:t>
        </m:r>
        <m:r>
          <m:rPr>
            <m:sty m:val="p"/>
          </m:rPr>
          <m:t>,</m:t>
        </m:r>
        <m:r>
          <m:t>000</m:t>
        </m:r>
      </m:oMath>
      <w:r>
        <w:t xml:space="preserve"> </w:t>
      </w:r>
      <w:r>
        <w:t xml:space="preserve">genes and</w:t>
      </w:r>
      <w:r>
        <w:t xml:space="preserve"> </w:t>
      </w:r>
      <m:oMath>
        <m:r>
          <m:t>n</m:t>
        </m:r>
        <m:r>
          <m:rPr>
            <m:sty m:val="p"/>
          </m:rPr>
          <m:t>=</m:t>
        </m:r>
        <m:r>
          <m:t>200</m:t>
        </m:r>
      </m:oMath>
      <w:r>
        <w:t xml:space="preserve"> </w:t>
      </w:r>
      <w:r>
        <w:t xml:space="preserve">samples from</w:t>
      </w:r>
      <w:r>
        <w:t xml:space="preserve"> </w:t>
      </w:r>
      <m:oMath>
        <m:r>
          <m:t>k</m:t>
        </m:r>
        <m:r>
          <m:rPr>
            <m:sty m:val="p"/>
          </m:rPr>
          <m:t>=</m:t>
        </m:r>
        <m:r>
          <m:t>3</m:t>
        </m:r>
      </m:oMath>
      <w:r>
        <w:t xml:space="preserve"> </w:t>
      </w:r>
      <w:r>
        <w:t xml:space="preserve">true programs, each with its own marker genes and all drawn from the same loading and activity distributions (Supplementary Information, Simulation design and data generation). In the primary scenario, survival depended on the marker genes of one program only, and those genes contributed less transcriptomic variation than a shared background signal excluded from the survival-generating gene set. DeSurv and its unsupervised limit (</w:t>
      </w:r>
      <m:oMath>
        <m:r>
          <m:t>α</m:t>
        </m:r>
        <m:r>
          <m:rPr>
            <m:sty m:val="p"/>
          </m:rPr>
          <m:t>=</m:t>
        </m:r>
        <m:r>
          <m:t>0</m:t>
        </m:r>
      </m:oMath>
      <w:r>
        <w:t xml:space="preserve">) were tuned by the same cross-validation procedure.</w:t>
      </w:r>
    </w:p>
    <w:p>
      <w:pPr>
        <w:pStyle w:val="BodyText"/>
      </w:pPr>
      <w:r>
        <w:t xml:space="preserve">In this setting, DeSurv more accurately recovered the genes defining the true prognostic program, whereas unsupervised NMF was more strongly influenced by the dominant background structure. Across 100 simulated datasets, median matched-factor precision (the proportion of the best-matching learned program’s selected genes belonging to the true prognostic gene set) was 0.50 for DeSurv versus 0.07 for unsupervised NMF (Fig. [fig:sim]b). Global marker recall (the proportion of the true survival-driving marker genes appearing in the union of all learned programs’ top-ranked gene sets) was 0.26 versus 0.15 (Supplementary Information).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Fig. [fig:sim]a), and DeSurv selected the true rank (</w:t>
      </w:r>
      <m:oMath>
        <m:r>
          <m:t>k</m:t>
        </m:r>
        <m:r>
          <m:rPr>
            <m:sty m:val="p"/>
          </m:rPr>
          <m:t>=</m:t>
        </m:r>
        <m:r>
          <m:t>3</m:t>
        </m:r>
      </m:oMath>
      <w:r>
        <w:t xml:space="preserve">) more frequently (Fig. [fig:sim]c).</w:t>
      </w:r>
    </w:p>
    <w:p>
      <w:pPr>
        <w:pStyle w:val="BodyText"/>
      </w:pPr>
      <w:r>
        <w:t xml:space="preserve">Performance depended on how prognostic signal aligned with expression structure. In the mixed setting, the benefit of supervision was concentrated in recovery of program-specific marker genes and was smaller for shared background genes included in the survival-generating set (Fig. [fig:sim]d; Supplementary Fig. [fig:fig-sim-null-mixed]), consistent with supervision preferentially improving recovery of genes that define the prognostic program. Under the null, test-set concordance was near chance for both methods. The selected supervision strength dispersed across its admissible range rather than concentrating at zero (median</w:t>
      </w:r>
      <w:r>
        <w:t xml:space="preserve"> </w:t>
      </w:r>
      <m:oMath>
        <m:r>
          <m:t>α</m:t>
        </m:r>
        <m:r>
          <m:rPr>
            <m:sty m:val="p"/>
          </m:rPr>
          <m:t>=</m:t>
        </m:r>
        <m:r>
          <m:t>0.59</m:t>
        </m:r>
      </m:oMath>
      <w:r>
        <w:t xml:space="preserve">, interquartile range</w:t>
      </w:r>
      <w:r>
        <w:t xml:space="preserve"> </w:t>
      </w:r>
      <m:oMath>
        <m:r>
          <m:t>0.19</m:t>
        </m:r>
      </m:oMath>
      <w:r>
        <w:t xml:space="preserve">–</w:t>
      </w:r>
      <m:oMath>
        <m:r>
          <m:t>0.82</m:t>
        </m:r>
      </m:oMath>
      <w:r>
        <w:t xml:space="preserve"> </w:t>
      </w:r>
      <w:r>
        <w:t xml:space="preserve">across 100 simulated datasets), consistent with weak discrimination among supervision strengths when survival contained no signal.</w:t>
      </w:r>
    </w:p>
    <w:p>
      <w:pPr>
        <w:pStyle w:val="BodyText"/>
      </w:pPr>
      <w:r>
        <w:drawing>
          <wp:inline>
            <wp:extent cx="5334000" cy="4923692"/>
            <wp:effectExtent b="0" l="0" r="0" t="0"/>
            <wp:docPr descr="" title="" id="39" name="Picture"/>
            <a:graphic>
              <a:graphicData uri="http://schemas.openxmlformats.org/drawingml/2006/picture">
                <pic:pic>
                  <pic:nvPicPr>
                    <pic:cNvPr descr=".docx_media/figures_fig2_tcgacptac.png" id="40" name="Picture"/>
                    <pic:cNvPicPr>
                      <a:picLocks noChangeArrowheads="1" noChangeAspect="1"/>
                    </pic:cNvPicPr>
                  </pic:nvPicPr>
                  <pic:blipFill>
                    <a:blip r:embed="rId38"/>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prognostic signal contributes relatively little expression variation. (a) Test-set concordance across 100 simulated datasets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median C-indices were 0.837 versus 0.724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medians were 0.50 versus 0.07. The best-matching program is selected using the known simulated gene set, so this metric evaluates recovery with access to ground truth. Global marker recall, which requires no factor matching, is reported in the Supplementary Information. In (a) and (b), boxes show medians and interquartile ranges, whiskers extend to</w:t>
      </w:r>
      <w:r>
        <w:rPr>
          <w:iCs/>
          <w:i/>
        </w:rPr>
        <w:t xml:space="preserve"> </w:t>
      </w:r>
      <m:oMath>
        <m:r>
          <m:t>1.5</m:t>
        </m:r>
        <m:r>
          <m:rPr>
            <m:sty m:val="p"/>
          </m:rPr>
          <m:t>×</m:t>
        </m:r>
      </m:oMath>
      <w:r>
        <w:rPr>
          <w:iCs/>
          <w:i/>
        </w:rPr>
        <w:t xml:space="preserve">IQR, and points represent individual simulated datasets. (c) Distribution of ranks selected across simulated datasets for DeSurv and unsupervised NMF; dashed lines indicate the true rank (</w:t>
      </w:r>
      <m:oMath>
        <m:r>
          <m:t>k</m:t>
        </m:r>
        <m:r>
          <m:rPr>
            <m:sty m:val="p"/>
          </m:rPr>
          <m:t>=</m:t>
        </m:r>
        <m:r>
          <m:t>3</m:t>
        </m:r>
      </m:oMath>
      <w:r>
        <w:rPr>
          <w:iCs/>
          <w:i/>
        </w:rPr>
        <w:t xml:space="preserve">). (d) The same matched-factor precision metric as in (b) under two signal regimes: a prognostic program whose genes contribute relatively little transcriptomic variation and are separated from the dominant shared background, and a setting in which the survival-generating gene set partially overlaps that dominant background structure. DeSurv recovered the prognostic program more accurately in both regimes, with a larger separation when the prognostic program was distinct from the dominant expression structure. The null scenario, with no prognostic signal, is shown in the Supplementary Information. The concordance difference in (a) should not be interpreted as an expected gain in discrimination in real data, where a rank-optimized unsupervised control carried comparable prognostic information (Table [tab:hr-adjusted]).</w:t>
      </w:r>
    </w:p>
    <w:bookmarkEnd w:id="41"/>
    <w:bookmarkEnd w:id="42"/>
    <w:bookmarkStart w:id="43" w:name="discussion"/>
    <w:p>
      <w:pPr>
        <w:pStyle w:val="Heading1"/>
      </w:pPr>
      <w:r>
        <w:t xml:space="preserve">Discussion</w:t>
      </w:r>
    </w:p>
    <w:p>
      <w:pPr>
        <w:pStyle w:val="FirstParagraph"/>
      </w:pPr>
      <w:r>
        <w:t xml:space="preserve">DeSurv allows patient survival to shape gene-program discovery, yielding a tumor–stroma architecture that connects prognostic information with interpretable malignant and stromal programs. In PDAC, the architecture comprised a dominant survival-aligned program, D1, characterized by coordinated cross-patient variation in classical tumor and restCAF-like stromal features, alongside separately resolved proCAF-like stromal and basal-like tumor programs. D1 remained prognostic after adjustment for the established PurIST and DeCAF classifications. The frozen programs then transferred without refitting across four independent external patient cohorts.</w:t>
      </w:r>
    </w:p>
    <w:p>
      <w:pPr>
        <w:pStyle w:val="BodyText"/>
      </w:pPr>
      <w:r>
        <w:t xml:space="preserve">An unsupervised control at</w:t>
      </w:r>
      <w:r>
        <w:t xml:space="preserve"> </w:t>
      </w:r>
      <m:oMath>
        <m:r>
          <m:t>α</m:t>
        </m:r>
        <m:r>
          <m:rPr>
            <m:sty m:val="p"/>
          </m:rPr>
          <m:t>=</m:t>
        </m:r>
        <m:r>
          <m:t>0</m:t>
        </m:r>
      </m:oMath>
      <w:r>
        <w:t xml:space="preserve">, matched to DeSurv on rank and tuning budget, did not recover D1, so the difference in the recovered programs did not appear to reflect rank or tuning effort. A rank-optimized unsupervised control recovered comparable prognostic information across a broader seven-factor representation, and conventional supervised predictors achieved similar discrimination while combining contributions from underlying expression programs within single scores. These comparisons separate prognostic information from the representation in which that information is recovered. DeSurv instead retains the contributing sources as separately scored programs rather than combining them only within a composite prognostic predictor.</w:t>
      </w:r>
    </w:p>
    <w:p>
      <w:pPr>
        <w:pStyle w:val="BodyText"/>
      </w:pPr>
      <w:r>
        <w:t xml:space="preserve">This distinction clarifies the role of the frozen gene-program basis.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held fixed, so external validation tests the same programs rather than a newly estimated representation. In CoxNMF and SurvNMF, the survival term depends on sample-side latent representations</w:t>
      </w:r>
      <w:hyperlink w:anchor="ref-huang2020low">
        <w:r>
          <w:rPr>
            <w:rStyle w:val="Hyperlink"/>
            <w:vertAlign w:val="superscript"/>
          </w:rPr>
          <w:t xml:space="preserve">31</w:t>
        </w:r>
      </w:hyperlink>
      <w:r>
        <w:rPr>
          <w:vertAlign w:val="superscript"/>
        </w:rPr>
        <w:t xml:space="preserve">,</w:t>
      </w:r>
      <w:hyperlink w:anchor="ref-le2025survnmf">
        <w:r>
          <w:rPr>
            <w:rStyle w:val="Hyperlink"/>
            <w:vertAlign w:val="superscript"/>
          </w:rPr>
          <w:t xml:space="preserve">32</w:t>
        </w:r>
      </w:hyperlink>
      <w:r>
        <w:t xml:space="preserve">. In DeSurv, it depends directly on projections through the gene-program matrix, and new samples are scored using fixed gene weights without an additional sample-loading estimation step (Supplementary Table [tab:architecture]). Deep latent-variable survival models</w:t>
      </w:r>
      <w:hyperlink w:anchor="ref-zaccaria2023surviae">
        <w:r>
          <w:rPr>
            <w:rStyle w:val="Hyperlink"/>
            <w:vertAlign w:val="superscript"/>
          </w:rPr>
          <w:t xml:space="preserve">33</w:t>
        </w:r>
      </w:hyperlink>
      <w:r>
        <w:rPr>
          <w:vertAlign w:val="superscript"/>
        </w:rPr>
        <w:t xml:space="preserve">,</w:t>
      </w:r>
      <w:hyperlink w:anchor="ref-meng2022savae">
        <w:r>
          <w:rPr>
            <w:rStyle w:val="Hyperlink"/>
            <w:vertAlign w:val="superscript"/>
          </w:rPr>
          <w:t xml:space="preserve">34</w:t>
        </w:r>
      </w:hyperlink>
      <w:r>
        <w:t xml:space="preserve"> </w:t>
      </w:r>
      <w:r>
        <w:t xml:space="preserve">likewise learn sample representations rather than a fixed gene-program basis, and reference-based deconvolution methods such as CIBERSORTx</w:t>
      </w:r>
      <w:hyperlink w:anchor="ref-newman2019cibersortx">
        <w:r>
          <w:rPr>
            <w:rStyle w:val="Hyperlink"/>
            <w:vertAlign w:val="superscript"/>
          </w:rPr>
          <w:t xml:space="preserve">35</w:t>
        </w:r>
      </w:hyperlink>
      <w:r>
        <w:t xml:space="preserve"> </w:t>
      </w:r>
      <w:r>
        <w:t xml:space="preserve">and BayesPrism</w:t>
      </w:r>
      <w:hyperlink w:anchor="ref-chu2022bayesprism">
        <w:r>
          <w:rPr>
            <w:rStyle w:val="Hyperlink"/>
            <w:vertAlign w:val="superscript"/>
          </w:rPr>
          <w:t xml:space="preserve">36</w:t>
        </w:r>
      </w:hyperlink>
      <w:r>
        <w:t xml:space="preserve"> </w:t>
      </w:r>
      <w:r>
        <w:t xml:space="preserve">estimate the abundance of predefined cell types rather than outcome-aligned programs, so DeSurv is complementary to them.</w:t>
      </w:r>
    </w:p>
    <w:p>
      <w:pPr>
        <w:pStyle w:val="BodyText"/>
      </w:pPr>
      <w:r>
        <w:t xml:space="preserve">Program-level outputs are the practical product of this architecture, because the genes defining each program determine how it can be interpreted and what can be tested next. Previous PDAC studies illustrate how interpretable malignant and stromal programs can support biological characterization and the development of single-sample classifiers</w:t>
      </w:r>
      <w:hyperlink w:anchor="ref-moffitt2015virtual">
        <w:r>
          <w:rPr>
            <w:rStyle w:val="Hyperlink"/>
            <w:vertAlign w:val="superscript"/>
          </w:rPr>
          <w:t xml:space="preserve">3</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12</w:t>
        </w:r>
      </w:hyperlink>
      <w:r>
        <w:t xml:space="preserve">. DeSurv extends this line of work by allowing patient outcomes to influence the gene weights themselves while retaining separately measurable programs: for example, D2 remains available as proCAF-like stromal context although the fitted risk score combines D1 and D3. In settings without established molecular annotations, the ranked genes defining each recovered program could instead provide the starting point for biological annotation, subtype development and reduced biomarker assays. These outputs do not yet establish clinical utility or a treatment-selection rule.</w:t>
      </w:r>
    </w:p>
    <w:p>
      <w:pPr>
        <w:pStyle w:val="BodyText"/>
      </w:pPr>
      <w:r>
        <w:t xml:space="preserve">Rank choice and initialization can affect the recovered gene programs. Increasing rank progressively broadened correspondence to established PDAC programs. The three-factor DeSurv solution and the seven-factor unsupervised control were selected by the same one-standard-error rule. Survival supervision provides an outcome-informed criterion for shaping the representation, but it does not remove the non-uniqueness of matrix factorization, and individual DeSurv runs from different random starts recover appreciably different gene sets. Split-half consensus fits agreed closely with the reported basis (Supplementary Information, Stability of the recovered gene programs), supporting stability to restart-pool composition within the training data but not establishing reproducibility under independent repetition or patient resampling.</w:t>
      </w:r>
    </w:p>
    <w:p>
      <w:pPr>
        <w:pStyle w:val="BodyText"/>
      </w:pPr>
      <w:r>
        <w:t xml:space="preserve">The simulations identify conditions under which survival information improves program recovery. They provide a controlled example in which survival supervision prioritizes prognostically relevant programs that contribute relatively little expression variation and are therefore less readily recovered by reconstruction-driven factorization.</w:t>
      </w:r>
    </w:p>
    <w:p>
      <w:pPr>
        <w:pStyle w:val="BodyText"/>
      </w:pPr>
      <w:r>
        <w:t xml:space="preserve">Three statistical qualifications limit interpretation of the prognostic findings. DeSurv uses a proportional-hazards objective, while the external validation data showed attenuation of the prognostic association over follow-up (Schoenfeld test, Results), so the reported hazard ratios are time-averaged summaries and extensions could accommodate non-proportional hazards or nonlinear survival relationships. The integrated Brier analysis recalibrated the score’s scalar slope and baseline hazard within each validation dataset, so it describes apparent prediction error rather than out-of-sample prediction error (Supplementary Information, Proper-scoring sensitivity of the external validation). The pooled training objective was fitted without a cohort term; within-cohort analyses argued against simple encoding of training-cohort membership, although cohort influence on the learned representation remains possible (Supplementary Information, Cohort handling in the training objective).</w:t>
      </w:r>
    </w:p>
    <w:p>
      <w:pPr>
        <w:pStyle w:val="BodyText"/>
      </w:pPr>
      <w:r>
        <w:t xml:space="preserve">In treated cohorts the frozen scores remained informative in exploratory analyses, but arm-level sample sizes limited assessment of variation in the association across treatments. Whether these programs predict differential treatment benefit therefore remains unresolved and will require adequately powered, prespecified treatment-by-program interaction analyses in studies designed to support treatment comparisons.</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This organization is consistent with broader evidence that malignant lineage state and stromal composition vary together in PDAC</w:t>
      </w:r>
      <w:hyperlink w:anchor="ref-ogawa2020stroma">
        <w:r>
          <w:rPr>
            <w:rStyle w:val="Hyperlink"/>
            <w:vertAlign w:val="superscript"/>
          </w:rPr>
          <w:t xml:space="preserve">37</w:t>
        </w:r>
      </w:hyperlink>
      <w:r>
        <w:rPr>
          <w:vertAlign w:val="superscript"/>
        </w:rPr>
        <w:t xml:space="preserve">–</w:t>
      </w:r>
      <w:hyperlink w:anchor="ref-lee2024tumorcaf">
        <w:r>
          <w:rPr>
            <w:rStyle w:val="Hyperlink"/>
            <w:vertAlign w:val="superscript"/>
          </w:rPr>
          <w:t xml:space="preserve">39</w:t>
        </w:r>
      </w:hyperlink>
      <w:r>
        <w:t xml:space="preserve">. Adjustment for PurIST and DeCAF supports D1’s prognostic association beyond those classifiers, purity adjustment in the PACA-AU datasets leaves the risk score’s association essentially unchanged, and other supervised methods capture related survival-associated signal. GATA6 RNA in situ hybridization independently supports D1’s classical tumor component; these analyses do not establish the cellular identity of its stromal component. Single-cell or spatial profiling could clarify the cellular sources of these programs; linking those sources to prognosis would additionally require outcome-annotated cohorts and scoring methods appropriate for the measurement platform.</w:t>
      </w:r>
    </w:p>
    <w:p>
      <w:pPr>
        <w:pStyle w:val="BodyText"/>
      </w:pPr>
      <w:r>
        <w:t xml:space="preserve">The question DeSurv addresses extends beyond PDAC. In any tumor type, the programs that dominate expression variation may differ from those most relevant to survival, so outcome information could help prioritize programs that reconstruction alone underweights. Testing generalizability will require multi-cancer evaluation of prognostic performance, program recovery and stability, with attention to cohort composition and event counts. Comparators should include unsupervised decompositions and strong penalized-regression baselines, which remain difficult to outperform consistently for out-of-sample prognosis</w:t>
      </w:r>
      <w:hyperlink w:anchor="ref-smith2020standard">
        <w:r>
          <w:rPr>
            <w:rStyle w:val="Hyperlink"/>
            <w:vertAlign w:val="superscript"/>
          </w:rPr>
          <w:t xml:space="preserve">40</w:t>
        </w:r>
      </w:hyperlink>
      <w:r>
        <w:t xml:space="preserve">. PDAC is the empirical demonstration presented here rather than evidence of pan-cancer validation.</w:t>
      </w:r>
    </w:p>
    <w:p>
      <w:pPr>
        <w:pStyle w:val="BodyText"/>
      </w:pPr>
      <w:r>
        <w:t xml:space="preserve">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3"/>
    <w:bookmarkStart w:id="58" w:name="methods"/>
    <w:p>
      <w:pPr>
        <w:pStyle w:val="Heading1"/>
      </w:pPr>
      <w:r>
        <w:t xml:space="preserve">Methods</w:t>
      </w:r>
    </w:p>
    <w:bookmarkStart w:id="44"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projected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projected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 We use</w:t>
      </w:r>
      <w:r>
        <w:t xml:space="preserve"> </w:t>
      </w:r>
      <w:r>
        <w:rPr>
          <w:iCs/>
          <w:i/>
        </w:rPr>
        <w:t xml:space="preserve">factor</w:t>
      </w:r>
      <w:r>
        <w:t xml:space="preserve"> </w:t>
      </w:r>
      <w:r>
        <w:t xml:space="preserve">for a mathematical component and</w:t>
      </w:r>
      <w:r>
        <w:t xml:space="preserve"> </w:t>
      </w:r>
      <w:r>
        <w:rPr>
          <w:iCs/>
          <w:i/>
        </w:rPr>
        <w:t xml:space="preserve">program</w:t>
      </w:r>
      <w:r>
        <w:t xml:space="preserve"> </w:t>
      </w:r>
      <w:r>
        <w:t xml:space="preserve">for its biological interpretation, including for comparator methods.</w:t>
      </w:r>
      <w:r>
        <w:t xml:space="preserve"> </w:t>
      </w:r>
      <w:r>
        <w:t xml:space="preserve">“</w:t>
      </w:r>
      <w:r>
        <w:t xml:space="preserve">Unsupervised</w:t>
      </w:r>
      <w:r>
        <w:t xml:space="preserve">”</w:t>
      </w:r>
      <w:r>
        <w:t xml:space="preserve"> </w:t>
      </w:r>
      <w:r>
        <w:t xml:space="preserve">describes a factorization objective without a survival term; outcome-based tuning is stated separately.</w:t>
      </w:r>
    </w:p>
    <w:bookmarkEnd w:id="44"/>
    <w:bookmarkStart w:id="45"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Five quantities are tuned. The rank</w:t>
      </w:r>
      <w:r>
        <w:t xml:space="preserve"> </w:t>
      </w:r>
      <m:oMath>
        <m:r>
          <m:t>k</m:t>
        </m:r>
      </m:oMath>
      <w:r>
        <w:t xml:space="preserve"> </w:t>
      </w:r>
      <w:r>
        <w:t xml:space="preserve">is the number of programs;</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the two objectives;</w:t>
      </w:r>
      <w:r>
        <w:t xml:space="preserve"> </w:t>
      </w:r>
      <m:oMath>
        <m:r>
          <m:t>λ</m:t>
        </m:r>
      </m:oMath>
      <w:r>
        <w:t xml:space="preserve"> </w:t>
      </w:r>
      <w:r>
        <w:t xml:space="preserve">and</w:t>
      </w:r>
      <w:r>
        <w:t xml:space="preserve"> </w:t>
      </w:r>
      <m:oMath>
        <m:r>
          <m:t>ξ</m:t>
        </m:r>
      </m:oMath>
      <w:r>
        <w:t xml:space="preserve"> </w:t>
      </w:r>
      <w:r>
        <w:t xml:space="preserve">are the strength and elastic-net mixing of the Cox penalty; and</w:t>
      </w:r>
      <w:r>
        <w:t xml:space="preserve"> </w:t>
      </w:r>
      <m:oMath>
        <m:sSub>
          <m:e>
            <m:r>
              <m:t>n</m:t>
            </m:r>
          </m:e>
          <m:sub>
            <m:r>
              <m:rPr>
                <m:nor/>
                <m:sty m:val="p"/>
              </m:rPr>
              <m:t>top</m:t>
            </m:r>
          </m:sub>
        </m:sSub>
      </m:oMath>
      <w:r>
        <w:t xml:space="preserve"> </w:t>
      </w:r>
      <w:r>
        <w:t xml:space="preserve">determines each program’s top-gene set, whose union defines the scoring support. A sixth, the optional ridge penalty</w:t>
      </w:r>
      <w:r>
        <w:t xml:space="preserve"> </w:t>
      </w:r>
      <m:oMath>
        <m:sSub>
          <m:e>
            <m:r>
              <m:t>λ</m:t>
            </m:r>
          </m:e>
          <m:sub>
            <m:r>
              <m:t>H</m:t>
            </m:r>
          </m:sub>
        </m:sSub>
      </m:oMath>
      <w:r>
        <w:t xml:space="preserve"> </w:t>
      </w:r>
      <w:r>
        <w:t xml:space="preserve">on the loadings, was held at zero throughout.</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with components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e>
              <m:e>
                <m:r>
                  <m:rPr>
                    <m:sty m:val="p"/>
                  </m:rPr>
                  <m:t>=</m:t>
                </m:r>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r>
                  <m:rPr>
                    <m:sty m:val="p"/>
                  </m:rPr>
                  <m:t>,</m:t>
                </m:r>
              </m:e>
            </m:mr>
            <m:mr>
              <m:e>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e>
              <m:e>
                <m:r>
                  <m:rPr>
                    <m:sty m:val="p"/>
                  </m:rPr>
                  <m:t>=</m:t>
                </m:r>
                <m:f>
                  <m:fPr>
                    <m:type m:val="bar"/>
                  </m:fPr>
                  <m:num>
                    <m:r>
                      <m:t>2</m:t>
                    </m:r>
                  </m:num>
                  <m:den>
                    <m:sSub>
                      <m:e>
                        <m:r>
                          <m:t>n</m:t>
                        </m:r>
                      </m:e>
                      <m:sub>
                        <m:r>
                          <m:rPr>
                            <m:sty m:val="p"/>
                          </m:rPr>
                          <m:t>e</m:t>
                        </m:r>
                        <m:r>
                          <m:rPr>
                            <m:sty m:val="p"/>
                          </m:rPr>
                          <m:t>v</m:t>
                        </m:r>
                        <m:r>
                          <m:rPr>
                            <m:sty m:val="p"/>
                          </m:rPr>
                          <m:t>e</m:t>
                        </m:r>
                        <m:r>
                          <m:rPr>
                            <m:sty m:val="p"/>
                          </m:rPr>
                          <m:t>n</m:t>
                        </m:r>
                        <m:r>
                          <m:rPr>
                            <m:sty m:val="p"/>
                          </m:rPr>
                          <m:t>t</m:t>
                        </m:r>
                      </m:sub>
                    </m:sSub>
                  </m:den>
                </m:f>
                <m:r>
                  <m:t> </m:t>
                </m:r>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rPr>
            <m:sty m:val="p"/>
          </m:rPr>
          <m:t>ℓ</m:t>
        </m:r>
        <m:d>
          <m:dPr>
            <m:begChr m:val="("/>
            <m:endChr m:val=")"/>
            <m:sepChr m:val=""/>
            <m:grow/>
          </m:dPr>
          <m:e>
            <m:r>
              <m:t>W</m:t>
            </m:r>
            <m:r>
              <m:rPr>
                <m:sty m:val="p"/>
              </m:rPr>
              <m:t>,</m:t>
            </m:r>
            <m:r>
              <m:t>β</m:t>
            </m:r>
          </m:e>
        </m:d>
      </m:oMath>
      <w:r>
        <w:t xml:space="preserve"> </w:t>
      </w:r>
      <w:r>
        <w:t xml:space="preserve">is the Cox log-partial likelihood, the fit criterion of the Cox model, and</w:t>
      </w:r>
      <w:r>
        <w:t xml:space="preserve"> </w:t>
      </w:r>
      <m:oMath>
        <m:sSub>
          <m:e>
            <m:r>
              <m:t>n</m:t>
            </m:r>
          </m:e>
          <m:sub>
            <m:r>
              <m:rPr>
                <m:sty m:val="p"/>
              </m:rPr>
              <m:t>e</m:t>
            </m:r>
            <m:r>
              <m:rPr>
                <m:sty m:val="p"/>
              </m:rPr>
              <m:t>v</m:t>
            </m:r>
            <m:r>
              <m:rPr>
                <m:sty m:val="p"/>
              </m:rPr>
              <m:t>e</m:t>
            </m:r>
            <m:r>
              <m:rPr>
                <m:sty m:val="p"/>
              </m:rPr>
              <m:t>n</m:t>
            </m:r>
            <m:r>
              <m:rPr>
                <m:sty m:val="p"/>
              </m:rPr>
              <m:t>t</m:t>
            </m:r>
          </m:sub>
        </m:sSub>
      </m:oMath>
      <w:r>
        <w:t xml:space="preserve"> </w:t>
      </w:r>
      <w:r>
        <w:t xml:space="preserve">is the number of observed deaths. The elastic-net penalty acts on the standardized-score coefficients</w:t>
      </w:r>
      <w:r>
        <w:t xml:space="preserve"> </w:t>
      </w:r>
      <m:oMath>
        <m:r>
          <m:t>b</m:t>
        </m:r>
        <m:r>
          <m:rPr>
            <m:sty m:val="p"/>
          </m:rPr>
          <m:t>=</m:t>
        </m:r>
        <m:sSub>
          <m:e>
            <m:r>
              <m:t>D</m:t>
            </m:r>
          </m:e>
          <m:sub>
            <m:r>
              <m:t>Z</m:t>
            </m:r>
          </m:sub>
        </m:sSub>
        <m:r>
          <m:t>β</m:t>
        </m:r>
      </m:oMath>
      <w:r>
        <w:t xml:space="preserve">. Here</w:t>
      </w:r>
      <w:r>
        <w:t xml:space="preserve"> </w:t>
      </w:r>
      <m:oMath>
        <m:sSub>
          <m:e>
            <m:r>
              <m:t>D</m:t>
            </m:r>
          </m:e>
          <m:sub>
            <m:r>
              <m:t>Z</m:t>
            </m:r>
          </m:sub>
        </m:sSub>
        <m:r>
          <m:rPr>
            <m:sty m:val="p"/>
          </m:rPr>
          <m:t>=</m:t>
        </m:r>
        <m:r>
          <m:rPr>
            <m:sty m:val="p"/>
          </m:rPr>
          <m:t>diag</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contains the standard deviations across samples of the factor-score rows at the current</w:t>
      </w:r>
      <w:r>
        <w:t xml:space="preserve"> </w:t>
      </w:r>
      <m:oMath>
        <m:r>
          <m:t>W</m:t>
        </m:r>
      </m:oMath>
      <w:r>
        <w:t xml:space="preserve">. The inverse map</w:t>
      </w:r>
      <w:r>
        <w:t xml:space="preserve"> </w:t>
      </w:r>
      <m:oMath>
        <m:r>
          <m:t>β</m:t>
        </m:r>
        <m:r>
          <m:rPr>
            <m:sty m:val="p"/>
          </m:rPr>
          <m:t>=</m:t>
        </m:r>
        <m:sSubSup>
          <m:e>
            <m:r>
              <m:t>D</m:t>
            </m:r>
          </m:e>
          <m:sub>
            <m:r>
              <m:t>Z</m:t>
            </m:r>
          </m:sub>
          <m:sup>
            <m:r>
              <m:rPr>
                <m:sty m:val="p"/>
              </m:rPr>
              <m:t>−</m:t>
            </m:r>
            <m:r>
              <m:t>1</m:t>
            </m:r>
          </m:sup>
        </m:sSubSup>
        <m:r>
          <m:t>b</m:t>
        </m:r>
      </m:oMath>
      <w:r>
        <w:t xml:space="preserve"> </w:t>
      </w:r>
      <w:r>
        <w:t xml:space="preserve">is applied only on the retained, nondegenerate score rows; a row whose score standard deviation falls below the numerical floor given in Supplementary Information, Optimization Algorithm, is dropped and its coefficient set to zero. This is the objective the implementation evaluates and records. 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normalize the component losses before</w:t>
      </w:r>
      <w:r>
        <w:t xml:space="preserve"> </w:t>
      </w:r>
      <m:oMath>
        <m:r>
          <m:t>α</m:t>
        </m:r>
      </m:oMath>
      <w:r>
        <w:t xml:space="preserve"> </w:t>
      </w:r>
      <w:r>
        <w:t xml:space="preserve">sets their relative contribution (Supplementary Information, Model details).</w:t>
      </w:r>
    </w:p>
    <w:p>
      <w:pPr>
        <w:pStyle w:val="BodyText"/>
      </w:pPr>
      <w:r>
        <w:t xml:space="preserve">A key design choice is where survival supervision enters the factorization. Because projected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41</w:t>
        </w:r>
      </w:hyperlink>
      <w:r>
        <w:rPr>
          <w:vertAlign w:val="superscript"/>
        </w:rPr>
        <w:t xml:space="preserve">,</w:t>
      </w:r>
      <w:hyperlink w:anchor="ref-gaujoux2010flexible">
        <w:r>
          <w:rPr>
            <w:rStyle w:val="Hyperlink"/>
            <w:vertAlign w:val="superscript"/>
          </w:rPr>
          <w:t xml:space="preserve">42</w:t>
        </w:r>
      </w:hyperlink>
      <w:r>
        <w:t xml:space="preserve">; the entries of</w:t>
      </w:r>
      <w:r>
        <w:t xml:space="preserve"> </w:t>
      </w:r>
      <m:oMath>
        <m:r>
          <m:t>H</m:t>
        </m:r>
      </m:oMath>
      <w:r>
        <w:t xml:space="preserve"> </w:t>
      </w:r>
      <w:r>
        <w:t xml:space="preserve">are sample loadings on the learned programs, not estimated cell-type fractions.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therefore govern the post hoc Cox fit rather than entering the factorization objective.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projected scores alone.</w:t>
      </w:r>
    </w:p>
    <w:bookmarkEnd w:id="45"/>
    <w:bookmarkStart w:id="46" w:name="optimization"/>
    <w:p>
      <w:pPr>
        <w:pStyle w:val="Heading2"/>
      </w:pPr>
      <w:r>
        <w:t xml:space="preserve">Optimization</w:t>
      </w:r>
    </w:p>
    <w:p>
      <w:pPr>
        <w:pStyle w:val="FirstParagraph"/>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The reconstruction term is minimized using multiplicative updates that preserve nonnegativity, and the supervision term enters the proposal for</w:t>
      </w:r>
      <w:r>
        <w:t xml:space="preserve"> </w:t>
      </w:r>
      <m:oMath>
        <m:r>
          <m:t>W</m:t>
        </m:r>
      </m:oMath>
      <w:r>
        <w:t xml:space="preserve"> </w:t>
      </w:r>
      <w:r>
        <w:t xml:space="preserve">as a Cox log-partial-likelihood derivative. That proposal does not differentiate the</w:t>
      </w:r>
      <w:r>
        <w:t xml:space="preserve"> </w:t>
      </w:r>
      <m:oMath>
        <m:r>
          <m:t>W</m:t>
        </m:r>
      </m:oMath>
      <w:r>
        <w:t xml:space="preserve">-dependent penalty on the standardized-score coefficients and is therefore not the gradient of the full objective, so every candidate</w:t>
      </w:r>
      <w:r>
        <w:t xml:space="preserve"> </w:t>
      </w:r>
      <m:oMath>
        <m:r>
          <m:t>W</m:t>
        </m:r>
      </m:oMath>
      <w:r>
        <w:t xml:space="preserve"> </w:t>
      </w:r>
      <w:r>
        <w:t xml:space="preserve">is first normalized to unit-Euclidean-norm columns, with</w:t>
      </w:r>
      <w:r>
        <w:t xml:space="preserve"> </w:t>
      </w:r>
      <m:oMath>
        <m:r>
          <m:t>H</m:t>
        </m:r>
      </m:oMath>
      <w:r>
        <w:t xml:space="preserve"> </w:t>
      </w:r>
      <w:r>
        <w:t xml:space="preserve">and</w:t>
      </w:r>
      <w:r>
        <w:t xml:space="preserve"> </w:t>
      </w:r>
      <m:oMath>
        <m:r>
          <m:t>β</m:t>
        </m:r>
      </m:oMath>
      <w:r>
        <w:t xml:space="preserve"> </w:t>
      </w:r>
      <w:r>
        <w:t xml:space="preserve">rescaled by the same constants so that</w:t>
      </w:r>
      <w:r>
        <w:t xml:space="preserve"> </w:t>
      </w:r>
      <m:oMath>
        <m:r>
          <m:t>W</m:t>
        </m:r>
        <m:r>
          <m:t>H</m:t>
        </m:r>
      </m:oMath>
      <w:r>
        <w:t xml:space="preserve">, the linear predictor and</w:t>
      </w:r>
      <w:r>
        <w:t xml:space="preserve"> </w:t>
      </w:r>
      <m:oMath>
        <m:r>
          <m:t>b</m:t>
        </m:r>
        <m:r>
          <m:rPr>
            <m:sty m:val="p"/>
          </m:rPr>
          <m:t>=</m:t>
        </m:r>
        <m:sSub>
          <m:e>
            <m:r>
              <m:t>D</m:t>
            </m:r>
          </m:e>
          <m:sub>
            <m:r>
              <m:t>Z</m:t>
            </m:r>
          </m:sub>
        </m:sSub>
        <m:r>
          <m:t>β</m:t>
        </m:r>
      </m:oMath>
      <w:r>
        <w:t xml:space="preserve"> </w:t>
      </w:r>
      <w:r>
        <w:t xml:space="preserve">are all preserved, and is then evaluated under the full objective by a backtracking line search (Supplementary Information, Optimization Algorithm and Normalization of W).</w:t>
      </w:r>
    </w:p>
    <w:p>
      <w:pPr>
        <w:pStyle w:val="BodyText"/>
      </w:pPr>
      <m:oMath>
        <m:r>
          <m:t>β</m:t>
        </m:r>
      </m:oMath>
      <w:r>
        <w:t xml:space="preserve"> </w:t>
      </w:r>
      <w:r>
        <w:t xml:space="preserve">is then updated by Coxnet-style cyclic coordinate descent on the current centered and standardized projected scores, and is refit on the converged</w:t>
      </w:r>
      <w:r>
        <w:t xml:space="preserve"> </w:t>
      </w:r>
      <m:oMath>
        <m:r>
          <m:t>W</m:t>
        </m:r>
      </m:oMath>
      <w:r>
        <w:t xml:space="preserve"> </w:t>
      </w:r>
      <w:r>
        <w:t xml:space="preserve">once the outer loop terminates. The coordinate sweeps approximate rather than exactly minimize the conditional objective, and their proposal is accepted only under a safeguard that prevents it from increasing the evaluated objective, so the</w:t>
      </w:r>
      <w:r>
        <w:t xml:space="preserve"> </w:t>
      </w:r>
      <m:oMath>
        <m:r>
          <m:t>β</m:t>
        </m:r>
      </m:oMath>
      <w:r>
        <w:t xml:space="preserve"> </w:t>
      </w:r>
      <w:r>
        <w:t xml:space="preserve">block is non-increasing in that objective without establishing convergence to a conditional or joint optimum. The closed-form update, the stopping tolerances and the iteration cap are given in Supplementary Information, Update for</w:t>
      </w:r>
      <w:r>
        <w:t xml:space="preserve"> </w:t>
      </w:r>
      <m:oMath>
        <m:r>
          <m:t>β</m:t>
        </m:r>
      </m:oMath>
      <w:r>
        <w:t xml:space="preserve"> </w:t>
      </w:r>
      <w:r>
        <w:t xml:space="preserve">and Bayesian Optimization.</w:t>
      </w:r>
    </w:p>
    <w:p>
      <w:pPr>
        <w:pStyle w:val="BodyText"/>
      </w:pPr>
      <w:r>
        <w:t xml:space="preserve">Because the implemented algorithm combines normalization, gradient rescaling and a Coxnet approximation, we assessed optimization behavior empirically rather than relying on a formal convergence guarantee. Across 100 independent random initializations of the reported PDAC model, every run terminated on the stopping criterion rather than the iteration cap, none failed numerically, and the recorded outer-loop objective decreased monotonically (Supplementary Information, Empirical optimization stability across random initializations). Monotone decrease together with the stopping rule on the cosine change of</w:t>
      </w:r>
      <w:r>
        <w:t xml:space="preserve"> </w:t>
      </w:r>
      <m:oMath>
        <m:r>
          <m:t>W</m:t>
        </m:r>
      </m:oMath>
      <w:r>
        <w:t xml:space="preserve"> </w:t>
      </w:r>
      <w:r>
        <w:t xml:space="preserve">and</w:t>
      </w:r>
      <w:r>
        <w:t xml:space="preserve"> </w:t>
      </w:r>
      <m:oMath>
        <m:r>
          <m:t>H</m:t>
        </m:r>
      </m:oMath>
      <w:r>
        <w:t xml:space="preserve"> </w:t>
      </w:r>
      <w:r>
        <w:t xml:space="preserve">(Supplementary Information, Optimization Algorithm) is what these runs establish, and they are checks on the optimizer rather than on which programs it recovers.</w:t>
      </w:r>
    </w:p>
    <w:bookmarkEnd w:id="46"/>
    <w:bookmarkStart w:id="47"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explored by Bayesian optimization (BO) maximizing the cross-validated Harrell C-index</w:t>
      </w:r>
      <w:hyperlink w:anchor="ref-snoek2012practical">
        <w:r>
          <w:rPr>
            <w:rStyle w:val="Hyperlink"/>
            <w:vertAlign w:val="superscript"/>
          </w:rPr>
          <w:t xml:space="preserve">24</w:t>
        </w:r>
      </w:hyperlink>
      <w:r>
        <w:rPr>
          <w:vertAlign w:val="superscript"/>
        </w:rPr>
        <w:t xml:space="preserve">,</w:t>
      </w:r>
      <w:hyperlink w:anchor="ref-shahriari2016taking">
        <w:r>
          <w:rPr>
            <w:rStyle w:val="Hyperlink"/>
            <w:vertAlign w:val="superscript"/>
          </w:rPr>
          <w:t xml:space="preserve">25</w:t>
        </w:r>
      </w:hyperlink>
      <w:r>
        <w:t xml:space="preserve">, and the reported configuration was then fixed by applying a one-standard-error rule on rank to the resulting search history, as specified below. The objective was the mean 5-fold cross-validated C-index, with folds constructed separately within each training cohort and stratified by event status under a fixed seed (123). Each configuration was evaluated from 30 random initializations at the cross-validation stopping tolerance</w:t>
      </w:r>
      <w:r>
        <w:t xml:space="preserve"> </w:t>
      </w:r>
      <m:oMath>
        <m:sSup>
          <m:e>
            <m:r>
              <m:t>10</m:t>
            </m:r>
          </m:e>
          <m:sup>
            <m:r>
              <m:rPr>
                <m:sty m:val="p"/>
              </m:rPr>
              <m:t>−</m:t>
            </m:r>
            <m:r>
              <m:t>5</m:t>
            </m:r>
          </m:sup>
        </m:sSup>
      </m:oMath>
      <w:r>
        <w:t xml:space="preserve">, and its C-index averaged over initializations and folds. The search used an initial design of 50 evaluations followed by 100 Gaussian-process-guided evaluations; search bounds, acquisition settings and parameter transformations are given in Supplementary Information, Bayesian Optimization.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best observed configuration’s mean, and the smallest rank whose retained configuration met the threshold was selected (Supplementary Information, Bayesian Optimization). The best observed configuration had mean cross-validated C-index 0.655 (fold-level SE 0.011) at</w:t>
      </w:r>
      <w:r>
        <w:t xml:space="preserve"> </w:t>
      </w:r>
      <m:oMath>
        <m:r>
          <m:t>k</m:t>
        </m:r>
        <m:r>
          <m:rPr>
            <m:sty m:val="p"/>
          </m:rPr>
          <m:t>=</m:t>
        </m:r>
        <m:r>
          <m:t>7</m:t>
        </m:r>
      </m:oMath>
      <w:r>
        <w:t xml:space="preserve">, giving a threshold of 0.644, and the best configuration observed at</w:t>
      </w:r>
      <w:r>
        <w:t xml:space="preserve"> </w:t>
      </w:r>
      <m:oMath>
        <m:r>
          <m:t>k</m:t>
        </m:r>
        <m:r>
          <m:rPr>
            <m:sty m:val="p"/>
          </m:rPr>
          <m:t>=</m:t>
        </m:r>
        <m:r>
          <m:t>3</m:t>
        </m:r>
      </m:oMath>
      <w:r>
        <w:t xml:space="preserve"> </w:t>
      </w:r>
      <w:r>
        <w:t xml:space="preserve">reached 0.646 and was therefore eligible. The remaining hyperparameters were inherited from the overall best observed configuration, which had rank</w:t>
      </w:r>
      <w:r>
        <w:t xml:space="preserve"> </w:t>
      </w:r>
      <m:oMath>
        <m:r>
          <m:t>k</m:t>
        </m:r>
        <m:r>
          <m:rPr>
            <m:sty m:val="p"/>
          </m:rPr>
          <m:t>=</m:t>
        </m:r>
        <m:r>
          <m:t>7</m:t>
        </m:r>
      </m:oMath>
      <w:r>
        <w:t xml:space="preserve">, so the resulting final</w:t>
      </w:r>
      <w:r>
        <w:t xml:space="preserve"> </w:t>
      </w:r>
      <m:oMath>
        <m:r>
          <m:t>k</m:t>
        </m:r>
        <m:r>
          <m:rPr>
            <m:sty m:val="p"/>
          </m:rPr>
          <m:t>=</m:t>
        </m:r>
        <m:r>
          <m:t>3</m:t>
        </m:r>
      </m:oMath>
      <w:r>
        <w:t xml:space="preserve"> </w:t>
      </w:r>
      <w:r>
        <w:t xml:space="preserve">combination was not itself among the configurations evaluated during Bayesian optimization. We therefore evaluated this exact combination afterward using the identical cross-validation protocol. Re-evaluated together under the current software build, the final configuration achieved a mean cross-validated C-index of 0.642 (fold-level SE 0.007), compared with 0.655 (0.011) for the overall best configuration and 0.647 (0.009) for the best</w:t>
      </w:r>
      <w:r>
        <w:t xml:space="preserve"> </w:t>
      </w:r>
      <m:oMath>
        <m:r>
          <m:t>k</m:t>
        </m:r>
        <m:r>
          <m:rPr>
            <m:sty m:val="p"/>
          </m:rPr>
          <m:t>=</m:t>
        </m:r>
        <m:r>
          <m:t>3</m:t>
        </m:r>
      </m:oMath>
      <w:r>
        <w:t xml:space="preserve"> </w:t>
      </w:r>
      <w:r>
        <w:t xml:space="preserve">configuration. The recomputed one-standard-error threshold was 0.644, placing the final configuration 0.002 below that threshold (Supplementary Table [tab:final-config-cv]). All model selection was performed entirely within the training data using cross-validation; no validation cohort data were used during any stage of tuning, and out-of-sample generalization was assessed only on the external validation cohorts. The consensus initialization described next was used only for the final model and is not reproduced within each fold.</w:t>
      </w:r>
    </w:p>
    <w:p>
      <w:pPr>
        <w:pStyle w:val="BodyText"/>
      </w:pPr>
      <w:r>
        <w:t xml:space="preserve">Because this rule combined</w:t>
      </w:r>
      <w:r>
        <w:t xml:space="preserve"> </w:t>
      </w:r>
      <m:oMath>
        <m:r>
          <m:t>k</m:t>
        </m:r>
        <m:r>
          <m:rPr>
            <m:sty m:val="p"/>
          </m:rPr>
          <m:t>=</m:t>
        </m:r>
        <m:r>
          <m:t>3</m:t>
        </m:r>
      </m:oMath>
      <w:r>
        <w:t xml:space="preserve"> </w:t>
      </w:r>
      <w:r>
        <w:t xml:space="preserve">with the non-rank hyperparameters of the best observed configuration, a configuration not itself evaluated in the search, we ran a sensitivity check on rank selection: an exhaustive grid over ranks and supervision strengths at the selected non-rank hyperparameters, to which the same one-standard-error rule again selects</w:t>
      </w:r>
      <w:r>
        <w:t xml:space="preserve"> </w:t>
      </w:r>
      <m:oMath>
        <m:r>
          <m:t>k</m:t>
        </m:r>
        <m:r>
          <m:rPr>
            <m:sty m:val="p"/>
          </m:rPr>
          <m:t>=</m:t>
        </m:r>
        <m:r>
          <m:t>3</m:t>
        </m:r>
      </m:oMath>
      <w:r>
        <w:t xml:space="preserve"> </w:t>
      </w:r>
      <w:r>
        <w:t xml:space="preserve">(Supplementary Information, Bayesian Optimization and Cross-validated C-index across factorization rank).</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26</w:t>
        </w:r>
      </w:hyperlink>
      <w:r>
        <w:rPr>
          <w:vertAlign w:val="superscript"/>
        </w:rPr>
        <w:t xml:space="preserve">,</w:t>
      </w:r>
      <w:hyperlink w:anchor="ref-frigyesi2008nmf">
        <w:r>
          <w:rPr>
            <w:rStyle w:val="Hyperlink"/>
            <w:vertAlign w:val="superscript"/>
          </w:rPr>
          <w:t xml:space="preserve">27</w:t>
        </w:r>
      </w:hyperlink>
      <w:r>
        <w:t xml:space="preserve">, which gave inconsistent guidance across candidate ranks in these training data (Supplementary Information, Standard NMF rank selection heuristics). On the sensitivity grid,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2.0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 best observed configuration. Reference-program correspondence and the GATA6 comparison support biological interpretation of the selected programs; they do not establish a uniquely correct rank.</w:t>
      </w:r>
    </w:p>
    <w:bookmarkEnd w:id="47"/>
    <w:bookmarkStart w:id="48" w:name="Xbdce6b91f711f953a81a9683ed715f043d727c7"/>
    <w:p>
      <w:pPr>
        <w:pStyle w:val="Heading2"/>
      </w:pPr>
      <w:r>
        <w:t xml:space="preserve">Consensus initialization and program stability</w:t>
      </w:r>
    </w:p>
    <w:p>
      <w:pPr>
        <w:pStyle w:val="FirstParagraph"/>
      </w:pPr>
      <w:r>
        <w:t xml:space="preserve">At the selected hyperparameters the final model was fit once from a consensus initialization built from 100 fits from independent random initializations, aggregated as a gene-by-gene co-occurrence matrix and therefore invariant to factor-label permutation (Supplementary Information, Consensus initialization for the final model).</w:t>
      </w:r>
    </w:p>
    <w:p>
      <w:pPr>
        <w:pStyle w:val="BodyText"/>
      </w:pPr>
      <w:r>
        <w:t xml:space="preserve">We assessed program stability by partitioning the cached restart pool into disjoint halves and constructing a consensus initialization and final fit from each half. Across 8 random splits, median agreement with the reported basis was 0.97–0.99 for gene-loading correlations and 0.73–0.88 for top-ranked-gene Jaccard overlap across the three programs. These comparisons assess sensitivity to restart-pool composition within the training data, rather than independent repetition of the full procedure (Supplementary Information, Stability of the recovered gene programs). That section also reports stability under patient subsampling, a separate and weaker property.</w:t>
      </w:r>
    </w:p>
    <w:bookmarkEnd w:id="48"/>
    <w:bookmarkStart w:id="49" w:name="frozen-gene-program-and-risk-scoring"/>
    <w:p>
      <w:pPr>
        <w:pStyle w:val="Heading2"/>
      </w:pPr>
      <w:r>
        <w:t xml:space="preserve">Frozen gene-program and risk scoring</w:t>
      </w:r>
    </w:p>
    <w:p>
      <w:pPr>
        <w:pStyle w:val="FirstParagraph"/>
      </w:pPr>
      <w:r>
        <w:t xml:space="preserve">Scoring uses a truncated copy of the fitted basis. Within each program the genes were ranked by factor specificity (Supplementary Information, Gene Program Correlation Analysis) and the top</w:t>
      </w:r>
      <w:r>
        <w:t xml:space="preserve"> </w:t>
      </w:r>
      <m:oMath>
        <m:sSub>
          <m:e>
            <m:r>
              <m:t>n</m:t>
            </m:r>
          </m:e>
          <m:sub>
            <m:r>
              <m:rPr>
                <m:nor/>
                <m:sty m:val="p"/>
              </m:rPr>
              <m:t>top</m:t>
            </m:r>
          </m:sub>
        </m:sSub>
        <m:r>
          <m:rPr>
            <m:sty m:val="p"/>
          </m:rPr>
          <m:t>=</m:t>
        </m:r>
        <m:r>
          <m:t>270</m:t>
        </m:r>
      </m:oMath>
      <w:r>
        <w:t xml:space="preserve"> </w:t>
      </w:r>
      <w:r>
        <w:t xml:space="preserve">retained; the gene support for scoring is the union of the</w:t>
      </w:r>
      <w:r>
        <w:t xml:space="preserve"> </w:t>
      </w:r>
      <m:oMath>
        <m:r>
          <m:t>k</m:t>
        </m:r>
      </m:oMath>
      <w:r>
        <w:t xml:space="preserve"> </w:t>
      </w:r>
      <w:r>
        <w:t xml:space="preserve">programs’ top sets, giving the truncated matrix</w:t>
      </w:r>
      <w:r>
        <w:t xml:space="preserve"> </w:t>
      </w:r>
      <m:oMath>
        <m:acc>
          <m:accPr>
            <m:chr m:val="̃"/>
          </m:accPr>
          <m:e>
            <m:r>
              <m:t>W</m:t>
            </m:r>
          </m:e>
        </m:acc>
      </m:oMath>
      <w:r>
        <w:t xml:space="preserve"> </w:t>
      </w:r>
      <w:r>
        <w:t xml:space="preserve">that was held fixed for every validation and treated cohort. All columns retain their weights on the same union of gene rows, and truncated columns are not renormalized. This union construction defines the primary external-validation scores, including the headline, leave-one-dataset-out and classifier-adjusted risk-score analyses, and it is the construction that cross-validation evaluated when selecting</w:t>
      </w:r>
      <w:r>
        <w:t xml:space="preserve"> </w:t>
      </w:r>
      <m:oMath>
        <m:sSub>
          <m:e>
            <m:r>
              <m:t>n</m:t>
            </m:r>
          </m:e>
          <m:sub>
            <m:r>
              <m:rPr>
                <m:nor/>
                <m:sty m:val="p"/>
              </m:rPr>
              <m:t>top</m:t>
            </m:r>
          </m:sub>
        </m:sSub>
      </m:oMath>
      <w:r>
        <w:t xml:space="preserve">. Genes outside the union still shape the factorization but do not enter the linear predictor. Other analyses use explicitly identified scoring constructions, namely full-support scores for the training-data contribution analysis and for the frozen-axis comparator analysis, and per-program masks for the tuned supervised-comparator analysis and for the Supplementary Information analyses that identify them. Both supervised-comparator constructions, the one on the full shared support and the one on per-program masks, also refit unpenalized Cox coefficients on the training scores. Treated-cohort preprocessing and missing-gene handling are described separately below.</w:t>
      </w:r>
    </w:p>
    <w:p>
      <w:pPr>
        <w:pStyle w:val="BodyText"/>
      </w:pPr>
      <w:r>
        <w:t xml:space="preserve">Factor-level scores retain all</w:t>
      </w:r>
      <w:r>
        <w:t xml:space="preserve"> </w:t>
      </w:r>
      <m:oMath>
        <m:r>
          <m:t>k</m:t>
        </m:r>
      </m:oMath>
      <w:r>
        <w:t xml:space="preserve"> </w:t>
      </w:r>
      <w:r>
        <w:t xml:space="preserve">columns of the truncated basis,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the risk score is</w:t>
      </w:r>
      <w:r>
        <w:t xml:space="preserve"> </w:t>
      </w:r>
      <m:oMath>
        <m:r>
          <m:t>η</m:t>
        </m:r>
        <m:r>
          <m:rPr>
            <m:sty m:val="p"/>
          </m:rPr>
          <m:t>=</m:t>
        </m:r>
        <m:sSup>
          <m:e>
            <m:r>
              <m:t>Z</m:t>
            </m:r>
          </m:e>
          <m:sup>
            <m:r>
              <m:rPr>
                <m:sty m:val="p"/>
              </m:rPr>
              <m:t>⊤</m:t>
            </m:r>
          </m:sup>
        </m:sSup>
        <m:r>
          <m:t>β</m:t>
        </m:r>
      </m:oMath>
      <w:r>
        <w:t xml:space="preserve">.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which changes the resulting scalar risk score only by a positive multiplicative constant.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on the union support</w:t>
      </w:r>
      <w:r>
        <w:t xml:space="preserve"> </w:t>
      </w:r>
      <m:oMath>
        <m:acc>
          <m:accPr>
            <m:chr m:val="̃"/>
          </m:accPr>
          <m:e>
            <m:r>
              <m:t>W</m:t>
            </m:r>
          </m:e>
        </m:acc>
      </m:oMath>
      <w:r>
        <w:t xml:space="preserve">;</w:t>
      </w:r>
      <w:r>
        <w:t xml:space="preserve"> </w:t>
      </w:r>
      <m:oMath>
        <m:r>
          <m:t>β</m:t>
        </m:r>
      </m:oMath>
      <w:r>
        <w:t xml:space="preserve"> </w:t>
      </w:r>
      <w:r>
        <w:t xml:space="preserve">was not refit after truncation. The elastic-net penalty set the D2 coefficient to exactly zero, so the frozen risk score is a weighted combination of D1 and D3.</w:t>
      </w:r>
    </w:p>
    <w:bookmarkEnd w:id="49"/>
    <w:bookmarkStart w:id="50" w:name="unsupervised-and-supervised-comparators"/>
    <w:p>
      <w:pPr>
        <w:pStyle w:val="Heading2"/>
      </w:pPr>
      <w:r>
        <w:t xml:space="preserve">Unsupervised and supervised comparators</w:t>
      </w:r>
    </w:p>
    <w:p>
      <w:pPr>
        <w:pStyle w:val="FirstParagraph"/>
      </w:pPr>
      <w:r>
        <w:t xml:space="preserve">The matched-rank comparator shown in the figure is Lee multiplicative NMF (</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 thirty with the lowest reconstruction residual, followed by a post hoc Cox fit on its projected scores),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matched to the supervised search on optimizer, search budget, gene filter, cross-validation folds, consensus procedure and stopping settings. The selected model was then fit by the same 100-restart consensus procedure. This control isolates removal of survival supervision at the pipeline level, with the remaining hyperparameters re-optimized rather than held numerically fixed. A second, rank-optimized control let Bayesian optimization choose the rank at</w:t>
      </w:r>
      <w:r>
        <w:t xml:space="preserve"> </w:t>
      </w:r>
      <m:oMath>
        <m:r>
          <m:t>α</m:t>
        </m:r>
        <m:r>
          <m:rPr>
            <m:sty m:val="p"/>
          </m:rPr>
          <m:t>=</m:t>
        </m:r>
        <m:r>
          <m:t>0</m:t>
        </m:r>
      </m:oMath>
      <w:r>
        <w:t xml:space="preserve"> </w:t>
      </w:r>
      <w:r>
        <w:t xml:space="preserve">as well, and the same one-standard-error rule applied to those results selected</w:t>
      </w:r>
      <w:r>
        <w:t xml:space="preserve"> </w:t>
      </w:r>
      <m:oMath>
        <m:r>
          <m:t>k</m:t>
        </m:r>
        <m:r>
          <m:rPr>
            <m:sty m:val="p"/>
          </m:rPr>
          <m:t>=</m:t>
        </m:r>
        <m:r>
          <m:t>7</m:t>
        </m:r>
      </m:oMath>
      <w:r>
        <w:t xml:space="preserve"> </w:t>
      </w:r>
      <w:r>
        <w:t xml:space="preserve">(Supplementary Information, Factor structure of the rank-optimized unsupervised control).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All three controls are reported in Supplementary Information, Matched-budget unsupervised control at the same rank.</w:t>
      </w:r>
    </w:p>
    <w:p>
      <w:pPr>
        <w:pStyle w:val="BodyText"/>
      </w:pPr>
      <w:r>
        <w:t xml:space="preserve">Both unsupervised controls were scored externally at the supervised model’s</w:t>
      </w:r>
      <w:r>
        <w:t xml:space="preserve"> </w:t>
      </w:r>
      <m:oMath>
        <m:sSub>
          <m:e>
            <m:r>
              <m:t>n</m:t>
            </m:r>
          </m:e>
          <m:sub>
            <m:r>
              <m:rPr>
                <m:nor/>
                <m:sty m:val="p"/>
              </m:rPr>
              <m:t>top</m:t>
            </m:r>
          </m:sub>
        </m:sSub>
        <m:r>
          <m:rPr>
            <m:sty m:val="p"/>
          </m:rPr>
          <m:t>=</m:t>
        </m:r>
        <m:r>
          <m:t>270</m:t>
        </m:r>
      </m:oMath>
      <w:r>
        <w:t xml:space="preserve"> </w:t>
      </w:r>
      <w:r>
        <w:t xml:space="preserve">rather than at their own tuning-selected values, a choice to which the per-dataset C-indices are insensitive (Supplementary Information, Matched-budget unsupervised control at the same rank).</w:t>
      </w:r>
    </w:p>
    <w:p>
      <w:pPr>
        <w:pStyle w:val="BodyText"/>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lasso-penalized Cox regression and supervised principal components, select features by different mechanisms, neither matching DeSurv’s elastic net, and both retain far fewer genes than DeSurv’s 810-gene support (Supplementary Information, Robustness to tuned supervised comparators and compartment attribution). Because tuning budgets were not matched, the comparison characterizes the representations each approach recovers rather than benchmarking tuned predictive performance. A separate exploratory comparison used restricted supervised principal components, Cox partial least squares and a single sparse Cox fit (Supplementary Information, The D1 axis is not specific to DeSurv).</w:t>
      </w:r>
    </w:p>
    <w:p>
      <w:pPr>
        <w:pStyle w:val="BodyText"/>
      </w:pPr>
      <w:r>
        <w:t xml:space="preserve">No matched-budget control was run for these supervised comparators, as was done for the unsupervised arm. Score correspondence with the DeSurv programs, selected-gene enrichment and compartment attribution are reported in Supplementary Information, Robustness to tuned supervised comparators and compartment attribution.</w:t>
      </w:r>
    </w:p>
    <w:bookmarkEnd w:id="50"/>
    <w:bookmarkStart w:id="51" w:name="Xd3d239ff07d74f694934d7759f77f1b836e1757"/>
    <w:p>
      <w:pPr>
        <w:pStyle w:val="Heading2"/>
      </w:pPr>
      <w:r>
        <w:t xml:space="preserve">Biological correspondence and factor contributions</w:t>
      </w:r>
    </w:p>
    <w:p>
      <w:pPr>
        <w:pStyle w:val="FirstParagraph"/>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Two per-factor contribution measures are reported alongside this correspondence: reconstruction shares, computed as exact Shapley values over the fixed rank-one factor contributions without refitting the factorization, and survival contributions, computed as the loss in maximized unpenalized Cox partial log-likelihood when one factor is omitted. Reconstruction gain and the separately reported centered</w:t>
      </w:r>
      <w:r>
        <w:t xml:space="preserve"> </w:t>
      </w:r>
      <m:oMath>
        <m:sSup>
          <m:e>
            <m:r>
              <m:t>R</m:t>
            </m:r>
          </m:e>
          <m:sup>
            <m:r>
              <m:t>2</m:t>
            </m:r>
          </m:sup>
        </m:sSup>
      </m:oMath>
      <w:r>
        <w:t xml:space="preserve"> </w:t>
      </w:r>
      <w:r>
        <w:t xml:space="preserve">describe different aspects of reconstruction and should not be interpreted as interchangeable measures, and because the programs were estimated from the same training outcomes both measures are descriptive rather than independent tests of prognosis (Supplementary Information, Reconstruction and Survival Contribution per Factor).</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51"/>
    <w:bookmarkStart w:id="52" w:name="Xc6cdaaedd08fffd54565f906bd3987bb8958945"/>
    <w:p>
      <w:pPr>
        <w:pStyle w:val="Heading2"/>
      </w:pPr>
      <w:r>
        <w:t xml:space="preserve">External validation and survival analysis</w:t>
      </w:r>
    </w:p>
    <w:p>
      <w:pPr>
        <w:pStyle w:val="FirstParagraph"/>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Analyses combining validation datasets represented each patient once and used Cox models stratified by dataset, so that each dataset carries its own baseline hazard. PurIST and DeCAF calls entered only as fixed adjustment covariates and were never inputs to the factorization or to tuning. For a fixed fitted predictor and scoring support, the manuscript uses the following reporting scalings. Primary risk-score hazard ratios, comprising the headline estimate, the covariate-adjusted estimates and the leave-one-dataset-out estimates, are expressed per standard deviation of the linear predictor over the pooled de-duplicated validation set. The per-factor forest estimates and the D1 classifier-adjustment analysis instead standardize each score within validation dataset, whereas the between-cohort slope analysis standardizes within patient cohort, so hazard ratios under these scalings are not interchangeable. Within a given cohort or dataset, centering and positive rescaling of a fixed score leave its C-index unchanged. Discrimination was summarized as the event-weighted mean of the four cohort C-indices, so no concordance pair spans two cohorts, with percentile confidence intervals from 1,000 bootstrap resamples of patients drawn within cohort (seed 1); resampling preserves cohort membership. Cohort-specific slopes were compared with a common slope by likelihood-ratio test, and proportional hazards were assessed from scaled Schoenfeld residuals. Because the association attenuated over follow-up, the pooled hazard ratio is a time-averaged summary.</w:t>
      </w:r>
    </w:p>
    <w:p>
      <w:pPr>
        <w:pStyle w:val="BodyText"/>
      </w:pPr>
      <w:r>
        <w:t xml:space="preserve">Harrell’s C-index is rank-based and assesses discrimination only, not calibration or time-dependent prediction error, so we additionally report a proper score as a sensitivity check: the integrated Brier score and its index of prediction accuracy relative to a Kaplan–Meier reference, computed under within-dataset recalibration. These are apparent, in-sample recalibrated values rather than out-of-sample prediction error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DeSurv scores new samples by multiplication with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without using their survival outcomes. Related supervised-NMF methods instead place the survival term on the sample side, so that the risk score is a function of the sample loadings and a new sample needs loadings of its own (Supplementary Information, Supervision on</w:t>
      </w:r>
      <w:r>
        <w:t xml:space="preserve"> </w:t>
      </w:r>
      <m:oMath>
        <m:r>
          <m:t>W</m:t>
        </m:r>
      </m:oMath>
      <w:r>
        <w:t xml:space="preserve"> </w:t>
      </w:r>
      <w:r>
        <w:t xml:space="preserve">versus</w:t>
      </w:r>
      <w:r>
        <w:t xml:space="preserve"> </w:t>
      </w:r>
      <m:oMath>
        <m:r>
          <m:t>H</m:t>
        </m:r>
      </m:oMath>
      <w:r>
        <w:t xml:space="preserve">; Supplementary Table [tab:architecture]). External survival outcomes were used to estimate associations and evaluate performance, including the separately described recalibration analysis, rather than to learn or tune the primary programs or risk score. Further training and validation details appear in Supplementary Information, Cross-validation procedure and Survival Analysis.</w:t>
      </w:r>
    </w:p>
    <w:bookmarkEnd w:id="52"/>
    <w:bookmarkStart w:id="53"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background that is excluded from the survival-generating gene set, a null scenario with no survival signal, and a mixed scenario where prognostic and variance-dominant signals partially overlap. Expression matrices were generated from a nonnegative factor model</w:t>
      </w:r>
      <w:r>
        <w:t xml:space="preserve"> </w:t>
      </w:r>
      <m:oMath>
        <m:r>
          <m:t>X</m:t>
        </m:r>
        <m:r>
          <m:rPr>
            <m:sty m:val="p"/>
          </m:rPr>
          <m:t>=</m:t>
        </m:r>
        <m:r>
          <m:t>W</m:t>
        </m:r>
        <m:r>
          <m:t>H</m:t>
        </m:r>
      </m:oMath>
      <w:r>
        <w:t xml:space="preserve"> </w:t>
      </w:r>
      <w:r>
        <w:t xml:space="preserve">with marker, background and noise gene classes, and survival times from an exponential model applied to the noise-free expression through a masked survival-generating weight matrix; the generating distributions, dimensions, scenario coefficients and masking construction are given in Supplementary Information, Simulation design and data generation.</w:t>
      </w:r>
    </w:p>
    <w:p>
      <w:pPr>
        <w:pStyle w:val="BodyText"/>
      </w:pPr>
      <w:r>
        <w:t xml:space="preserve">DeSurv incorporated survival during factorization, whereas its unsupervised limit used a post hoc Cox model on projected scores; both pipelines were tuned by Bayesian optimization using cross-validated concordance. Performance was summarized across replicates, each with a held-out test split,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Global marker recall and the per-scenario definitions of the target gene set are reported in Supplementary Information, Simulation design and data generation and Simulation results under null and mixed scenarios.</w:t>
      </w:r>
    </w:p>
    <w:bookmarkEnd w:id="53"/>
    <w:bookmarkStart w:id="54" w:name="pdac-datasets-and-preprocessing"/>
    <w:p>
      <w:pPr>
        <w:pStyle w:val="Heading2"/>
      </w:pPr>
      <w:r>
        <w:t xml:space="preserve">PDAC datasets and preprocessing</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PDAC Datasets; accrual and follow-up periods are as defined in each cohort’s original publication.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Expression matrices were analyzed on a log scale and filtered within each training cohort by a combined mean-and-variance rank rule, whose intersection across training cohorts yielded the 1,970 genes used for all analyses; validation datasets were restricted to this same gene set. Filtered expression was then within-sample rank transformed before model training, which reduces platform- and library-size differences in expression scale that would otherwise dominate cross-cohort projection (ranks are inherently nonnegative, preserving NMF compatibility). No missing-data imputation was performed: all analyses used complete cases, and analyses adjusted for the PurIST and DeCAF classifiers were restricted to samples with available classifier calls. The training Cox objective was fit to the pooled TCGA and CPTAC samples without a cohort term, with cross-validation folds constructed within cohort and stratified by event status; both training cohorts are RNA-seq and had similar event rates (52% in TCGA-PAAD and 50% in CPTAC; Supplementary Table [tab:cohorts]). All validation analyses stratify by dataset, and a descriptive check against cohort-driven association is given in Supplementary Information, Cohort handling in the training objective.</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54"/>
    <w:bookmarkStart w:id="55"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cohort-specific estimates and complete-case sample sizes are reported there.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5"/>
    <w:bookmarkStart w:id="56" w:name="treated-cohort-analyses"/>
    <w:p>
      <w:pPr>
        <w:pStyle w:val="Heading2"/>
      </w:pPr>
      <w:r>
        <w:t xml:space="preserve">Treated-cohort analyses</w:t>
      </w:r>
    </w:p>
    <w:p>
      <w:pPr>
        <w:pStyle w:val="FirstParagraph"/>
      </w:pPr>
      <w:r>
        <w:t xml:space="preserve">Two independently treated PDAC cohorts were used only for projection of the frozen programs, without any retraining.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Projection mechanics, including missing-gene handling and within-cohort standardization, are described in Supplementary Information, Translational transportability into independent treated PDAC cohorts. Both analyses were exploratory and not preregistered.</w:t>
      </w:r>
    </w:p>
    <w:bookmarkEnd w:id="56"/>
    <w:bookmarkStart w:id="57"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7"/>
    <w:bookmarkEnd w:id="58"/>
    <w:bookmarkStart w:id="59"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9"/>
    <w:bookmarkStart w:id="62"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21</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60">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61">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62"/>
    <w:bookmarkStart w:id="63"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63"/>
    <w:bookmarkStart w:id="64"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64"/>
    <w:bookmarkStart w:id="65"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65"/>
    <w:bookmarkStart w:id="158" w:name="references"/>
    <w:p>
      <w:pPr>
        <w:pStyle w:val="Heading1"/>
      </w:pPr>
      <w:r>
        <w:t xml:space="preserve">References</w:t>
      </w:r>
    </w:p>
    <w:bookmarkStart w:id="157" w:name="refs"/>
    <w:bookmarkStart w:id="67" w:name="ref-siegel2026cancer"/>
    <w:p>
      <w:pPr>
        <w:pStyle w:val="Bibliography"/>
      </w:pPr>
      <w:r>
        <w:t xml:space="preserve">1.</w:t>
      </w:r>
      <w:r>
        <w:t xml:space="preserve"> </w:t>
      </w:r>
      <w:r>
        <w:t xml:space="preserve">	</w:t>
      </w:r>
      <w:r>
        <w:t xml:space="preserve">Siegel, R. L., Kratzer, T. B., Wagle, N. S., Sung, H. &amp; Jemal, A.</w:t>
      </w:r>
      <w:r>
        <w:t xml:space="preserve"> </w:t>
      </w:r>
      <w:hyperlink r:id="rId66">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7"/>
    <w:bookmarkStart w:id="69"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9"/>
    <w:bookmarkStart w:id="71"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7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1"/>
    <w:bookmarkStart w:id="73"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7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3"/>
    <w:bookmarkStart w:id="75"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7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5"/>
    <w:bookmarkStart w:id="77"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76">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7"/>
    <w:bookmarkStart w:id="79"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8">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9"/>
    <w:bookmarkStart w:id="81"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80">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81"/>
    <w:bookmarkStart w:id="83"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8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3"/>
    <w:bookmarkStart w:id="85"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84">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85"/>
    <w:bookmarkStart w:id="87" w:name="ref-nguyen2024fourteen"/>
    <w:p>
      <w:pPr>
        <w:pStyle w:val="Bibliography"/>
      </w:pPr>
      <w:r>
        <w:t xml:space="preserve">11.</w:t>
      </w:r>
      <w:r>
        <w:t xml:space="preserve"> </w:t>
      </w:r>
      <w:r>
        <w:t xml:space="preserve">	</w:t>
      </w:r>
      <w:r>
        <w:t xml:space="preserve">Nguyen, H., Nguyen, H., Tran, D., Draghici, S. &amp; Nguyen, T.</w:t>
      </w:r>
      <w:r>
        <w:t xml:space="preserve"> </w:t>
      </w:r>
      <w:hyperlink r:id="rId86">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7"/>
    <w:bookmarkStart w:id="89" w:name="ref-peng2019novo"/>
    <w:p>
      <w:pPr>
        <w:pStyle w:val="Bibliography"/>
      </w:pPr>
      <w:r>
        <w:t xml:space="preserve">12.</w:t>
      </w:r>
      <w:r>
        <w:t xml:space="preserve"> </w:t>
      </w:r>
      <w:r>
        <w:t xml:space="preserve">	</w:t>
      </w:r>
      <w:r>
        <w:t xml:space="preserve">Peng, X. L., Moffitt, R. A., Torphy, R. J., Volmar, K. E. &amp; Yeh, J. J.</w:t>
      </w:r>
      <w:r>
        <w:t xml:space="preserve"> </w:t>
      </w:r>
      <w:hyperlink r:id="rId88">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9"/>
    <w:bookmarkStart w:id="91" w:name="ref-bair2004semi"/>
    <w:p>
      <w:pPr>
        <w:pStyle w:val="Bibliography"/>
      </w:pPr>
      <w:r>
        <w:t xml:space="preserve">13.</w:t>
      </w:r>
      <w:r>
        <w:t xml:space="preserve"> </w:t>
      </w:r>
      <w:r>
        <w:t xml:space="preserve">	</w:t>
      </w:r>
      <w:r>
        <w:t xml:space="preserve">Bair, E. &amp; Tibshirani, R.</w:t>
      </w:r>
      <w:r>
        <w:t xml:space="preserve"> </w:t>
      </w:r>
      <w:hyperlink r:id="rId90">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91"/>
    <w:bookmarkStart w:id="93" w:name="ref-cook2007fisher"/>
    <w:p>
      <w:pPr>
        <w:pStyle w:val="Bibliography"/>
      </w:pPr>
      <w:r>
        <w:t xml:space="preserve">14.</w:t>
      </w:r>
      <w:r>
        <w:t xml:space="preserve"> </w:t>
      </w:r>
      <w:r>
        <w:t xml:space="preserve">	</w:t>
      </w:r>
      <w:r>
        <w:t xml:space="preserve">Cook, R. D.</w:t>
      </w:r>
      <w:r>
        <w:t xml:space="preserve"> </w:t>
      </w:r>
      <w:hyperlink r:id="rId92">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3"/>
    <w:bookmarkStart w:id="95" w:name="ref-torrehealy2023pdacr"/>
    <w:p>
      <w:pPr>
        <w:pStyle w:val="Bibliography"/>
      </w:pPr>
      <w:r>
        <w:t xml:space="preserve">15.</w:t>
      </w:r>
      <w:r>
        <w:t xml:space="preserve"> </w:t>
      </w:r>
      <w:r>
        <w:t xml:space="preserve">	</w:t>
      </w:r>
      <w:r>
        <w:t xml:space="preserve">Torre-Healy, L. A.</w:t>
      </w:r>
      <w:r>
        <w:t xml:space="preserve"> </w:t>
      </w:r>
      <w:r>
        <w:rPr>
          <w:iCs/>
          <w:i/>
        </w:rPr>
        <w:t xml:space="preserve">et al.</w:t>
      </w:r>
      <w:r>
        <w:t xml:space="preserve"> </w:t>
      </w:r>
      <w:hyperlink r:id="rId94">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5"/>
    <w:bookmarkStart w:id="97" w:name="ref-aran2015systematic"/>
    <w:p>
      <w:pPr>
        <w:pStyle w:val="Bibliography"/>
      </w:pPr>
      <w:r>
        <w:t xml:space="preserve">16.</w:t>
      </w:r>
      <w:r>
        <w:t xml:space="preserve"> </w:t>
      </w:r>
      <w:r>
        <w:t xml:space="preserve">	</w:t>
      </w:r>
      <w:r>
        <w:t xml:space="preserve">Aran, D., Sirota, M. &amp; Butte, A. J.</w:t>
      </w:r>
      <w:r>
        <w:t xml:space="preserve"> </w:t>
      </w:r>
      <w:hyperlink r:id="rId96">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7"/>
    <w:bookmarkStart w:id="98" w:name="ref-donoho2004nmf"/>
    <w:p>
      <w:pPr>
        <w:pStyle w:val="Bibliography"/>
      </w:pPr>
      <w:r>
        <w:t xml:space="preserve">17.</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8"/>
    <w:bookmarkStart w:id="100" w:name="ref-laurberg2008uniqueness"/>
    <w:p>
      <w:pPr>
        <w:pStyle w:val="Bibliography"/>
      </w:pPr>
      <w:r>
        <w:t xml:space="preserve">18.</w:t>
      </w:r>
      <w:r>
        <w:t xml:space="preserve"> </w:t>
      </w:r>
      <w:r>
        <w:t xml:space="preserve">	</w:t>
      </w:r>
      <w:r>
        <w:t xml:space="preserve">Laurberg, H., Christensen, M. G., Plumbley, M. D., Hansen, L. K. &amp; Jensen, S. H.</w:t>
      </w:r>
      <w:r>
        <w:t xml:space="preserve"> </w:t>
      </w:r>
      <w:hyperlink r:id="rId99">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100"/>
    <w:bookmarkStart w:id="101" w:name="ref-gillis2014nmf"/>
    <w:p>
      <w:pPr>
        <w:pStyle w:val="Bibliography"/>
      </w:pPr>
      <w:r>
        <w:t xml:space="preserve">19.</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101"/>
    <w:bookmarkStart w:id="103" w:name="ref-lautizi2022pancreatic"/>
    <w:p>
      <w:pPr>
        <w:pStyle w:val="Bibliography"/>
      </w:pPr>
      <w:r>
        <w:t xml:space="preserve">20.</w:t>
      </w:r>
      <w:r>
        <w:t xml:space="preserve"> </w:t>
      </w:r>
      <w:r>
        <w:t xml:space="preserve">	</w:t>
      </w:r>
      <w:r>
        <w:t xml:space="preserve">Lautizi, M., Baumbach, J., Weichert, W., Steiger, K. &amp; List, M.</w:t>
      </w:r>
      <w:r>
        <w:t xml:space="preserve"> </w:t>
      </w:r>
      <w:hyperlink r:id="rId102">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3"/>
    <w:bookmarkStart w:id="105" w:name="ref-simon2011regularization"/>
    <w:p>
      <w:pPr>
        <w:pStyle w:val="Bibliography"/>
      </w:pPr>
      <w:r>
        <w:t xml:space="preserve">21.</w:t>
      </w:r>
      <w:r>
        <w:t xml:space="preserve"> </w:t>
      </w:r>
      <w:r>
        <w:t xml:space="preserve">	</w:t>
      </w:r>
      <w:r>
        <w:t xml:space="preserve">Simon, N., Friedman, J. H., Hastie, T. &amp; Tibshirani, R.</w:t>
      </w:r>
      <w:r>
        <w:t xml:space="preserve"> </w:t>
      </w:r>
      <w:hyperlink r:id="rId104">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5"/>
    <w:bookmarkStart w:id="107" w:name="ref-raphael2017integrated"/>
    <w:p>
      <w:pPr>
        <w:pStyle w:val="Bibliography"/>
      </w:pPr>
      <w:r>
        <w:t xml:space="preserve">22.</w:t>
      </w:r>
      <w:r>
        <w:t xml:space="preserve"> </w:t>
      </w:r>
      <w:r>
        <w:t xml:space="preserve">	</w:t>
      </w:r>
      <w:r>
        <w:t xml:space="preserve">Raphael, B. J.</w:t>
      </w:r>
      <w:r>
        <w:t xml:space="preserve"> </w:t>
      </w:r>
      <w:r>
        <w:rPr>
          <w:iCs/>
          <w:i/>
        </w:rPr>
        <w:t xml:space="preserve">et al.</w:t>
      </w:r>
      <w:r>
        <w:t xml:space="preserve"> </w:t>
      </w:r>
      <w:hyperlink r:id="rId106">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7"/>
    <w:bookmarkStart w:id="109" w:name="ref-cao2021proteogenomic"/>
    <w:p>
      <w:pPr>
        <w:pStyle w:val="Bibliography"/>
      </w:pPr>
      <w:r>
        <w:t xml:space="preserve">23.</w:t>
      </w:r>
      <w:r>
        <w:t xml:space="preserve"> </w:t>
      </w:r>
      <w:r>
        <w:t xml:space="preserve">	</w:t>
      </w:r>
      <w:r>
        <w:t xml:space="preserve">Cao, L.</w:t>
      </w:r>
      <w:r>
        <w:t xml:space="preserve"> </w:t>
      </w:r>
      <w:r>
        <w:rPr>
          <w:iCs/>
          <w:i/>
        </w:rPr>
        <w:t xml:space="preserve">et al.</w:t>
      </w:r>
      <w:r>
        <w:t xml:space="preserve"> </w:t>
      </w:r>
      <w:hyperlink r:id="rId108">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9"/>
    <w:bookmarkStart w:id="111" w:name="ref-snoek2012practical"/>
    <w:p>
      <w:pPr>
        <w:pStyle w:val="Bibliography"/>
      </w:pPr>
      <w:r>
        <w:t xml:space="preserve">24.</w:t>
      </w:r>
      <w:r>
        <w:t xml:space="preserve"> </w:t>
      </w:r>
      <w:r>
        <w:t xml:space="preserve">	</w:t>
      </w:r>
      <w:r>
        <w:t xml:space="preserve">Snoek, J., Larochelle, H. &amp; Adams, R. P.</w:t>
      </w:r>
      <w:r>
        <w:t xml:space="preserve"> </w:t>
      </w:r>
      <w:hyperlink r:id="rId110">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11"/>
    <w:bookmarkStart w:id="113" w:name="ref-shahriari2016taking"/>
    <w:p>
      <w:pPr>
        <w:pStyle w:val="Bibliography"/>
      </w:pPr>
      <w:r>
        <w:t xml:space="preserve">25.</w:t>
      </w:r>
      <w:r>
        <w:t xml:space="preserve"> </w:t>
      </w:r>
      <w:r>
        <w:t xml:space="preserve">	</w:t>
      </w:r>
      <w:r>
        <w:t xml:space="preserve">Shahriari, B., Swersky, K., Wang, Z., Adams, R. P. &amp; Freitas, N. de.</w:t>
      </w:r>
      <w:r>
        <w:t xml:space="preserve"> </w:t>
      </w:r>
      <w:hyperlink r:id="rId112">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3"/>
    <w:bookmarkStart w:id="115" w:name="ref-brunet2004metagenes"/>
    <w:p>
      <w:pPr>
        <w:pStyle w:val="Bibliography"/>
      </w:pPr>
      <w:r>
        <w:t xml:space="preserve">26.</w:t>
      </w:r>
      <w:r>
        <w:t xml:space="preserve"> </w:t>
      </w:r>
      <w:r>
        <w:t xml:space="preserve">	</w:t>
      </w:r>
      <w:r>
        <w:t xml:space="preserve">Brunet, J.-P., Tamayo, P., Golub, T. R. &amp; Mesirov, J. P.</w:t>
      </w:r>
      <w:r>
        <w:t xml:space="preserve"> </w:t>
      </w:r>
      <w:hyperlink r:id="rId114">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115"/>
    <w:bookmarkStart w:id="117" w:name="ref-frigyesi2008nmf"/>
    <w:p>
      <w:pPr>
        <w:pStyle w:val="Bibliography"/>
      </w:pPr>
      <w:r>
        <w:t xml:space="preserve">27.</w:t>
      </w:r>
      <w:r>
        <w:t xml:space="preserve"> </w:t>
      </w:r>
      <w:r>
        <w:t xml:space="preserve">	</w:t>
      </w:r>
      <w:r>
        <w:t xml:space="preserve">Frigyesi, A. &amp; Höglund, M.</w:t>
      </w:r>
      <w:r>
        <w:t xml:space="preserve"> </w:t>
      </w:r>
      <w:hyperlink r:id="rId116">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7"/>
    <w:bookmarkStart w:id="119" w:name="ref-leary2023s"/>
    <w:p>
      <w:pPr>
        <w:pStyle w:val="Bibliography"/>
      </w:pPr>
      <w:r>
        <w:t xml:space="preserve">28.</w:t>
      </w:r>
      <w:r>
        <w:t xml:space="preserve"> </w:t>
      </w:r>
      <w:r>
        <w:t xml:space="preserve">	</w:t>
      </w:r>
      <w:r>
        <w:t xml:space="preserve">Leary, J. R.</w:t>
      </w:r>
      <w:r>
        <w:t xml:space="preserve"> </w:t>
      </w:r>
      <w:r>
        <w:rPr>
          <w:iCs/>
          <w:i/>
        </w:rPr>
        <w:t xml:space="preserve">et al.</w:t>
      </w:r>
      <w:r>
        <w:t xml:space="preserve"> </w:t>
      </w:r>
      <w:hyperlink r:id="rId118">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9"/>
    <w:bookmarkStart w:id="121" w:name="ref-Maurer2019"/>
    <w:p>
      <w:pPr>
        <w:pStyle w:val="Bibliography"/>
      </w:pPr>
      <w:r>
        <w:t xml:space="preserve">29.</w:t>
      </w:r>
      <w:r>
        <w:t xml:space="preserve"> </w:t>
      </w:r>
      <w:r>
        <w:t xml:space="preserve">	</w:t>
      </w:r>
      <w:r>
        <w:t xml:space="preserve">Maurer, C.</w:t>
      </w:r>
      <w:r>
        <w:t xml:space="preserve"> </w:t>
      </w:r>
      <w:r>
        <w:rPr>
          <w:iCs/>
          <w:i/>
        </w:rPr>
        <w:t xml:space="preserve">et al.</w:t>
      </w:r>
      <w:r>
        <w:t xml:space="preserve"> </w:t>
      </w:r>
      <w:hyperlink r:id="rId120">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1"/>
    <w:bookmarkStart w:id="122" w:name="ref-shapley1953value"/>
    <w:p>
      <w:pPr>
        <w:pStyle w:val="Bibliography"/>
      </w:pPr>
      <w:r>
        <w:t xml:space="preserve">30.</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2"/>
    <w:bookmarkStart w:id="123" w:name="ref-huang2020low"/>
    <w:p>
      <w:pPr>
        <w:pStyle w:val="Bibliography"/>
      </w:pPr>
      <w:r>
        <w:t xml:space="preserve">31.</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23"/>
    <w:bookmarkStart w:id="124" w:name="ref-le2025survnmf"/>
    <w:p>
      <w:pPr>
        <w:pStyle w:val="Bibliography"/>
      </w:pPr>
      <w:r>
        <w:t xml:space="preserve">32.</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24"/>
    <w:bookmarkStart w:id="126" w:name="ref-zaccaria2023surviae"/>
    <w:p>
      <w:pPr>
        <w:pStyle w:val="Bibliography"/>
      </w:pPr>
      <w:r>
        <w:t xml:space="preserve">33.</w:t>
      </w:r>
      <w:r>
        <w:t xml:space="preserve"> </w:t>
      </w:r>
      <w:r>
        <w:t xml:space="preserve">	</w:t>
      </w:r>
      <w:r>
        <w:t xml:space="preserve">Zaccaria, G. M.</w:t>
      </w:r>
      <w:r>
        <w:t xml:space="preserve"> </w:t>
      </w:r>
      <w:r>
        <w:rPr>
          <w:iCs/>
          <w:i/>
        </w:rPr>
        <w:t xml:space="preserve">et al.</w:t>
      </w:r>
      <w:r>
        <w:t xml:space="preserve"> </w:t>
      </w:r>
      <w:hyperlink r:id="rId125">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6"/>
    <w:bookmarkStart w:id="128" w:name="ref-meng2022savae"/>
    <w:p>
      <w:pPr>
        <w:pStyle w:val="Bibliography"/>
      </w:pPr>
      <w:r>
        <w:t xml:space="preserve">34.</w:t>
      </w:r>
      <w:r>
        <w:t xml:space="preserve"> </w:t>
      </w:r>
      <w:r>
        <w:t xml:space="preserve">	</w:t>
      </w:r>
      <w:r>
        <w:t xml:space="preserve">Meng, X.</w:t>
      </w:r>
      <w:r>
        <w:t xml:space="preserve"> </w:t>
      </w:r>
      <w:r>
        <w:rPr>
          <w:iCs/>
          <w:i/>
        </w:rPr>
        <w:t xml:space="preserve">et al.</w:t>
      </w:r>
      <w:r>
        <w:t xml:space="preserve"> </w:t>
      </w:r>
      <w:hyperlink r:id="rId127">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8"/>
    <w:bookmarkStart w:id="130" w:name="ref-newman2019cibersortx"/>
    <w:p>
      <w:pPr>
        <w:pStyle w:val="Bibliography"/>
      </w:pPr>
      <w:r>
        <w:t xml:space="preserve">35.</w:t>
      </w:r>
      <w:r>
        <w:t xml:space="preserve"> </w:t>
      </w:r>
      <w:r>
        <w:t xml:space="preserve">	</w:t>
      </w:r>
      <w:r>
        <w:t xml:space="preserve">Newman, A. M.</w:t>
      </w:r>
      <w:r>
        <w:t xml:space="preserve"> </w:t>
      </w:r>
      <w:r>
        <w:rPr>
          <w:iCs/>
          <w:i/>
        </w:rPr>
        <w:t xml:space="preserve">et al.</w:t>
      </w:r>
      <w:r>
        <w:t xml:space="preserve"> </w:t>
      </w:r>
      <w:hyperlink r:id="rId129">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0"/>
    <w:bookmarkStart w:id="132" w:name="ref-chu2022bayesprism"/>
    <w:p>
      <w:pPr>
        <w:pStyle w:val="Bibliography"/>
      </w:pPr>
      <w:r>
        <w:t xml:space="preserve">36.</w:t>
      </w:r>
      <w:r>
        <w:t xml:space="preserve"> </w:t>
      </w:r>
      <w:r>
        <w:t xml:space="preserve">	</w:t>
      </w:r>
      <w:r>
        <w:t xml:space="preserve">Chu, T., Wang, Z., Pe’er, D. &amp; Danko, C. G.</w:t>
      </w:r>
      <w:r>
        <w:t xml:space="preserve"> </w:t>
      </w:r>
      <w:hyperlink r:id="rId131">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2"/>
    <w:bookmarkStart w:id="134" w:name="ref-ogawa2020stroma"/>
    <w:p>
      <w:pPr>
        <w:pStyle w:val="Bibliography"/>
      </w:pPr>
      <w:r>
        <w:t xml:space="preserve">37.</w:t>
      </w:r>
      <w:r>
        <w:t xml:space="preserve"> </w:t>
      </w:r>
      <w:r>
        <w:t xml:space="preserve">	</w:t>
      </w:r>
      <w:r>
        <w:t xml:space="preserve">Ogawa, Y.</w:t>
      </w:r>
      <w:r>
        <w:t xml:space="preserve"> </w:t>
      </w:r>
      <w:r>
        <w:rPr>
          <w:iCs/>
          <w:i/>
        </w:rPr>
        <w:t xml:space="preserve">et al.</w:t>
      </w:r>
      <w:r>
        <w:t xml:space="preserve"> </w:t>
      </w:r>
      <w:hyperlink r:id="rId133">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34"/>
    <w:bookmarkStart w:id="136" w:name="ref-neuzillet2022periostin"/>
    <w:p>
      <w:pPr>
        <w:pStyle w:val="Bibliography"/>
      </w:pPr>
      <w:r>
        <w:t xml:space="preserve">38.</w:t>
      </w:r>
      <w:r>
        <w:t xml:space="preserve"> </w:t>
      </w:r>
      <w:r>
        <w:t xml:space="preserve">	</w:t>
      </w:r>
      <w:r>
        <w:t xml:space="preserve">Neuzillet, C.</w:t>
      </w:r>
      <w:r>
        <w:t xml:space="preserve"> </w:t>
      </w:r>
      <w:r>
        <w:rPr>
          <w:iCs/>
          <w:i/>
        </w:rPr>
        <w:t xml:space="preserve">et al.</w:t>
      </w:r>
      <w:r>
        <w:t xml:space="preserve"> </w:t>
      </w:r>
      <w:hyperlink r:id="rId135">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36"/>
    <w:bookmarkStart w:id="138" w:name="ref-lee2024tumorcaf"/>
    <w:p>
      <w:pPr>
        <w:pStyle w:val="Bibliography"/>
      </w:pPr>
      <w:r>
        <w:t xml:space="preserve">39.</w:t>
      </w:r>
      <w:r>
        <w:t xml:space="preserve"> </w:t>
      </w:r>
      <w:r>
        <w:t xml:space="preserve">	</w:t>
      </w:r>
      <w:r>
        <w:t xml:space="preserve">Lee, J. J.</w:t>
      </w:r>
      <w:r>
        <w:t xml:space="preserve"> </w:t>
      </w:r>
      <w:r>
        <w:rPr>
          <w:iCs/>
          <w:i/>
        </w:rPr>
        <w:t xml:space="preserve">et al.</w:t>
      </w:r>
      <w:r>
        <w:t xml:space="preserve"> </w:t>
      </w:r>
      <w:hyperlink r:id="rId137">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38"/>
    <w:bookmarkStart w:id="140" w:name="ref-smith2020standard"/>
    <w:p>
      <w:pPr>
        <w:pStyle w:val="Bibliography"/>
      </w:pPr>
      <w:r>
        <w:t xml:space="preserve">40.</w:t>
      </w:r>
      <w:r>
        <w:t xml:space="preserve"> </w:t>
      </w:r>
      <w:r>
        <w:t xml:space="preserve">	</w:t>
      </w:r>
      <w:r>
        <w:t xml:space="preserve">Smith, A. M.</w:t>
      </w:r>
      <w:r>
        <w:t xml:space="preserve"> </w:t>
      </w:r>
      <w:r>
        <w:rPr>
          <w:iCs/>
          <w:i/>
        </w:rPr>
        <w:t xml:space="preserve">et al.</w:t>
      </w:r>
      <w:r>
        <w:t xml:space="preserve"> </w:t>
      </w:r>
      <w:hyperlink r:id="rId139">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40"/>
    <w:bookmarkStart w:id="142" w:name="ref-lee1999learning"/>
    <w:p>
      <w:pPr>
        <w:pStyle w:val="Bibliography"/>
      </w:pPr>
      <w:r>
        <w:t xml:space="preserve">41.</w:t>
      </w:r>
      <w:r>
        <w:t xml:space="preserve"> </w:t>
      </w:r>
      <w:r>
        <w:t xml:space="preserve">	</w:t>
      </w:r>
      <w:r>
        <w:t xml:space="preserve">Lee, D. D. &amp; Seung, H. S.</w:t>
      </w:r>
      <w:r>
        <w:t xml:space="preserve"> </w:t>
      </w:r>
      <w:hyperlink r:id="rId14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142"/>
    <w:bookmarkStart w:id="144" w:name="ref-gaujoux2010flexible"/>
    <w:p>
      <w:pPr>
        <w:pStyle w:val="Bibliography"/>
      </w:pPr>
      <w:r>
        <w:t xml:space="preserve">42.</w:t>
      </w:r>
      <w:r>
        <w:t xml:space="preserve"> </w:t>
      </w:r>
      <w:r>
        <w:t xml:space="preserve">	</w:t>
      </w:r>
      <w:r>
        <w:t xml:space="preserve">Gaujoux, R. &amp; Seoighe, C.</w:t>
      </w:r>
      <w:r>
        <w:t xml:space="preserve"> </w:t>
      </w:r>
      <w:hyperlink r:id="rId143">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44"/>
    <w:bookmarkStart w:id="146" w:name="ref-data_tcga_paad"/>
    <w:p>
      <w:pPr>
        <w:pStyle w:val="Bibliography"/>
      </w:pPr>
      <w:r>
        <w:t xml:space="preserve">43.</w:t>
      </w:r>
      <w:r>
        <w:t xml:space="preserve"> </w:t>
      </w:r>
      <w:r>
        <w:t xml:space="preserve">	</w:t>
      </w:r>
      <w:r>
        <w:t xml:space="preserve">The Cancer Genome Atlas Research Network.</w:t>
      </w:r>
      <w:r>
        <w:t xml:space="preserve"> </w:t>
      </w:r>
      <w:hyperlink r:id="rId145">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46"/>
    <w:bookmarkStart w:id="148"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7">
        <w:r>
          <w:rPr>
            <w:rStyle w:val="Hyperlink"/>
          </w:rPr>
          <w:t xml:space="preserve">Data from CPTAC-3 pancreatic ductal adenocarcinoma cohort</w:t>
        </w:r>
      </w:hyperlink>
      <w:r>
        <w:t xml:space="preserve">. (2019).</w:t>
      </w:r>
    </w:p>
    <w:bookmarkEnd w:id="148"/>
    <w:bookmarkStart w:id="150"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9">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50"/>
    <w:bookmarkStart w:id="152"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51">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52"/>
    <w:bookmarkStart w:id="154"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53">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54"/>
    <w:bookmarkStart w:id="156"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55">
        <w:r>
          <w:rPr>
            <w:rStyle w:val="Hyperlink"/>
          </w:rPr>
          <w:t xml:space="preserve">Pancreatic cancer (PACA-AU) cohort: Array and RNA-sequencing data</w:t>
        </w:r>
      </w:hyperlink>
      <w:r>
        <w:t xml:space="preserve">. (2016).</w:t>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hyperlink" Id="rId135" Target="https://doi.org/10.1002/path.6011" TargetMode="External" /><Relationship Type="http://schemas.openxmlformats.org/officeDocument/2006/relationships/hyperlink" Id="rId106" Target="https://doi.org/10.1016/j.ccell.2017.07.007" TargetMode="External" /><Relationship Type="http://schemas.openxmlformats.org/officeDocument/2006/relationships/hyperlink" Id="rId108" Target="https://doi.org/10.1016/j.cell.2021.08.023" TargetMode="External" /><Relationship Type="http://schemas.openxmlformats.org/officeDocument/2006/relationships/hyperlink" Id="rId125"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141"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96"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88"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4"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114" Target="https://doi.org/10.1073/pnas.0308531101" TargetMode="External" /><Relationship Type="http://schemas.openxmlformats.org/officeDocument/2006/relationships/hyperlink" Id="rId118"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2" Target="https://doi.org/10.1093/narcan/zcac030" TargetMode="External" /><Relationship Type="http://schemas.openxmlformats.org/officeDocument/2006/relationships/hyperlink" Id="rId137" Target="https://doi.org/10.1097/SLA.0000000000006416" TargetMode="External" /><Relationship Type="http://schemas.openxmlformats.org/officeDocument/2006/relationships/hyperlink" Id="rId112" Target="https://doi.org/10.1109/JPROC.2015.2494218" TargetMode="External" /><Relationship Type="http://schemas.openxmlformats.org/officeDocument/2006/relationships/hyperlink" Id="rId120" Target="https://doi.org/10.1136/gutjnl-2018-317706" TargetMode="External" /><Relationship Type="http://schemas.openxmlformats.org/officeDocument/2006/relationships/hyperlink" Id="rId99"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3"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39" Target="https://doi.org/10.1186/s12859-020-3427-8" TargetMode="External" /><Relationship Type="http://schemas.openxmlformats.org/officeDocument/2006/relationships/hyperlink" Id="rId92" Target="https://doi.org/10.1214/088342306000000682" TargetMode="External" /><Relationship Type="http://schemas.openxmlformats.org/officeDocument/2006/relationships/hyperlink" Id="rId90" Target="https://doi.org/10.1371/journal.pbio.0020108" TargetMode="External" /><Relationship Type="http://schemas.openxmlformats.org/officeDocument/2006/relationships/hyperlink" Id="rId104"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7" Target="https://doi.org/10.3390/cells11091421" TargetMode="External" /><Relationship Type="http://schemas.openxmlformats.org/officeDocument/2006/relationships/hyperlink" Id="rId116"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0"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2/path.6011" TargetMode="External" /><Relationship Type="http://schemas.openxmlformats.org/officeDocument/2006/relationships/hyperlink" Id="rId106" Target="https://doi.org/10.1016/j.ccell.2017.07.007" TargetMode="External" /><Relationship Type="http://schemas.openxmlformats.org/officeDocument/2006/relationships/hyperlink" Id="rId108" Target="https://doi.org/10.1016/j.cell.2021.08.023" TargetMode="External" /><Relationship Type="http://schemas.openxmlformats.org/officeDocument/2006/relationships/hyperlink" Id="rId125"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141"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96"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88"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4"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114" Target="https://doi.org/10.1073/pnas.0308531101" TargetMode="External" /><Relationship Type="http://schemas.openxmlformats.org/officeDocument/2006/relationships/hyperlink" Id="rId118"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2" Target="https://doi.org/10.1093/narcan/zcac030" TargetMode="External" /><Relationship Type="http://schemas.openxmlformats.org/officeDocument/2006/relationships/hyperlink" Id="rId137" Target="https://doi.org/10.1097/SLA.0000000000006416" TargetMode="External" /><Relationship Type="http://schemas.openxmlformats.org/officeDocument/2006/relationships/hyperlink" Id="rId112" Target="https://doi.org/10.1109/JPROC.2015.2494218" TargetMode="External" /><Relationship Type="http://schemas.openxmlformats.org/officeDocument/2006/relationships/hyperlink" Id="rId120" Target="https://doi.org/10.1136/gutjnl-2018-317706" TargetMode="External" /><Relationship Type="http://schemas.openxmlformats.org/officeDocument/2006/relationships/hyperlink" Id="rId99"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3"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39" Target="https://doi.org/10.1186/s12859-020-3427-8" TargetMode="External" /><Relationship Type="http://schemas.openxmlformats.org/officeDocument/2006/relationships/hyperlink" Id="rId92" Target="https://doi.org/10.1214/088342306000000682" TargetMode="External" /><Relationship Type="http://schemas.openxmlformats.org/officeDocument/2006/relationships/hyperlink" Id="rId90" Target="https://doi.org/10.1371/journal.pbio.0020108" TargetMode="External" /><Relationship Type="http://schemas.openxmlformats.org/officeDocument/2006/relationships/hyperlink" Id="rId104"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7" Target="https://doi.org/10.3390/cells11091421" TargetMode="External" /><Relationship Type="http://schemas.openxmlformats.org/officeDocument/2006/relationships/hyperlink" Id="rId116"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0"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prognostic tumor–stroma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2026-09-16T19:09:21Z</dcterms:created>
  <dcterms:modified xsi:type="dcterms:W3CDTF">2026-09-16T19:09:21Z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stromal, and microenvironmental heterogeneity. However, unsupervised gene-program discovery typically captures dominant axes of transcriptomic variation that are not necessarily prognostic. We developed DeSurv, a survival-supervised matrix factorization that incorporates outcomes into gene-program discovery and applies the learned programs to new cohorts without refitting. In pooled TCGA and CPTAC cohorts, DeSurv recovered a three-program tumor–stroma architecture whose survival-aligned program (D1) combined classical-tumor and restCAF-like stromal features. Applied without refitting to five datasets spanning four independent cohorts, the risk score remained prognostic (HR per pooled SD 1.42, 95% CI 1.26–1.59) before and after PurIST and DeCAF adjustment. A matched-rank, matched-budget unsupervised control did not recover D1, whereas a rank-optimized seven-factor control carried comparable prognostic information. In simulations with known structure, DeSurv recovered prognostic genes more accurately when survival signal contributed little expression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