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4.png" ContentType="image/png"/>
  <Override PartName="/word/media/rId59.png" ContentType="image/png"/>
  <Override PartName="/word/media/rId45.png" ContentType="image/png"/>
  <Override PartName="/word/media/rId3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projected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projected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Related supervised-NMF methods instead place the survival term on the sample</w:t>
      </w:r>
      <w:r>
        <w:t xml:space="preserve"> </w:t>
      </w:r>
      <w:r>
        <w:t xml:space="preserve">side. CoxNMF maximizes a Cox partial likelihood whose covariates are the columns</w:t>
      </w:r>
      <w:r>
        <w:t xml:space="preserve"> </w:t>
      </w:r>
      <w:r>
        <w:t xml:space="preserve">of (H)</w:t>
      </w:r>
      <w:hyperlink w:anchor="ref-huang2020low">
        <w:r>
          <w:rPr>
            <w:rStyle w:val="Hyperlink"/>
            <w:vertAlign w:val="superscript"/>
          </w:rPr>
          <w:t xml:space="preserve">10</w:t>
        </w:r>
      </w:hyperlink>
      <w:r>
        <w:t xml:space="preserve">, and SurvNMF jointly learns the factorization and a Cox</w:t>
      </w:r>
      <w:r>
        <w:t xml:space="preserve"> </w:t>
      </w:r>
      <w:r>
        <w:t xml:space="preserve">model on the sample-side latent matrix, which its own transposed notation writes</w:t>
      </w:r>
      <w:r>
        <w:t xml:space="preserve"> </w:t>
      </w:r>
      <w:r>
        <w:t xml:space="preserve">as (W)</w:t>
      </w:r>
      <w:hyperlink w:anchor="ref-le2025survnmf">
        <w:r>
          <w:rPr>
            <w:rStyle w:val="Hyperlink"/>
            <w:vertAlign w:val="superscript"/>
          </w:rPr>
          <w:t xml:space="preserve">11</w:t>
        </w:r>
      </w:hyperlink>
      <w:r>
        <w:t xml:space="preserve">. Because the risk score under either formulation is a</w:t>
      </w:r>
      <w:r>
        <w:t xml:space="preserve"> </w:t>
      </w:r>
      <w:r>
        <w:t xml:space="preserve">function of the sample loadings rather than of the gene-program basis, a new</w:t>
      </w:r>
      <w:r>
        <w:t xml:space="preserve"> </w:t>
      </w:r>
      <w:r>
        <w:t xml:space="preserve">sample needs loadings of its own. SurvNMF documents such a step, obtaining them</w:t>
      </w:r>
      <w:r>
        <w:t xml:space="preserve"> </w:t>
      </w:r>
      <w:r>
        <w:t xml:space="preserve">for held-out samples by a constrained least-squares fit; that step holds the gene</w:t>
      </w:r>
      <w:r>
        <w:t xml:space="preserve"> </w:t>
      </w:r>
      <w:r>
        <w:t xml:space="preserve">basis fixed and needs neither relearning of the basis nor validation survival</w:t>
      </w:r>
      <w:r>
        <w:t xml:space="preserve"> </w:t>
      </w:r>
      <w:r>
        <w:t xml:space="preserve">outcomes, so it is an additional fitting step at transfer rather than a leak.</w:t>
      </w:r>
      <w:r>
        <w:t xml:space="preserve"> </w:t>
      </w:r>
      <w:r>
        <w:t xml:space="preserve">CoxNMF’s published description does not specify a new-sample scoring procedure.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12</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the text of this section.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Its cross-validated performance</w:t>
      </w:r>
      <w:r>
        <w:t xml:space="preserve"> </w:t>
      </w:r>
      <w:r>
        <w:t xml:space="preserve">under the identical protocol and the current software build is reported in</w:t>
      </w:r>
      <w:r>
        <w:t xml:space="preserve"> </w:t>
      </w:r>
      <w:r>
        <w:t xml:space="preserve">Table [tab:final-config-cv]:</w:t>
      </w:r>
      <w:r>
        <w:t xml:space="preserve"> </w:t>
      </w:r>
      <m:oMath>
        <m:r>
          <m:t>0.642</m:t>
        </m:r>
      </m:oMath>
      <w:r>
        <w:t xml:space="preserve"> </w:t>
      </w:r>
      <w:r>
        <w:t xml:space="preserve">(fold-level standard error</w:t>
      </w:r>
      <w:r>
        <w:t xml:space="preserve"> </w:t>
      </w:r>
      <m:oMath>
        <m:r>
          <m:t>0.007</m:t>
        </m:r>
      </m:oMath>
      <w:r>
        <w:t xml:space="preserve">),</w:t>
      </w:r>
      <w:r>
        <w:t xml:space="preserve"> </w:t>
      </w:r>
      <m:oMath>
        <m:r>
          <m:t>0.002</m:t>
        </m:r>
      </m:oMath>
      <w:r>
        <w:t xml:space="preserve"> </w:t>
      </w:r>
      <w:r>
        <w:t xml:space="preserve">below the recomputed one-standard-error</w:t>
      </w:r>
      <w:r>
        <w:t xml:space="preserve"> </w:t>
      </w:r>
      <w:r>
        <w:t xml:space="preserve">threshold of</w:t>
      </w:r>
      <w:r>
        <w:t xml:space="preserve"> </w:t>
      </w:r>
      <m:oMath>
        <m:r>
          <m:t>0.644</m:t>
        </m:r>
      </m:oMath>
      <w:r>
        <w:t xml:space="preserve">. Separately, we ran a sensitivity</w:t>
      </w:r>
      <w:r>
        <w:t xml:space="preserve"> </w:t>
      </w:r>
      <w:r>
        <w:t xml:space="preserve">analysis of rank selection using the same training data and the selected</w:t>
      </w:r>
      <w:r>
        <w:t xml:space="preserve"> </w:t>
      </w:r>
      <w:r>
        <w:t xml:space="preserve">non-rank 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Configuration</w:t>
            </w:r>
          </w:p>
        </w:tc>
        <w:tc>
          <w:tcPr/>
          <w:p>
            <w:pPr>
              <w:pStyle w:val="Compact"/>
              <w:jc w:val="left"/>
            </w:pPr>
            <m:oMath>
              <m:r>
                <m:t>k</m:t>
              </m:r>
            </m:oMath>
          </w:p>
        </w:tc>
        <w:tc>
          <w:tcPr/>
          <w:p>
            <w:pPr>
              <w:pStyle w:val="Compact"/>
              <w:jc w:val="left"/>
            </w:pPr>
            <m:oMath>
              <m:r>
                <m:t>α</m:t>
              </m:r>
            </m:oMath>
          </w:p>
        </w:tc>
        <w:tc>
          <w:tcPr/>
          <w:p>
            <w:pPr>
              <w:pStyle w:val="Compact"/>
              <w:jc w:val="left"/>
            </w:pPr>
            <m:oMath>
              <m:r>
                <m:t>λ</m:t>
              </m:r>
            </m:oMath>
          </w:p>
        </w:tc>
        <w:tc>
          <w:tcPr/>
          <w:p>
            <w:pPr>
              <w:pStyle w:val="Compact"/>
              <w:jc w:val="left"/>
            </w:pPr>
            <m:oMath>
              <m:r>
                <m:t>ξ</m:t>
              </m:r>
            </m:oMath>
          </w:p>
        </w:tc>
        <w:tc>
          <w:tcPr/>
          <w:p>
            <w:pPr>
              <w:pStyle w:val="Compact"/>
              <w:jc w:val="left"/>
            </w:pPr>
            <m:oMath>
              <m:sSub>
                <m:e>
                  <m:r>
                    <m:t>n</m:t>
                  </m:r>
                </m:e>
                <m:sub>
                  <m:r>
                    <m:rPr>
                      <m:nor/>
                      <m:sty m:val="p"/>
                    </m:rPr>
                    <m:t>top</m:t>
                  </m:r>
                </m:sub>
              </m:sSub>
            </m:oMath>
          </w:p>
        </w:tc>
        <w:tc>
          <w:tcPr/>
          <w:p>
            <w:pPr>
              <w:pStyle w:val="Compact"/>
              <w:jc w:val="left"/>
            </w:pPr>
            <w:r>
              <w:t xml:space="preserve">Mean C-index</w:t>
            </w:r>
          </w:p>
        </w:tc>
        <w:tc>
          <w:tcPr/>
          <w:p>
            <w:pPr>
              <w:pStyle w:val="Compact"/>
              <w:jc w:val="left"/>
            </w:pPr>
            <w:r>
              <w:t xml:space="preserve">Fold-level SE</w:t>
            </w:r>
          </w:p>
        </w:tc>
      </w:tr>
      <w:tr>
        <w:tc>
          <w:tcPr/>
          <w:p>
            <w:pPr>
              <w:pStyle w:val="Compact"/>
              <w:jc w:val="left"/>
            </w:pPr>
            <w:r>
              <w:t xml:space="preserve">Overall best (</w:t>
            </w:r>
            <m:oMath>
              <m:r>
                <m:t>k</m:t>
              </m:r>
              <m:r>
                <m:rPr>
                  <m:sty m:val="p"/>
                </m:rPr>
                <m:t>=</m:t>
              </m:r>
              <m:r>
                <m:t>7</m:t>
              </m:r>
            </m:oMath>
            <w:r>
              <w:t xml:space="preserve">)</w:t>
            </w:r>
          </w:p>
        </w:tc>
        <w:tc>
          <w:tcPr/>
          <w:p>
            <w:pPr>
              <w:pStyle w:val="Compact"/>
              <w:jc w:val="left"/>
            </w:pPr>
            <w:r>
              <w:t xml:space="preserve">7</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0.655</w:t>
            </w:r>
          </w:p>
        </w:tc>
        <w:tc>
          <w:tcPr/>
          <w:p>
            <w:pPr>
              <w:pStyle w:val="Compact"/>
              <w:jc w:val="left"/>
            </w:pPr>
            <w:r>
              <w:t xml:space="preserve">0.011</w:t>
            </w:r>
          </w:p>
        </w:tc>
      </w:tr>
      <w:tr>
        <w:tc>
          <w:tcPr/>
          <w:p>
            <w:pPr>
              <w:pStyle w:val="Compact"/>
              <w:jc w:val="left"/>
            </w:pPr>
            <w:r>
              <w:t xml:space="preserve">Best</w:t>
            </w:r>
            <w:r>
              <w:t xml:space="preserve"> </w:t>
            </w:r>
            <m:oMath>
              <m:r>
                <m:t>k</m:t>
              </m:r>
              <m:r>
                <m:rPr>
                  <m:sty m:val="p"/>
                </m:rPr>
                <m:t>=</m:t>
              </m:r>
              <m:r>
                <m:t>3</m:t>
              </m:r>
            </m:oMath>
            <w:r>
              <w:t xml:space="preserve"> </w:t>
            </w:r>
            <w:r>
              <w:t xml:space="preserve">in the search</w:t>
            </w:r>
          </w:p>
        </w:tc>
        <w:tc>
          <w:tcPr/>
          <w:p>
            <w:pPr>
              <w:pStyle w:val="Compact"/>
              <w:jc w:val="left"/>
            </w:pPr>
            <w:r>
              <w:t xml:space="preserve">3</w:t>
            </w:r>
          </w:p>
        </w:tc>
        <w:tc>
          <w:tcPr/>
          <w:p>
            <w:pPr>
              <w:pStyle w:val="Compact"/>
              <w:jc w:val="left"/>
            </w:pPr>
            <w:r>
              <w:t xml:space="preserve">0.442</w:t>
            </w:r>
          </w:p>
        </w:tc>
        <w:tc>
          <w:tcPr/>
          <w:p>
            <w:pPr>
              <w:pStyle w:val="Compact"/>
              <w:jc w:val="left"/>
            </w:pPr>
            <w:r>
              <w:t xml:space="preserve">0.241</w:t>
            </w:r>
          </w:p>
        </w:tc>
        <w:tc>
          <w:tcPr/>
          <w:p>
            <w:pPr>
              <w:pStyle w:val="Compact"/>
              <w:jc w:val="left"/>
            </w:pPr>
            <w:r>
              <w:t xml:space="preserve">0.201</w:t>
            </w:r>
          </w:p>
        </w:tc>
        <w:tc>
          <w:tcPr/>
          <w:p>
            <w:pPr>
              <w:pStyle w:val="Compact"/>
              <w:jc w:val="left"/>
            </w:pPr>
            <w:r>
              <w:t xml:space="preserve">299</w:t>
            </w:r>
          </w:p>
        </w:tc>
        <w:tc>
          <w:tcPr/>
          <w:p>
            <w:pPr>
              <w:pStyle w:val="Compact"/>
              <w:jc w:val="left"/>
            </w:pPr>
            <w:r>
              <w:t xml:space="preserve">0.647</w:t>
            </w:r>
          </w:p>
        </w:tc>
        <w:tc>
          <w:tcPr/>
          <w:p>
            <w:pPr>
              <w:pStyle w:val="Compact"/>
              <w:jc w:val="left"/>
            </w:pPr>
            <w:r>
              <w:t xml:space="preserve">0.009</w:t>
            </w:r>
          </w:p>
        </w:tc>
      </w:tr>
      <w:tr>
        <w:tc>
          <w:tcPr/>
          <w:p>
            <w:pPr>
              <w:pStyle w:val="Compact"/>
              <w:jc w:val="left"/>
            </w:pPr>
            <w:r>
              <w:t xml:space="preserve">Final fitted model (</w:t>
            </w:r>
            <m:oMath>
              <m:r>
                <m:t>k</m:t>
              </m:r>
              <m:r>
                <m:rPr>
                  <m:sty m:val="p"/>
                </m:rPr>
                <m:t>=</m:t>
              </m:r>
              <m:r>
                <m:t>3</m:t>
              </m:r>
            </m:oMath>
            <w:r>
              <w:t xml:space="preserve">)</w:t>
            </w:r>
          </w:p>
        </w:tc>
        <w:tc>
          <w:tcPr/>
          <w:p>
            <w:pPr>
              <w:pStyle w:val="Compact"/>
              <w:jc w:val="left"/>
            </w:pPr>
            <w:r>
              <w:t xml:space="preserve">3</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0.642</w:t>
            </w:r>
          </w:p>
        </w:tc>
        <w:tc>
          <w:tcPr/>
          <w:p>
            <w:pPr>
              <w:pStyle w:val="Compact"/>
              <w:jc w:val="left"/>
            </w:pPr>
            <w:r>
              <w:t xml:space="preserve">0.007</w:t>
            </w:r>
          </w:p>
        </w:tc>
      </w:tr>
    </w:tbl>
    <w:p>
      <w:pPr>
        <w:pStyle w:val="BodyText"/>
      </w:pPr>
      <w:r>
        <w:rPr>
          <w:iCs/>
          <w:i/>
        </w:rPr>
        <w:t xml:space="preserve">Cross-validation of the final DeSurv hyperparameter configuration. The overall-best</w:t>
      </w:r>
      <w:r>
        <w:rPr>
          <w:iCs/>
          <w:i/>
        </w:rPr>
        <w:t xml:space="preserve"> </w:t>
      </w:r>
      <m:oMath>
        <m:r>
          <m:t>k</m:t>
        </m:r>
        <m:r>
          <m:rPr>
            <m:sty m:val="p"/>
          </m:rPr>
          <m:t>=</m:t>
        </m:r>
        <m:r>
          <m:t>7</m:t>
        </m:r>
      </m:oMath>
      <w:r>
        <w:rPr>
          <w:iCs/>
          <w:i/>
        </w:rPr>
        <w:t xml:space="preserve"> </w:t>
      </w:r>
      <w:r>
        <w:rPr>
          <w:iCs/>
          <w:i/>
        </w:rPr>
        <w:t xml:space="preserve">configuration, the best</w:t>
      </w:r>
      <w:r>
        <w:rPr>
          <w:iCs/>
          <w:i/>
        </w:rPr>
        <w:t xml:space="preserve"> </w:t>
      </w:r>
      <m:oMath>
        <m:r>
          <m:t>k</m:t>
        </m:r>
        <m:r>
          <m:rPr>
            <m:sty m:val="p"/>
          </m:rPr>
          <m:t>=</m:t>
        </m:r>
        <m:r>
          <m:t>3</m:t>
        </m:r>
      </m:oMath>
      <w:r>
        <w:rPr>
          <w:iCs/>
          <w:i/>
        </w:rPr>
        <w:t xml:space="preserve"> </w:t>
      </w:r>
      <w:r>
        <w:rPr>
          <w:iCs/>
          <w:i/>
        </w:rPr>
        <w:t xml:space="preserve">configuration identified during Bayesian optimization, and the final fitted</w:t>
      </w:r>
      <w:r>
        <w:rPr>
          <w:iCs/>
          <w:i/>
        </w:rPr>
        <w:t xml:space="preserve"> </w:t>
      </w:r>
      <m:oMath>
        <m:r>
          <m:t>k</m:t>
        </m:r>
        <m:r>
          <m:rPr>
            <m:sty m:val="p"/>
          </m:rPr>
          <m:t>=</m:t>
        </m:r>
        <m:r>
          <m:t>3</m:t>
        </m:r>
      </m:oMath>
      <w:r>
        <w:rPr>
          <w:iCs/>
          <w:i/>
        </w:rPr>
        <w:t xml:space="preserve"> </w:t>
      </w:r>
      <w:r>
        <w:rPr>
          <w:iCs/>
          <w:i/>
        </w:rPr>
        <w:t xml:space="preserve">configuration were re-evaluated using the same DeSurv software build and the Bayesian-optimization cross-validation protocol: five folds constructed within the training data and stratified jointly by event status and cohort (seed 123), 30 random initializations per configuration and fold, and the same preprocessing, stopping tolerance, iteration cap and</w:t>
      </w:r>
      <w:r>
        <w:rPr>
          <w:iCs/>
          <w:i/>
        </w:rPr>
        <w:t xml:space="preserve"> </w:t>
      </w:r>
      <m:oMath>
        <m:sSub>
          <m:e>
            <m:r>
              <m:t>n</m:t>
            </m:r>
          </m:e>
          <m:sub>
            <m:r>
              <m:rPr>
                <m:nor/>
                <m:sty m:val="p"/>
              </m:rPr>
              <m:t>top</m:t>
            </m:r>
          </m:sub>
        </m:sSub>
      </m:oMath>
      <w:r>
        <w:rPr>
          <w:iCs/>
          <w:i/>
        </w:rPr>
        <w:t xml:space="preserve">-based scoring procedure. Values are mean Harrell C-index across folds with fold-level standard error. The cached Bayesian-optimization history was generated with an earlier DeSurv installation whose package version was not recorded; the best</w:t>
      </w:r>
      <w:r>
        <w:rPr>
          <w:iCs/>
          <w:i/>
        </w:rPr>
        <w:t xml:space="preserve"> </w:t>
      </w:r>
      <m:oMath>
        <m:r>
          <m:t>k</m:t>
        </m:r>
        <m:r>
          <m:rPr>
            <m:sty m:val="p"/>
          </m:rPr>
          <m:t>=</m:t>
        </m:r>
        <m:r>
          <m:t>3</m:t>
        </m:r>
      </m:oMath>
      <w:r>
        <w:rPr>
          <w:iCs/>
          <w:i/>
        </w:rPr>
        <w:t xml:space="preserve"> </w:t>
      </w:r>
      <w:r>
        <w:rPr>
          <w:iCs/>
          <w:i/>
        </w:rPr>
        <w:t xml:space="preserve">configuration has C-index 0.647 under the current build versus 0.646 in the historical optimization object. The same-build values shown here are therefore used for direct numerical comparison. The final configuration lies 0.002 below the recomputed one-standard-error threshold of 0.644 (0.655 minus its fold-level standard error).</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program</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 The surface is a two-dimensional slice of the fitted five-parameter Gaussian process through the Bayesian-optimization-selected values of the top-gene count, ridge penalty and elastic-net mixing parameter (</w:t>
      </w:r>
      <m:oMath>
        <m:sSub>
          <m:e>
            <m:r>
              <m:t>n</m:t>
            </m:r>
          </m:e>
          <m:sub>
            <m:r>
              <m:rPr>
                <m:nor/>
                <m:sty m:val="p"/>
              </m:rPr>
              <m:t>top</m:t>
            </m:r>
          </m:sub>
        </m:sSub>
      </m:oMath>
      <w:r>
        <w:rPr>
          <w:iCs/>
          <w:i/>
        </w:rPr>
        <w:t xml:space="preserve">,</w:t>
      </w:r>
      <w:r>
        <w:rPr>
          <w:iCs/>
          <w:i/>
        </w:rPr>
        <w:t xml:space="preserve"> </w:t>
      </w:r>
      <m:oMath>
        <m:r>
          <m:t>λ</m:t>
        </m:r>
      </m:oMath>
      <w:r>
        <w:rPr>
          <w:iCs/>
          <w:i/>
        </w:rPr>
        <w:t xml:space="preserve">,</w:t>
      </w:r>
      <w:r>
        <w:rPr>
          <w:iCs/>
          <w:i/>
        </w:rPr>
        <w:t xml:space="preserve"> </w:t>
      </w:r>
      <m:oMath>
        <m:r>
          <m:t>ξ</m:t>
        </m:r>
      </m:oMath>
      <w:r>
        <w:rPr>
          <w:iCs/>
          <w:i/>
        </w:rPr>
        <w:t xml:space="preserve">), not a marginal or profile surface over those hyperparameters.</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13</w:t>
        </w:r>
      </w:hyperlink>
      <w:r>
        <w:rPr>
          <w:vertAlign w:val="superscript"/>
        </w:rPr>
        <w:t xml:space="preserve">,</w:t>
      </w:r>
      <w:hyperlink w:anchor="ref-cao2021proteogenomic">
        <w:r>
          <w:rPr>
            <w:rStyle w:val="Hyperlink"/>
            <w:vertAlign w:val="superscript"/>
          </w:rPr>
          <w:t xml:space="preserve">14</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15</w:t>
        </w:r>
      </w:hyperlink>
      <w:r>
        <w:rPr>
          <w:vertAlign w:val="superscript"/>
        </w:rPr>
        <w:t xml:space="preserve">–</w:t>
      </w:r>
      <w:hyperlink w:anchor="ref-puleo2018stratification">
        <w:r>
          <w:rPr>
            <w:rStyle w:val="Hyperlink"/>
            <w:vertAlign w:val="superscript"/>
          </w:rPr>
          <w:t xml:space="preserve">18</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19</w:t>
        </w:r>
      </w:hyperlink>
      <w:r>
        <w:t xml:space="preserve"> </w:t>
      </w:r>
      <w:r>
        <w:t xml:space="preserve">and DeCAF</w:t>
      </w:r>
      <w:hyperlink w:anchor="ref-peng2024determination">
        <w:r>
          <w:rPr>
            <w:rStyle w:val="Hyperlink"/>
            <w:vertAlign w:val="superscript"/>
          </w:rPr>
          <w:t xml:space="preserve">20</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20</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whose impact on transportability is tested by external validation.</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19</w:t>
        </w:r>
      </w:hyperlink>
      <w:r>
        <w:t xml:space="preserve">; the DECODER compartment signatures</w:t>
      </w:r>
      <w:hyperlink w:anchor="ref-peng2019novo">
        <w:r>
          <w:rPr>
            <w:rStyle w:val="Hyperlink"/>
            <w:vertAlign w:val="superscript"/>
          </w:rPr>
          <w:t xml:space="preserve">21</w:t>
        </w:r>
      </w:hyperlink>
      <w:r>
        <w:t xml:space="preserve">; the</w:t>
      </w:r>
      <w:r>
        <w:t xml:space="preserve"> </w:t>
      </w:r>
      <w:r>
        <w:t xml:space="preserve">Moffitt tumor, stroma and immune programs</w:t>
      </w:r>
      <w:hyperlink w:anchor="ref-moffitt2015virtual">
        <w:r>
          <w:rPr>
            <w:rStyle w:val="Hyperlink"/>
            <w:vertAlign w:val="superscript"/>
          </w:rPr>
          <w:t xml:space="preserve">16</w:t>
        </w:r>
      </w:hyperlink>
      <w:r>
        <w:t xml:space="preserve">; the Collisson</w:t>
      </w:r>
      <w:r>
        <w:t xml:space="preserve"> </w:t>
      </w:r>
      <w:r>
        <w:t xml:space="preserve">subtypes</w:t>
      </w:r>
      <w:hyperlink w:anchor="ref-collisson2011subtypes">
        <w:r>
          <w:rPr>
            <w:rStyle w:val="Hyperlink"/>
            <w:vertAlign w:val="superscript"/>
          </w:rPr>
          <w:t xml:space="preserve">22</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17</w:t>
        </w:r>
      </w:hyperlink>
      <w:r>
        <w:t xml:space="preserve">; the Chan-Seng-Yue</w:t>
      </w:r>
      <w:r>
        <w:t xml:space="preserve"> </w:t>
      </w:r>
      <w:r>
        <w:t xml:space="preserve">subtypes</w:t>
      </w:r>
      <w:hyperlink w:anchor="ref-chansengyue2020transcription">
        <w:r>
          <w:rPr>
            <w:rStyle w:val="Hyperlink"/>
            <w:vertAlign w:val="superscript"/>
          </w:rPr>
          <w:t xml:space="preserve">23</w:t>
        </w:r>
      </w:hyperlink>
      <w:r>
        <w:t xml:space="preserve">; the Maurer ECM and immune programs</w:t>
      </w:r>
      <w:hyperlink w:anchor="ref-Maurer2019">
        <w:r>
          <w:rPr>
            <w:rStyle w:val="Hyperlink"/>
            <w:vertAlign w:val="superscript"/>
          </w:rPr>
          <w:t xml:space="preserve">24</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18</w:t>
        </w:r>
      </w:hyperlink>
      <w:r>
        <w:t xml:space="preserve">; the Elyada iCAF and</w:t>
      </w:r>
      <w:r>
        <w:t xml:space="preserve"> </w:t>
      </w:r>
      <w:r>
        <w:t xml:space="preserve">myCAF signatures</w:t>
      </w:r>
      <w:hyperlink w:anchor="ref-elyada2019cross">
        <w:r>
          <w:rPr>
            <w:rStyle w:val="Hyperlink"/>
            <w:vertAlign w:val="superscript"/>
          </w:rPr>
          <w:t xml:space="preserve">25</w:t>
        </w:r>
      </w:hyperlink>
      <w:r>
        <w:t xml:space="preserve">; the SCISSORS fibroblast and tumor</w:t>
      </w:r>
      <w:r>
        <w:t xml:space="preserve"> </w:t>
      </w:r>
      <w:r>
        <w:t xml:space="preserve">signatures</w:t>
      </w:r>
      <w:hyperlink w:anchor="ref-leary2023s">
        <w:r>
          <w:rPr>
            <w:rStyle w:val="Hyperlink"/>
            <w:vertAlign w:val="superscript"/>
          </w:rPr>
          <w:t xml:space="preserve">26</w:t>
        </w:r>
      </w:hyperlink>
      <w:r>
        <w:t xml:space="preserve">; and the DeCAF proCAF and restCAF programs</w:t>
      </w:r>
      <w:hyperlink w:anchor="ref-peng2024determination">
        <w:r>
          <w:rPr>
            <w:rStyle w:val="Hyperlink"/>
            <w:vertAlign w:val="superscript"/>
          </w:rPr>
          <w:t xml:space="preserve">20</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27</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standard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r>
        <w:tc>
          <w:tcPr/>
          <w:p>
            <w:pPr>
              <w:pStyle w:val="Compact"/>
              <w:jc w:val="left"/>
            </w:pPr>
            <w:r>
              <w:t xml:space="preserve">code/29</w:t>
            </w:r>
          </w:p>
        </w:tc>
        <w:tc>
          <w:tcPr/>
          <w:p>
            <w:pPr>
              <w:pStyle w:val="Compact"/>
              <w:jc w:val="left"/>
            </w:pPr>
            <w:r>
              <w:t xml:space="preserve">Re-evaluates the overall-best, best</w:t>
            </w:r>
            <w:r>
              <w:t xml:space="preserve"> </w:t>
            </w:r>
            <m:oMath>
              <m:r>
                <m:t>k</m:t>
              </m:r>
              <m:r>
                <m:rPr>
                  <m:sty m:val="p"/>
                </m:rPr>
                <m:t>=</m:t>
              </m:r>
              <m:r>
                <m:t>3</m:t>
              </m:r>
            </m:oMath>
            <w:r>
              <w:t xml:space="preserve"> </w:t>
            </w:r>
            <w:r>
              <w:t xml:space="preserve">and final hyperparameter configurations under the Bayesian-optimization cross-validation protocol (Table [tab:final-config-cv])</w:t>
            </w:r>
          </w:p>
        </w:tc>
        <w:tc>
          <w:tcPr/>
          <w:p>
            <w:pPr>
              <w:pStyle w:val="Compact"/>
              <w:jc w:val="left"/>
            </w:pPr>
            <w:r>
              <w:t xml:space="preserve">Section [sec:bo]</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standard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standard NMF basis (Table [tab:projection-r2]), and standard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are each strongly correlated with D1 (green), whereas the leading unsupervised principal component is only weakly correlated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(correspondence between each supervised risk score and the DeSurv programs was quantified in the training cohort by absolute Pearson correlation;</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and neither mechanism matches DeSurv’s. The penalized Cox comparator uses a pure lasso penalty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lasso Cox selected a median of 14 genes (range 9–33) and supervised principal components 39 (range 5–222), and both were tuned by their standard method-specific cross-validation rather than a budget matched to DeSurv.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28</w:t>
        </w:r>
      </w:hyperlink>
      <w:r>
        <w:rPr>
          <w:vertAlign w:val="superscript"/>
        </w:rPr>
        <w:t xml:space="preserve">,</w:t>
      </w:r>
      <w:hyperlink w:anchor="ref-antolini2005timedependent">
        <w:r>
          <w:rPr>
            <w:rStyle w:val="Hyperlink"/>
            <w:vertAlign w:val="superscript"/>
          </w:rPr>
          <w:t xml:space="preserve">29</w:t>
        </w:r>
      </w:hyperlink>
      <w:r>
        <w:t xml:space="preserve">, and it is not a proper</w:t>
      </w:r>
      <w:r>
        <w:t xml:space="preserve"> </w:t>
      </w:r>
      <w:r>
        <w:t xml:space="preserve">scoring rule for predicted risks</w:t>
      </w:r>
      <w:hyperlink w:anchor="ref-blanche2019cindex">
        <w:r>
          <w:rPr>
            <w:rStyle w:val="Hyperlink"/>
            <w:vertAlign w:val="superscript"/>
          </w:rPr>
          <w:t xml:space="preserve">30</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3"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Start w:id="52" w:name="X01a76f6aac1a5b3400dbeb743b05240455b4886"/>
    <w:p>
      <w:pPr>
        <w:pStyle w:val="Heading2"/>
      </w:pPr>
      <w:r>
        <w:t xml:space="preserve">Leave-one-dataset-out sensitivity of the pooled hazard ratio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 omitted</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pooled SD (95% CI)</w:t>
            </w:r>
          </w:p>
        </w:tc>
        <w:tc>
          <w:tcPr/>
          <w:p>
            <w:pPr>
              <w:pStyle w:val="Compact"/>
              <w:jc w:val="left"/>
            </w:pPr>
            <m:oMath>
              <m:r>
                <m:t>P</m:t>
              </m:r>
            </m:oMath>
          </w:p>
        </w:tc>
      </w:tr>
      <w:tr>
        <w:tc>
          <w:tcPr/>
          <w:p>
            <w:pPr>
              <w:pStyle w:val="Compact"/>
              <w:jc w:val="left"/>
            </w:pPr>
            <w:r>
              <w:t xml:space="preserve">None (all datasets)</w:t>
            </w:r>
          </w:p>
        </w:tc>
        <w:tc>
          <w:tcPr/>
          <w:p>
            <w:pPr>
              <w:pStyle w:val="Compact"/>
              <w:jc w:val="left"/>
            </w:pPr>
            <w:r>
              <w:t xml:space="preserve">570</w:t>
            </w:r>
          </w:p>
        </w:tc>
        <w:tc>
          <w:tcPr/>
          <w:p>
            <w:pPr>
              <w:pStyle w:val="Compact"/>
              <w:jc w:val="left"/>
            </w:pPr>
            <w:r>
              <w:t xml:space="preserve">388</w:t>
            </w:r>
          </w:p>
        </w:tc>
        <w:tc>
          <w:tcPr/>
          <w:p>
            <w:pPr>
              <w:pStyle w:val="Compact"/>
              <w:jc w:val="left"/>
            </w:pPr>
            <w:r>
              <w:t xml:space="preserve">1.42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Dijk</w:t>
            </w:r>
          </w:p>
        </w:tc>
        <w:tc>
          <w:tcPr/>
          <w:p>
            <w:pPr>
              <w:pStyle w:val="Compact"/>
              <w:jc w:val="left"/>
            </w:pPr>
            <w:r>
              <w:t xml:space="preserve">480</w:t>
            </w:r>
          </w:p>
        </w:tc>
        <w:tc>
          <w:tcPr/>
          <w:p>
            <w:pPr>
              <w:pStyle w:val="Compact"/>
              <w:jc w:val="left"/>
            </w:pPr>
            <w:r>
              <w:t xml:space="preserve">307</w:t>
            </w:r>
          </w:p>
        </w:tc>
        <w:tc>
          <w:tcPr/>
          <w:p>
            <w:pPr>
              <w:pStyle w:val="Compact"/>
              <w:jc w:val="left"/>
            </w:pPr>
            <w:r>
              <w:t xml:space="preserve">1.45 (1.27–1.67)</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Moffitt GEO array</w:t>
            </w:r>
          </w:p>
        </w:tc>
        <w:tc>
          <w:tcPr/>
          <w:p>
            <w:pPr>
              <w:pStyle w:val="Compact"/>
              <w:jc w:val="left"/>
            </w:pPr>
            <w:r>
              <w:t xml:space="preserve">447</w:t>
            </w:r>
          </w:p>
        </w:tc>
        <w:tc>
          <w:tcPr/>
          <w:p>
            <w:pPr>
              <w:pStyle w:val="Compact"/>
              <w:jc w:val="left"/>
            </w:pPr>
            <w:r>
              <w:t xml:space="preserve">305</w:t>
            </w:r>
          </w:p>
        </w:tc>
        <w:tc>
          <w:tcPr/>
          <w:p>
            <w:pPr>
              <w:pStyle w:val="Compact"/>
              <w:jc w:val="left"/>
            </w:pPr>
            <w:r>
              <w:t xml:space="preserve">1.44 (1.27–1.64)</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array</w:t>
            </w:r>
          </w:p>
        </w:tc>
        <w:tc>
          <w:tcPr/>
          <w:p>
            <w:pPr>
              <w:pStyle w:val="Compact"/>
              <w:jc w:val="left"/>
            </w:pPr>
            <w:r>
              <w:t xml:space="preserve">553</w:t>
            </w:r>
          </w:p>
        </w:tc>
        <w:tc>
          <w:tcPr/>
          <w:p>
            <w:pPr>
              <w:pStyle w:val="Compact"/>
              <w:jc w:val="left"/>
            </w:pPr>
            <w:r>
              <w:t xml:space="preserve">376</w:t>
            </w:r>
          </w:p>
        </w:tc>
        <w:tc>
          <w:tcPr/>
          <w:p>
            <w:pPr>
              <w:pStyle w:val="Compact"/>
              <w:jc w:val="left"/>
            </w:pPr>
            <w:r>
              <w:t xml:space="preserve">1.41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RNA-seq</w:t>
            </w:r>
          </w:p>
        </w:tc>
        <w:tc>
          <w:tcPr/>
          <w:p>
            <w:pPr>
              <w:pStyle w:val="Compact"/>
              <w:jc w:val="left"/>
            </w:pPr>
            <w:r>
              <w:t xml:space="preserve">518</w:t>
            </w:r>
          </w:p>
        </w:tc>
        <w:tc>
          <w:tcPr/>
          <w:p>
            <w:pPr>
              <w:pStyle w:val="Compact"/>
              <w:jc w:val="left"/>
            </w:pPr>
            <w:r>
              <w:t xml:space="preserve">357</w:t>
            </w:r>
          </w:p>
        </w:tc>
        <w:tc>
          <w:tcPr/>
          <w:p>
            <w:pPr>
              <w:pStyle w:val="Compact"/>
              <w:jc w:val="left"/>
            </w:pPr>
            <w:r>
              <w:t xml:space="preserve">1.38 (1.22–1.56)</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Puleo</w:t>
            </w:r>
          </w:p>
        </w:tc>
        <w:tc>
          <w:tcPr/>
          <w:p>
            <w:pPr>
              <w:pStyle w:val="Compact"/>
              <w:jc w:val="left"/>
            </w:pPr>
            <w:r>
              <w:t xml:space="preserve">282</w:t>
            </w:r>
          </w:p>
        </w:tc>
        <w:tc>
          <w:tcPr/>
          <w:p>
            <w:pPr>
              <w:pStyle w:val="Compact"/>
              <w:jc w:val="left"/>
            </w:pPr>
            <w:r>
              <w:t xml:space="preserve">207</w:t>
            </w:r>
          </w:p>
        </w:tc>
        <w:tc>
          <w:tcPr/>
          <w:p>
            <w:pPr>
              <w:pStyle w:val="Compact"/>
              <w:jc w:val="left"/>
            </w:pPr>
            <w:r>
              <w:t xml:space="preserve">1.34 (1.17–1.55)</w:t>
            </w:r>
          </w:p>
        </w:tc>
        <w:tc>
          <w:tcPr/>
          <w:p>
            <w:pPr>
              <w:pStyle w:val="Compact"/>
              <w:jc w:val="left"/>
            </w:pPr>
            <m:oMath>
              <m:r>
                <m:rPr>
                  <m:sty m:val="p"/>
                </m:rPr>
                <m:t>&lt;</m:t>
              </m:r>
              <m:sSup>
                <m:e>
                  <m:r>
                    <m:t>10</m:t>
                  </m:r>
                </m:e>
                <m:sup>
                  <m:r>
                    <m:rPr>
                      <m:sty m:val="p"/>
                    </m:rPr>
                    <m:t>−</m:t>
                  </m:r>
                  <m:r>
                    <m:t>4</m:t>
                  </m:r>
                </m:sup>
              </m:sSup>
            </m:oMath>
          </w:p>
        </w:tc>
      </w:tr>
    </w:tbl>
    <w:p>
      <w:pPr>
        <w:pStyle w:val="BodyText"/>
      </w:pPr>
      <w:r>
        <w:rPr>
          <w:iCs/>
          <w:i/>
        </w:rPr>
        <w:t xml:space="preserve">Leave-one-dataset-out sensitivity of the pooled external-validation hazard ratio for the frozen DeSurv linear predictor. Each row refits the dataset-stratified Cox model on the de-duplicated patient-level table with the named validation dataset omitted; the first row is the full combined estimate reported in main-text Table [tab:hr-adjusted]. Hazard ratios are per pooled standard deviation of the linear predictor, recomputed within each subset, the same convention as the headline pooled estimate and not the within-cohort convention of Table [tab:het-ci]. Puleo contributes 288 of the 570 unique patients, which is why this sensitivity analysis is reported.</w:t>
      </w:r>
    </w:p>
    <w:bookmarkEnd w:id="52"/>
    <w:bookmarkEnd w:id="53"/>
    <w:bookmarkStart w:id="54"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4"/>
    <w:bookmarkStart w:id="55"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5"/>
    <w:bookmarkStart w:id="5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6"/>
    <w:bookmarkStart w:id="5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stable to restart-pool composition within the observed training data.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stable to restart-pool composition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7"/>
    <w:bookmarkStart w:id="58" w:name="simulation-design-and-data-generation"/>
    <w:p>
      <w:pPr>
        <w:pStyle w:val="Heading1"/>
      </w:pPr>
      <w:r>
        <w:t xml:space="preserve">Simulation design and data generation</w:t>
      </w:r>
    </w:p>
    <w:p>
      <w:pPr>
        <w:pStyle w:val="FirstParagraph"/>
      </w:pPr>
      <w:r>
        <w:t xml:space="preserve">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w:t>
      </w:r>
    </w:p>
    <w:p>
      <w:pPr>
        <w:pStyle w:val="BodyText"/>
      </w:pPr>
      <w:r>
        <w:t xml:space="preserve">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main-text model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w:t>
      </w:r>
    </w:p>
    <w:p>
      <w:pPr>
        <w:pStyle w:val="BodyText"/>
      </w:pPr>
      <w:r>
        <w:t xml:space="preserve">Recovery of the prognostic gene set was summarized by matched-factor precision, defined in the main-text Methods, and by global marker recall, defined below in Simulation results under null and mixed scenarios. The ground-truth target against which both are scored is scenario-specific. In the prognostic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8"/>
    <w:bookmarkStart w:id="62"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(Simulation design and data generation).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Matched-factor precision is optimistic by construction, because the matched factor is selected using the same precision that is then reported; global marker recall, which searches the union of all learned factors, is the matching-free complement.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60" name="Picture"/>
            <a:graphic>
              <a:graphicData uri="http://schemas.openxmlformats.org/drawingml/2006/picture">
                <pic:pic>
                  <pic:nvPicPr>
                    <pic:cNvPr descr=".docx_media/figures_fig_sim_null_mixed_1.png" id="61" name="Picture"/>
                    <pic:cNvPicPr>
                      <a:picLocks noChangeArrowheads="1" noChangeAspect="1"/>
                    </pic:cNvPicPr>
                  </pic:nvPicPr>
                  <pic:blipFill>
                    <a:blip r:embed="rId59"/>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2"/>
    <w:bookmarkStart w:id="66"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4" name="Picture"/>
            <a:graphic>
              <a:graphicData uri="http://schemas.openxmlformats.org/drawingml/2006/picture">
                <pic:pic>
                  <pic:nvPicPr>
                    <pic:cNvPr descr=".docx_media/figures_fig_cindex_by_k_1.png" id="65" name="Picture"/>
                    <pic:cNvPicPr>
                      <a:picLocks noChangeArrowheads="1" noChangeAspect="1"/>
                    </pic:cNvPicPr>
                  </pic:nvPicPr>
                  <pic:blipFill>
                    <a:blip r:embed="rId63"/>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a single Harrell concordance computed on the de-duplicated external patients of the four validation cohorts pooled together, so concordance pairs cross cohorts, with the ribbon giving plus or minus one standard error from that single concordance estimate. This descriptive quantity differs from the primary combined external C-index reported in the main text, which is an event-weighted mean of four cohort-specific C-indices, and the two are not directly comparable.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6"/>
    <w:bookmarkStart w:id="70"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standard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8" name="Picture"/>
            <a:graphic>
              <a:graphicData uri="http://schemas.openxmlformats.org/drawingml/2006/picture">
                <pic:pic>
                  <pic:nvPicPr>
                    <pic:cNvPr descr=".docx_media/figures_fig_nmf_diagnostics_1.png" id="69" name="Picture"/>
                    <pic:cNvPicPr>
                      <a:picLocks noChangeArrowheads="1" noChangeAspect="1"/>
                    </pic:cNvPicPr>
                  </pic:nvPicPr>
                  <pic:blipFill>
                    <a:blip r:embed="rId67"/>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70"/>
    <w:bookmarkStart w:id="80"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standard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2" name="Picture"/>
            <a:graphic>
              <a:graphicData uri="http://schemas.openxmlformats.org/drawingml/2006/picture">
                <pic:pic>
                  <pic:nvPicPr>
                    <pic:cNvPr descr="figures/fig-nmf-k7-heatmap-1.png" id="73" name="Picture"/>
                    <pic:cNvPicPr>
                      <a:picLocks noChangeArrowheads="1" noChangeAspect="1"/>
                    </pic:cNvPicPr>
                  </pic:nvPicPr>
                  <pic:blipFill>
                    <a:blip r:embed="rId71"/>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7"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5" name="Picture"/>
            <a:graphic>
              <a:graphicData uri="http://schemas.openxmlformats.org/drawingml/2006/picture">
                <pic:pic>
                  <pic:nvPicPr>
                    <pic:cNvPr descr=".docx_media/figures_fig_reference_program_multiplicity.png" id="76" name="Picture"/>
                    <pic:cNvPicPr>
                      <a:picLocks noChangeArrowheads="1" noChangeAspect="1"/>
                    </pic:cNvPicPr>
                  </pic:nvPicPr>
                  <pic:blipFill>
                    <a:blip r:embed="rId74"/>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standard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standard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standard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standard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Its external discrimination is no better than that of</w:t>
      </w:r>
      <w:r>
        <w:rPr>
          <w:iCs/>
          <w:i/>
        </w:rPr>
        <w:t xml:space="preserve"> </w:t>
      </w:r>
      <w:r>
        <w:rPr>
          <w:rStyle w:val="VerbatimChar"/>
          <w:iCs/>
          <w:i/>
        </w:rPr>
        <w:t xml:space="preserve">NMF::nmf</w:t>
      </w:r>
      <w:r>
        <w:rPr>
          <w:iCs/>
          <w:i/>
        </w:rPr>
        <w:t xml:space="preserve"> </w:t>
      </w:r>
      <w:r>
        <w:rPr>
          <w:iCs/>
          <w:i/>
        </w:rPr>
        <w:t xml:space="preserve">at the same rank, a comparison made across the two implementations described here.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7"/>
    <w:bookmarkStart w:id="78"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8"/>
    <w:bookmarkStart w:id="79"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standard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standard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9"/>
    <w:bookmarkEnd w:id="80"/>
    <w:bookmarkStart w:id="81"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projected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81"/>
    <w:bookmarkStart w:id="85"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Because the omission rule drops rather than imputes missing support genes, a projected score is comparable within a treated cohort but not on the same absolute scale as the training-cohort score.</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2"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2"/>
    <w:bookmarkStart w:id="83"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3"/>
    <w:bookmarkStart w:id="84"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4"/>
    <w:bookmarkEnd w:id="85"/>
    <w:bookmarkStart w:id="140" w:name="bibliography"/>
    <w:p>
      <w:pPr>
        <w:pStyle w:val="Heading1"/>
      </w:pPr>
      <w:r>
        <w:t xml:space="preserve">SI References</w:t>
      </w:r>
    </w:p>
    <w:bookmarkStart w:id="139" w:name="refs"/>
    <w:bookmarkStart w:id="86"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6"/>
    <w:bookmarkStart w:id="88"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7">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8"/>
    <w:bookmarkStart w:id="90" w:name="ref-simon2011regularization"/>
    <w:p>
      <w:pPr>
        <w:pStyle w:val="Bibliography"/>
      </w:pPr>
      <w:r>
        <w:t xml:space="preserve">3.</w:t>
      </w:r>
      <w:r>
        <w:t xml:space="preserve"> </w:t>
      </w:r>
      <w:r>
        <w:t xml:space="preserve">	</w:t>
      </w:r>
      <w:r>
        <w:t xml:space="preserve">Simon, N., Friedman, J. H., Hastie, T. &amp; Tibshirani, R.</w:t>
      </w:r>
      <w:r>
        <w:t xml:space="preserve"> </w:t>
      </w:r>
      <w:hyperlink r:id="rId89">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0"/>
    <w:bookmarkStart w:id="91"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1"/>
    <w:bookmarkStart w:id="93"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3"/>
    <w:bookmarkStart w:id="94"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4"/>
    <w:bookmarkStart w:id="96" w:name="ref-brunet2004metagenes"/>
    <w:p>
      <w:pPr>
        <w:pStyle w:val="Bibliography"/>
      </w:pPr>
      <w:r>
        <w:t xml:space="preserve">7.</w:t>
      </w:r>
      <w:r>
        <w:t xml:space="preserve"> </w:t>
      </w:r>
      <w:r>
        <w:t xml:space="preserve">	</w:t>
      </w:r>
      <w:r>
        <w:t xml:space="preserve">Brunet, J.-P., Tamayo, P., Golub, T. R. &amp; Mesirov, J. P.</w:t>
      </w:r>
      <w:r>
        <w:t xml:space="preserve"> </w:t>
      </w:r>
      <w:hyperlink r:id="rId95">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6"/>
    <w:bookmarkStart w:id="98"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7">
        <w:r>
          <w:rPr>
            <w:rStyle w:val="Hyperlink"/>
          </w:rPr>
          <w:t xml:space="preserve">https://faculty.cc.gatech.edu/~hpark/papers/GT-CSE-08-01.pdf</w:t>
        </w:r>
      </w:hyperlink>
      <w:r>
        <w:t xml:space="preserve"> </w:t>
      </w:r>
      <w:r>
        <w:t xml:space="preserve">(2008).</w:t>
      </w:r>
    </w:p>
    <w:bookmarkEnd w:id="98"/>
    <w:bookmarkStart w:id="100" w:name="ref-gillis2012accelerated"/>
    <w:p>
      <w:pPr>
        <w:pStyle w:val="Bibliography"/>
      </w:pPr>
      <w:r>
        <w:t xml:space="preserve">9.</w:t>
      </w:r>
      <w:r>
        <w:t xml:space="preserve"> </w:t>
      </w:r>
      <w:r>
        <w:t xml:space="preserve">	</w:t>
      </w:r>
      <w:r>
        <w:t xml:space="preserve">Gillis, N. &amp; Glineur, F.</w:t>
      </w:r>
      <w:r>
        <w:t xml:space="preserve"> </w:t>
      </w:r>
      <w:hyperlink r:id="rId99">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100"/>
    <w:bookmarkStart w:id="101" w:name="ref-huang2020low"/>
    <w:p>
      <w:pPr>
        <w:pStyle w:val="Bibliography"/>
      </w:pPr>
      <w:r>
        <w:t xml:space="preserve">10.</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01"/>
    <w:bookmarkStart w:id="102" w:name="ref-le2025survnmf"/>
    <w:p>
      <w:pPr>
        <w:pStyle w:val="Bibliography"/>
      </w:pPr>
      <w:r>
        <w:t xml:space="preserve">11.</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02"/>
    <w:bookmarkStart w:id="103" w:name="ref-blei2007slda"/>
    <w:p>
      <w:pPr>
        <w:pStyle w:val="Bibliography"/>
      </w:pPr>
      <w:r>
        <w:t xml:space="preserve">12.</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103"/>
    <w:bookmarkStart w:id="105" w:name="ref-raphael2017integrated"/>
    <w:p>
      <w:pPr>
        <w:pStyle w:val="Bibliography"/>
      </w:pPr>
      <w:r>
        <w:t xml:space="preserve">13.</w:t>
      </w:r>
      <w:r>
        <w:t xml:space="preserve"> </w:t>
      </w:r>
      <w:r>
        <w:t xml:space="preserve">	</w:t>
      </w:r>
      <w:r>
        <w:t xml:space="preserve">Raphael, B. J.</w:t>
      </w:r>
      <w:r>
        <w:t xml:space="preserve"> </w:t>
      </w:r>
      <w:r>
        <w:rPr>
          <w:iCs/>
          <w:i/>
        </w:rPr>
        <w:t xml:space="preserve">et al.</w:t>
      </w:r>
      <w:r>
        <w:t xml:space="preserve"> </w:t>
      </w:r>
      <w:hyperlink r:id="rId104">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5"/>
    <w:bookmarkStart w:id="107" w:name="ref-cao2021proteogenomic"/>
    <w:p>
      <w:pPr>
        <w:pStyle w:val="Bibliography"/>
      </w:pPr>
      <w:r>
        <w:t xml:space="preserve">14.</w:t>
      </w:r>
      <w:r>
        <w:t xml:space="preserve"> </w:t>
      </w:r>
      <w:r>
        <w:t xml:space="preserve">	</w:t>
      </w:r>
      <w:r>
        <w:t xml:space="preserve">Cao, L.</w:t>
      </w:r>
      <w:r>
        <w:t xml:space="preserve"> </w:t>
      </w:r>
      <w:r>
        <w:rPr>
          <w:iCs/>
          <w:i/>
        </w:rPr>
        <w:t xml:space="preserve">et al.</w:t>
      </w:r>
      <w:r>
        <w:t xml:space="preserve"> </w:t>
      </w:r>
      <w:hyperlink r:id="rId106">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7"/>
    <w:bookmarkStart w:id="109" w:name="ref-dijk2020unsupervised"/>
    <w:p>
      <w:pPr>
        <w:pStyle w:val="Bibliography"/>
      </w:pPr>
      <w:r>
        <w:t xml:space="preserve">15.</w:t>
      </w:r>
      <w:r>
        <w:t xml:space="preserve"> </w:t>
      </w:r>
      <w:r>
        <w:t xml:space="preserve">	</w:t>
      </w:r>
      <w:r>
        <w:t xml:space="preserve">Dijk, F.</w:t>
      </w:r>
      <w:r>
        <w:t xml:space="preserve"> </w:t>
      </w:r>
      <w:r>
        <w:rPr>
          <w:iCs/>
          <w:i/>
        </w:rPr>
        <w:t xml:space="preserve">et al.</w:t>
      </w:r>
      <w:r>
        <w:t xml:space="preserve"> </w:t>
      </w:r>
      <w:hyperlink r:id="rId108">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9"/>
    <w:bookmarkStart w:id="111" w:name="ref-moffitt2015virtual"/>
    <w:p>
      <w:pPr>
        <w:pStyle w:val="Bibliography"/>
      </w:pPr>
      <w:r>
        <w:t xml:space="preserve">16.</w:t>
      </w:r>
      <w:r>
        <w:t xml:space="preserve"> </w:t>
      </w:r>
      <w:r>
        <w:t xml:space="preserve">	</w:t>
      </w:r>
      <w:r>
        <w:t xml:space="preserve">Moffitt, R. A.</w:t>
      </w:r>
      <w:r>
        <w:t xml:space="preserve"> </w:t>
      </w:r>
      <w:r>
        <w:rPr>
          <w:iCs/>
          <w:i/>
        </w:rPr>
        <w:t xml:space="preserve">et al.</w:t>
      </w:r>
      <w:r>
        <w:t xml:space="preserve"> </w:t>
      </w:r>
      <w:hyperlink r:id="rId11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11"/>
    <w:bookmarkStart w:id="113" w:name="ref-Bailey2016"/>
    <w:p>
      <w:pPr>
        <w:pStyle w:val="Bibliography"/>
      </w:pPr>
      <w:r>
        <w:t xml:space="preserve">17.</w:t>
      </w:r>
      <w:r>
        <w:t xml:space="preserve"> </w:t>
      </w:r>
      <w:r>
        <w:t xml:space="preserve">	</w:t>
      </w:r>
      <w:r>
        <w:t xml:space="preserve">Bailey, P.</w:t>
      </w:r>
      <w:r>
        <w:t xml:space="preserve"> </w:t>
      </w:r>
      <w:r>
        <w:rPr>
          <w:iCs/>
          <w:i/>
        </w:rPr>
        <w:t xml:space="preserve">et al.</w:t>
      </w:r>
      <w:r>
        <w:t xml:space="preserve"> </w:t>
      </w:r>
      <w:hyperlink r:id="rId11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13"/>
    <w:bookmarkStart w:id="115" w:name="ref-puleo2018stratification"/>
    <w:p>
      <w:pPr>
        <w:pStyle w:val="Bibliography"/>
      </w:pPr>
      <w:r>
        <w:t xml:space="preserve">18.</w:t>
      </w:r>
      <w:r>
        <w:t xml:space="preserve"> </w:t>
      </w:r>
      <w:r>
        <w:t xml:space="preserve">	</w:t>
      </w:r>
      <w:r>
        <w:t xml:space="preserve">Puleo, F.</w:t>
      </w:r>
      <w:r>
        <w:t xml:space="preserve"> </w:t>
      </w:r>
      <w:r>
        <w:rPr>
          <w:iCs/>
          <w:i/>
        </w:rPr>
        <w:t xml:space="preserve">et al.</w:t>
      </w:r>
      <w:r>
        <w:t xml:space="preserve"> </w:t>
      </w:r>
      <w:hyperlink r:id="rId114">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5"/>
    <w:bookmarkStart w:id="117" w:name="ref-rashid2020purity"/>
    <w:p>
      <w:pPr>
        <w:pStyle w:val="Bibliography"/>
      </w:pPr>
      <w:r>
        <w:t xml:space="preserve">19.</w:t>
      </w:r>
      <w:r>
        <w:t xml:space="preserve"> </w:t>
      </w:r>
      <w:r>
        <w:t xml:space="preserve">	</w:t>
      </w:r>
      <w:r>
        <w:t xml:space="preserve">Rashid, N. U.</w:t>
      </w:r>
      <w:r>
        <w:t xml:space="preserve"> </w:t>
      </w:r>
      <w:r>
        <w:rPr>
          <w:iCs/>
          <w:i/>
        </w:rPr>
        <w:t xml:space="preserve">et al.</w:t>
      </w:r>
      <w:r>
        <w:t xml:space="preserve"> </w:t>
      </w:r>
      <w:hyperlink r:id="rId116">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7"/>
    <w:bookmarkStart w:id="119" w:name="ref-peng2024determination"/>
    <w:p>
      <w:pPr>
        <w:pStyle w:val="Bibliography"/>
      </w:pPr>
      <w:r>
        <w:t xml:space="preserve">20.</w:t>
      </w:r>
      <w:r>
        <w:t xml:space="preserve"> </w:t>
      </w:r>
      <w:r>
        <w:t xml:space="preserve">	</w:t>
      </w:r>
      <w:r>
        <w:t xml:space="preserve">Peng, X. L.</w:t>
      </w:r>
      <w:r>
        <w:t xml:space="preserve"> </w:t>
      </w:r>
      <w:r>
        <w:rPr>
          <w:iCs/>
          <w:i/>
        </w:rPr>
        <w:t xml:space="preserve">et al.</w:t>
      </w:r>
      <w:r>
        <w:t xml:space="preserve"> </w:t>
      </w:r>
      <w:hyperlink r:id="rId118">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9"/>
    <w:bookmarkStart w:id="121" w:name="ref-peng2019novo"/>
    <w:p>
      <w:pPr>
        <w:pStyle w:val="Bibliography"/>
      </w:pPr>
      <w:r>
        <w:t xml:space="preserve">21.</w:t>
      </w:r>
      <w:r>
        <w:t xml:space="preserve"> </w:t>
      </w:r>
      <w:r>
        <w:t xml:space="preserve">	</w:t>
      </w:r>
      <w:r>
        <w:t xml:space="preserve">Peng, X. L., Moffitt, R. A., Torphy, R. J., Volmar, K. E. &amp; Yeh, J. J.</w:t>
      </w:r>
      <w:r>
        <w:t xml:space="preserve"> </w:t>
      </w:r>
      <w:hyperlink r:id="rId120">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21"/>
    <w:bookmarkStart w:id="123" w:name="ref-collisson2011subtypes"/>
    <w:p>
      <w:pPr>
        <w:pStyle w:val="Bibliography"/>
      </w:pPr>
      <w:r>
        <w:t xml:space="preserve">22.</w:t>
      </w:r>
      <w:r>
        <w:t xml:space="preserve"> </w:t>
      </w:r>
      <w:r>
        <w:t xml:space="preserve">	</w:t>
      </w:r>
      <w:r>
        <w:t xml:space="preserve">Collisson, E. A.</w:t>
      </w:r>
      <w:r>
        <w:t xml:space="preserve"> </w:t>
      </w:r>
      <w:r>
        <w:rPr>
          <w:iCs/>
          <w:i/>
        </w:rPr>
        <w:t xml:space="preserve">et al.</w:t>
      </w:r>
      <w:r>
        <w:t xml:space="preserve"> </w:t>
      </w:r>
      <w:hyperlink r:id="rId122">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23"/>
    <w:bookmarkStart w:id="125" w:name="ref-chansengyue2020transcription"/>
    <w:p>
      <w:pPr>
        <w:pStyle w:val="Bibliography"/>
      </w:pPr>
      <w:r>
        <w:t xml:space="preserve">23.</w:t>
      </w:r>
      <w:r>
        <w:t xml:space="preserve"> </w:t>
      </w:r>
      <w:r>
        <w:t xml:space="preserve">	</w:t>
      </w:r>
      <w:r>
        <w:t xml:space="preserve">Chan-Seng-Yue, M.</w:t>
      </w:r>
      <w:r>
        <w:t xml:space="preserve"> </w:t>
      </w:r>
      <w:r>
        <w:rPr>
          <w:iCs/>
          <w:i/>
        </w:rPr>
        <w:t xml:space="preserve">et al.</w:t>
      </w:r>
      <w:r>
        <w:t xml:space="preserve"> </w:t>
      </w:r>
      <w:hyperlink r:id="rId124">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5"/>
    <w:bookmarkStart w:id="127" w:name="ref-Maurer2019"/>
    <w:p>
      <w:pPr>
        <w:pStyle w:val="Bibliography"/>
      </w:pPr>
      <w:r>
        <w:t xml:space="preserve">24.</w:t>
      </w:r>
      <w:r>
        <w:t xml:space="preserve"> </w:t>
      </w:r>
      <w:r>
        <w:t xml:space="preserve">	</w:t>
      </w:r>
      <w:r>
        <w:t xml:space="preserve">Maurer, C.</w:t>
      </w:r>
      <w:r>
        <w:t xml:space="preserve"> </w:t>
      </w:r>
      <w:r>
        <w:rPr>
          <w:iCs/>
          <w:i/>
        </w:rPr>
        <w:t xml:space="preserve">et al.</w:t>
      </w:r>
      <w:r>
        <w:t xml:space="preserve"> </w:t>
      </w:r>
      <w:hyperlink r:id="rId126">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7"/>
    <w:bookmarkStart w:id="129" w:name="ref-elyada2019cross"/>
    <w:p>
      <w:pPr>
        <w:pStyle w:val="Bibliography"/>
      </w:pPr>
      <w:r>
        <w:t xml:space="preserve">25.</w:t>
      </w:r>
      <w:r>
        <w:t xml:space="preserve"> </w:t>
      </w:r>
      <w:r>
        <w:t xml:space="preserve">	</w:t>
      </w:r>
      <w:r>
        <w:t xml:space="preserve">Elyada, E.</w:t>
      </w:r>
      <w:r>
        <w:t xml:space="preserve"> </w:t>
      </w:r>
      <w:r>
        <w:rPr>
          <w:iCs/>
          <w:i/>
        </w:rPr>
        <w:t xml:space="preserve">et al.</w:t>
      </w:r>
      <w:r>
        <w:t xml:space="preserve"> </w:t>
      </w:r>
      <w:hyperlink r:id="rId128">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9"/>
    <w:bookmarkStart w:id="131" w:name="ref-leary2023s"/>
    <w:p>
      <w:pPr>
        <w:pStyle w:val="Bibliography"/>
      </w:pPr>
      <w:r>
        <w:t xml:space="preserve">26.</w:t>
      </w:r>
      <w:r>
        <w:t xml:space="preserve"> </w:t>
      </w:r>
      <w:r>
        <w:t xml:space="preserve">	</w:t>
      </w:r>
      <w:r>
        <w:t xml:space="preserve">Leary, J. R.</w:t>
      </w:r>
      <w:r>
        <w:t xml:space="preserve"> </w:t>
      </w:r>
      <w:r>
        <w:rPr>
          <w:iCs/>
          <w:i/>
        </w:rPr>
        <w:t xml:space="preserve">et al.</w:t>
      </w:r>
      <w:r>
        <w:t xml:space="preserve"> </w:t>
      </w:r>
      <w:hyperlink r:id="rId13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31"/>
    <w:bookmarkStart w:id="132" w:name="ref-shapley1953value"/>
    <w:p>
      <w:pPr>
        <w:pStyle w:val="Bibliography"/>
      </w:pPr>
      <w:r>
        <w:t xml:space="preserve">27.</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32"/>
    <w:bookmarkStart w:id="134" w:name="ref-uno2011cstatistics"/>
    <w:p>
      <w:pPr>
        <w:pStyle w:val="Bibliography"/>
      </w:pPr>
      <w:r>
        <w:t xml:space="preserve">28.</w:t>
      </w:r>
      <w:r>
        <w:t xml:space="preserve"> </w:t>
      </w:r>
      <w:r>
        <w:t xml:space="preserve">	</w:t>
      </w:r>
      <w:r>
        <w:t xml:space="preserve">Uno, H., Cai, T., Pencina, M. J., D’Agostino, R. B. &amp; Wei, L. J.</w:t>
      </w:r>
      <w:r>
        <w:t xml:space="preserve"> </w:t>
      </w:r>
      <w:hyperlink r:id="rId133">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4"/>
    <w:bookmarkStart w:id="136" w:name="ref-antolini2005timedependent"/>
    <w:p>
      <w:pPr>
        <w:pStyle w:val="Bibliography"/>
      </w:pPr>
      <w:r>
        <w:t xml:space="preserve">29.</w:t>
      </w:r>
      <w:r>
        <w:t xml:space="preserve"> </w:t>
      </w:r>
      <w:r>
        <w:t xml:space="preserve">	</w:t>
      </w:r>
      <w:r>
        <w:t xml:space="preserve">Antolini, L., Boracchi, P. &amp; Biganzoli, E.</w:t>
      </w:r>
      <w:r>
        <w:t xml:space="preserve"> </w:t>
      </w:r>
      <w:hyperlink r:id="rId135">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6"/>
    <w:bookmarkStart w:id="138" w:name="ref-blanche2019cindex"/>
    <w:p>
      <w:pPr>
        <w:pStyle w:val="Bibliography"/>
      </w:pPr>
      <w:r>
        <w:t xml:space="preserve">30.</w:t>
      </w:r>
      <w:r>
        <w:t xml:space="preserve"> </w:t>
      </w:r>
      <w:r>
        <w:t xml:space="preserve">	</w:t>
      </w:r>
      <w:r>
        <w:t xml:space="preserve">Blanche, P., Kattan, M. W. &amp; Gerds, T. A.</w:t>
      </w:r>
      <w:r>
        <w:t xml:space="preserve"> </w:t>
      </w:r>
      <w:hyperlink r:id="rId137">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2026-09-16T19:09:21Z</dcterms:created>
  <dcterms:modified xsi:type="dcterms:W3CDTF">2026-09-16T19:09:21Z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prognostic tumor–stroma architecture in pancreatic cancer through survival-supervised matrix factorization</vt:lpwstr>
  </property>
</Properties>
</file>