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microenvironmental</w:t>
      </w:r>
      <w:r>
        <w:t xml:space="preserve"> </w:t>
      </w:r>
      <w:r>
        <w:t xml:space="preserve">heterogeneity.</w:t>
      </w:r>
      <w:r>
        <w:t xml:space="preserve"> </w:t>
      </w:r>
      <w:r>
        <w:t xml:space="preserve">However,</w:t>
      </w:r>
      <w:r>
        <w:t xml:space="preserve"> </w:t>
      </w:r>
      <w:r>
        <w:t xml:space="preserve">unsupervised</w:t>
      </w:r>
      <w:r>
        <w:t xml:space="preserve"> </w:t>
      </w:r>
      <w:r>
        <w:t xml:space="preserve">gene-program</w:t>
      </w:r>
      <w:r>
        <w:t xml:space="preserve"> </w:t>
      </w:r>
      <w:r>
        <w:t xml:space="preserve">discovery</w:t>
      </w:r>
      <w:r>
        <w:t xml:space="preserve"> </w:t>
      </w:r>
      <w:r>
        <w:t xml:space="preserve">typically</w:t>
      </w:r>
      <w:r>
        <w:t xml:space="preserve"> </w:t>
      </w:r>
      <w:r>
        <w:t xml:space="preserve">captures</w:t>
      </w:r>
      <w:r>
        <w:t xml:space="preserve"> </w:t>
      </w:r>
      <w:r>
        <w:t xml:space="preserve">dominant</w:t>
      </w:r>
      <w:r>
        <w:t xml:space="preserve"> </w:t>
      </w:r>
      <w:r>
        <w:t xml:space="preserve">axes</w:t>
      </w:r>
      <w:r>
        <w:t xml:space="preserve"> </w:t>
      </w:r>
      <w:r>
        <w:t xml:space="preserve">of</w:t>
      </w:r>
      <w:r>
        <w:t xml:space="preserve"> </w:t>
      </w:r>
      <w:r>
        <w:t xml:space="preserve">transcriptomic</w:t>
      </w:r>
      <w:r>
        <w:t xml:space="preserve"> </w:t>
      </w:r>
      <w:r>
        <w:t xml:space="preserve">variation</w:t>
      </w:r>
      <w:r>
        <w:t xml:space="preserve"> </w:t>
      </w:r>
      <w:r>
        <w:t xml:space="preserve">that</w:t>
      </w:r>
      <w:r>
        <w:t xml:space="preserve"> </w:t>
      </w:r>
      <w:r>
        <w:t xml:space="preserve">are</w:t>
      </w:r>
      <w:r>
        <w:t xml:space="preserve"> </w:t>
      </w:r>
      <w:r>
        <w:t xml:space="preserve">not</w:t>
      </w:r>
      <w:r>
        <w:t xml:space="preserve"> </w:t>
      </w:r>
      <w:r>
        <w:t xml:space="preserve">necessarily</w:t>
      </w:r>
      <w:r>
        <w:t xml:space="preserve"> </w:t>
      </w:r>
      <w:r>
        <w:t xml:space="preserve">prognostic.</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applies</w:t>
      </w:r>
      <w:r>
        <w:t xml:space="preserve"> </w:t>
      </w:r>
      <w:r>
        <w:t xml:space="preserve">the</w:t>
      </w:r>
      <w:r>
        <w:t xml:space="preserve"> </w:t>
      </w:r>
      <w:r>
        <w:t xml:space="preserve">learned</w:t>
      </w:r>
      <w:r>
        <w:t xml:space="preserve"> </w:t>
      </w:r>
      <w:r>
        <w:t xml:space="preserve">programs</w:t>
      </w:r>
      <w:r>
        <w:t xml:space="preserve"> </w:t>
      </w:r>
      <w:r>
        <w:t xml:space="preserve">to</w:t>
      </w:r>
      <w:r>
        <w:t xml:space="preserve"> </w:t>
      </w:r>
      <w:r>
        <w:t xml:space="preserve">new</w:t>
      </w:r>
      <w:r>
        <w:t xml:space="preserve"> </w:t>
      </w:r>
      <w:r>
        <w:t xml:space="preserve">cohorts</w:t>
      </w:r>
      <w:r>
        <w:t xml:space="preserve"> </w:t>
      </w:r>
      <w:r>
        <w:t xml:space="preserve">without</w:t>
      </w:r>
      <w:r>
        <w:t xml:space="preserve"> </w:t>
      </w:r>
      <w:r>
        <w:t xml:space="preserve">refitting.</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survival-aligned</w:t>
      </w:r>
      <w:r>
        <w:t xml:space="preserve"> </w:t>
      </w:r>
      <w:r>
        <w:t xml:space="preserve">program</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pooled</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before</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A</w:t>
      </w:r>
      <w:r>
        <w:t xml:space="preserve"> </w:t>
      </w:r>
      <w:r>
        <w:t xml:space="preserve">matched-rank,</w:t>
      </w:r>
      <w:r>
        <w:t xml:space="preserve"> </w:t>
      </w:r>
      <w:r>
        <w:t xml:space="preserve">matched-budget</w:t>
      </w:r>
      <w:r>
        <w:t xml:space="preserve"> </w:t>
      </w:r>
      <w:r>
        <w:t xml:space="preserve">unsupervised</w:t>
      </w:r>
      <w:r>
        <w:t xml:space="preserve"> </w:t>
      </w:r>
      <w:r>
        <w:t xml:space="preserve">control</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whereas</w:t>
      </w:r>
      <w:r>
        <w:t xml:space="preserve"> </w:t>
      </w:r>
      <w:r>
        <w:t xml:space="preserve">a</w:t>
      </w:r>
      <w:r>
        <w:t xml:space="preserve"> </w:t>
      </w:r>
      <w:r>
        <w:t xml:space="preserve">rank-optimized</w:t>
      </w:r>
      <w:r>
        <w:t xml:space="preserve"> </w:t>
      </w:r>
      <w:r>
        <w:t xml:space="preserve">seven-factor</w:t>
      </w:r>
      <w:r>
        <w:t xml:space="preserve"> </w:t>
      </w:r>
      <w:r>
        <w:t xml:space="preserve">control</w:t>
      </w:r>
      <w:r>
        <w:t xml:space="preserve"> </w:t>
      </w:r>
      <w:r>
        <w:t xml:space="preserve">carried</w:t>
      </w:r>
      <w:r>
        <w:t xml:space="preserve"> </w:t>
      </w:r>
      <w:r>
        <w:t xml:space="preserve">comparable</w:t>
      </w:r>
      <w:r>
        <w:t xml:space="preserve"> </w:t>
      </w:r>
      <w:r>
        <w:t xml:space="preserve">prognostic</w:t>
      </w:r>
      <w:r>
        <w:t xml:space="preserve"> </w:t>
      </w:r>
      <w:r>
        <w:t xml:space="preserve">information.</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and its clinical heterogeneity reflects variation in both malignant cells and the surrounding microenvironment. Bulk transcriptomic studies have identified clinically relevant malignant and stromal states in PDAC, including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w:t>
      </w:r>
      <w:r>
        <w:t xml:space="preserve">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Most transcriptomic programs in PDAC have been defined from expression patterns and only subsequently related to outcome</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It remains unclear whether using survival information during discovery can characterize programs that add prognostic information beyond established classifications. Such programs could support prognostic assay development and trial stratification, while highlighting genes and biological processes for downstream validation and clinical application.</w:t>
      </w:r>
    </w:p>
    <w:p>
      <w:pPr>
        <w:pStyle w:val="BodyText"/>
      </w:pPr>
      <w:r>
        <w:t xml:space="preserve">Addressing this question often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represent these composite profiles as combinations of gene programs, defined by weighted sets of co-varying genes that together form a representation of the tumor transcriptome, alongside sample-specific program usage indicating how strongly each program contributes to each tumor.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Incorporating survival into program discovery could instead resolve prognostic signal into distinct gene programs, helping identify the biological processes associated with outcome and whether those same programs recur across independent cohorts.</w:t>
      </w:r>
    </w:p>
    <w:p>
      <w:pPr>
        <w:pStyle w:val="BodyText"/>
      </w:pPr>
      <w:r>
        <w:t xml:space="preserve">Standard NMF learns gene-program weights and sample-specific program usage by minimizing reconstruction error, the mismatch between the measured expression matrix and the expression reconstructed from the product of those program weights and usages. Such reconstruction-driven criteria favor patterns that capture prominent expression variation regardless of their relevance to patient survival</w:t>
      </w:r>
      <w:hyperlink w:anchor="ref-bair2004semi">
        <w:r>
          <w:rPr>
            <w:rStyle w:val="Hyperlink"/>
            <w:vertAlign w:val="superscript"/>
          </w:rPr>
          <w:t xml:space="preserve">13</w:t>
        </w:r>
      </w:hyperlink>
      <w:r>
        <w:rPr>
          <w:vertAlign w:val="superscript"/>
        </w:rPr>
        <w:t xml:space="preserve">,</w:t>
      </w:r>
      <w:hyperlink w:anchor="ref-cook2007fisher">
        <w:r>
          <w:rPr>
            <w:rStyle w:val="Hyperlink"/>
            <w:vertAlign w:val="superscript"/>
          </w:rPr>
          <w:t xml:space="preserve">14</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15</w:t>
        </w:r>
      </w:hyperlink>
      <w:r>
        <w:rPr>
          <w:vertAlign w:val="superscript"/>
        </w:rPr>
        <w:t xml:space="preserve">,</w:t>
      </w:r>
      <w:hyperlink w:anchor="ref-aran2015systematic">
        <w:r>
          <w:rPr>
            <w:rStyle w:val="Hyperlink"/>
            <w:vertAlign w:val="superscript"/>
          </w:rPr>
          <w:t xml:space="preserve">16</w:t>
        </w:r>
      </w:hyperlink>
      <w:r>
        <w:t xml:space="preserve">.</w:t>
      </w:r>
    </w:p>
    <w:p>
      <w:pPr>
        <w:pStyle w:val="BodyText"/>
      </w:pPr>
      <w:r>
        <w:t xml:space="preserve">Because NMF decompositions are not unique, different solutions can reconstruct the same expression data comparably well while defining the underlying gene programs differently</w:t>
      </w:r>
      <w:hyperlink w:anchor="ref-donoho2004nmf">
        <w:r>
          <w:rPr>
            <w:rStyle w:val="Hyperlink"/>
            <w:vertAlign w:val="superscript"/>
          </w:rPr>
          <w:t xml:space="preserve">17</w:t>
        </w:r>
      </w:hyperlink>
      <w:r>
        <w:rPr>
          <w:vertAlign w:val="superscript"/>
        </w:rPr>
        <w:t xml:space="preserve">–</w:t>
      </w:r>
      <w:hyperlink w:anchor="ref-gillis2014nmf">
        <w:r>
          <w:rPr>
            <w:rStyle w:val="Hyperlink"/>
            <w:vertAlign w:val="superscript"/>
          </w:rPr>
          <w:t xml:space="preserve">19</w:t>
        </w:r>
      </w:hyperlink>
      <w:r>
        <w:t xml:space="preserve">. This ambiguity may contribute to the variation among proposed unsupervised PDAC subtype taxonomies</w:t>
      </w:r>
      <w:hyperlink w:anchor="ref-lautizi2022pancreatic">
        <w:r>
          <w:rPr>
            <w:rStyle w:val="Hyperlink"/>
            <w:vertAlign w:val="superscript"/>
          </w:rPr>
          <w:t xml:space="preserve">20</w:t>
        </w:r>
      </w:hyperlink>
      <w:r>
        <w:t xml:space="preserve">. The basal-like/classical dichotomy itself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refinement of stromal CAF subtypes is ongoing</w:t>
      </w:r>
      <w:hyperlink w:anchor="ref-peng2024determination">
        <w:r>
          <w:rPr>
            <w:rStyle w:val="Hyperlink"/>
            <w:vertAlign w:val="superscript"/>
          </w:rPr>
          <w:t xml:space="preserve">5</w:t>
        </w:r>
      </w:hyperlink>
      <w:r>
        <w:t xml:space="preserve">. Existing survival-supervised models such as penalized Cox regression and supervised principal components generally identify outcome-associated genes or linear combinations of genes rather than decomposing expression into interpretable gene programs</w:t>
      </w:r>
      <w:hyperlink w:anchor="ref-bair2004semi">
        <w:r>
          <w:rPr>
            <w:rStyle w:val="Hyperlink"/>
            <w:vertAlign w:val="superscript"/>
          </w:rPr>
          <w:t xml:space="preserve">13</w:t>
        </w:r>
      </w:hyperlink>
      <w:r>
        <w:rPr>
          <w:vertAlign w:val="superscript"/>
        </w:rPr>
        <w:t xml:space="preserve">,</w:t>
      </w:r>
      <w:hyperlink w:anchor="ref-simon2011regularization">
        <w:r>
          <w:rPr>
            <w:rStyle w:val="Hyperlink"/>
            <w:vertAlign w:val="superscript"/>
          </w:rPr>
          <w:t xml:space="preserve">21</w:t>
        </w:r>
      </w:hyperlink>
      <w:r>
        <w:t xml:space="preserve">. This distinction is particularly relevant in PDAC, where malignant and stromal gene programs underlie established molecular subtypes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allowing survival information to influence gene-program discovery while retaining a decomposed representation of the transcriptome. Because the factorization is sensitive to initialization, solutions from many independent restarts are aggregated to initialize a final fit. The resulting gene weights are then held fixed, or frozen, so that the same learned programs can be evaluated in external cohorts without refitting the representation.</w:t>
      </w:r>
    </w:p>
    <w:p>
      <w:pPr>
        <w:pStyle w:val="BodyText"/>
      </w:pPr>
      <w:r>
        <w:t xml:space="preserve">We evaluate DeSurv in PDAC by comparing the resulting representation with unsupervised NMF at matched and higher rank, where rank is the number of programs the factorization extracts, and with conventional supervised survival models such as penalized Cox regression and supervised principal components (Supplementary Table [tab:architecture]). We then evaluate the clinical relevance of the learned programs in independent cohorts and ask whether they retain prognostic information beyond established PDAC classifiers. Simulations in which the true underlying (latent) programs are known characterize the conditions under which incorporating survival into factorization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jointly factorizes the tumor transcriptome into gene programs and sample-specific program usage while incorporating association with patient survival into the learning objective. A supervision parameter</w:t>
      </w:r>
      <w:r>
        <w:t xml:space="preserve"> </w:t>
      </w:r>
      <m:oMath>
        <m:r>
          <m:t>α</m:t>
        </m:r>
      </m:oMath>
      <w:r>
        <w:t xml:space="preserve"> </w:t>
      </w:r>
      <w:r>
        <w:t xml:space="preserve">controls the influence of survival, with</w:t>
      </w:r>
      <w:r>
        <w:t xml:space="preserve"> </w:t>
      </w:r>
      <m:oMath>
        <m:r>
          <m:t>α</m:t>
        </m:r>
        <m:r>
          <m:rPr>
            <m:sty m:val="p"/>
          </m:rPr>
          <m:t>=</m:t>
        </m:r>
        <m:r>
          <m:t>0</m:t>
        </m:r>
      </m:oMath>
      <w:r>
        <w:t xml:space="preserve"> </w:t>
      </w:r>
      <w:r>
        <w:t xml:space="preserve">reducing the model to a purely reconstruction-driven factorization, while the rank</w:t>
      </w:r>
      <w:r>
        <w:t xml:space="preserve"> </w:t>
      </w:r>
      <m:oMath>
        <m:r>
          <m:t>k</m:t>
        </m:r>
      </m:oMath>
      <w:r>
        <w:t xml:space="preserve"> </w:t>
      </w:r>
      <w:r>
        <w:t xml:space="preserve">sets the number of programs extracted (Fig. [fig:schema]a; Methods). During fitting, DeSurv estimates gene-program weights, sample-specific program usage, and Cox coefficients. After training, the gene-program weights are fixed, allowing the same learned programs to be evaluated in new cohorts without refitting the representation.</w:t>
      </w:r>
    </w:p>
    <w:p>
      <w:pPr>
        <w:pStyle w:val="BodyText"/>
      </w:pPr>
      <w:r>
        <w:t xml:space="preserve">We trained DeSurv in pooled TCGA and CPTAC PDAC cohorts</w:t>
      </w:r>
      <w:hyperlink w:anchor="ref-raphael2017integrated">
        <w:r>
          <w:rPr>
            <w:rStyle w:val="Hyperlink"/>
            <w:vertAlign w:val="superscript"/>
          </w:rPr>
          <w:t xml:space="preserve">22</w:t>
        </w:r>
      </w:hyperlink>
      <w:r>
        <w:rPr>
          <w:vertAlign w:val="superscript"/>
        </w:rPr>
        <w:t xml:space="preserve">,</w:t>
      </w:r>
      <w:hyperlink w:anchor="ref-cao2021proteogenomic">
        <w:r>
          <w:rPr>
            <w:rStyle w:val="Hyperlink"/>
            <w:vertAlign w:val="superscript"/>
          </w:rPr>
          <w:t xml:space="preserve">23</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 sequential search algorithm that proposes each new setting based on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selecting the most parsimonious model within one standard error of the best and yielding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In contrast, standard unsupervised rank criteria (reconstruction residuals, cophenetic correlation and silhouette width</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20</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and Cox proportional hazards likelihood. The gene-program matrix</w:t>
      </w:r>
      <w:r>
        <w:rPr>
          <w:iCs/>
          <w:i/>
        </w:rPr>
        <w:t xml:space="preserve"> </w:t>
      </w:r>
      <m:oMath>
        <m:r>
          <m:t>W</m:t>
        </m:r>
      </m:oMath>
      <w:r>
        <w:rPr>
          <w:iCs/>
          <w:i/>
        </w:rPr>
        <w:t xml:space="preserve"> </w:t>
      </w:r>
      <w:r>
        <w:rPr>
          <w:iCs/>
          <w:i/>
        </w:rPr>
        <w:t xml:space="preserve">enters both objectives:</w:t>
      </w:r>
      <w:r>
        <w:rPr>
          <w:iCs/>
          <w:i/>
        </w:rPr>
        <w:t xml:space="preserve"> </w:t>
      </w:r>
      <m:oMath>
        <m:r>
          <m:t>X</m:t>
        </m:r>
        <m:r>
          <m:rPr>
            <m:sty m:val="p"/>
          </m:rPr>
          <m:t>≈</m:t>
        </m:r>
        <m:r>
          <m:t>W</m:t>
        </m:r>
        <m:r>
          <m:t>H</m:t>
        </m:r>
      </m:oMath>
      <w:r>
        <w:rPr>
          <w:iCs/>
          <w:i/>
        </w:rPr>
        <w:t xml:space="preserve"> </w:t>
      </w:r>
      <w:r>
        <w:rPr>
          <w:iCs/>
          <w:i/>
        </w:rPr>
        <w:t xml:space="preserve">defines the reconstruction, while projected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therefore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Following model selection in the training data, the resulting gene weights are fixed for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28</w:t>
        </w:r>
      </w:hyperlink>
      <w:r>
        <w:rPr>
          <w:vertAlign w:val="superscript"/>
        </w:rPr>
        <w:t xml:space="preserve">,</w:t>
      </w:r>
      <w:hyperlink w:anchor="ref-Maurer2019">
        <w:r>
          <w:rPr>
            <w:rStyle w:val="Hyperlink"/>
            <w:vertAlign w:val="superscript"/>
          </w:rPr>
          <w:t xml:space="preserve">29</w:t>
        </w:r>
      </w:hyperlink>
      <w:r>
        <w:t xml:space="preserve">, and a third factor (N2) for exocrine-associated variation. Both methods recovered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30</w:t>
        </w:r>
      </w:hyperlink>
      <w:r>
        <w:t xml:space="preserve">), the smallest share among the three factors. However, in post-fit unpenalized Cox models of the three training-cohort scores,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that are most relevant to survival</w:t>
      </w:r>
      <w:hyperlink w:anchor="ref-aran2015systematic">
        <w:r>
          <w:rPr>
            <w:rStyle w:val="Hyperlink"/>
            <w:vertAlign w:val="superscript"/>
          </w:rPr>
          <w:t xml:space="preserve">16</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Thus, survival supervision preserved most of the variance-dominant tumor and stromal structure while resolving D1 as a distinct program not captured by matched-rank NMF.</w:t>
      </w:r>
    </w:p>
    <w:p>
      <w:pPr>
        <w:pStyle w:val="BodyText"/>
      </w:pPr>
      <w:r>
        <w:t xml:space="preserve">Differences in optimization procedure or computational effort did not appear to explain this result. We repeated the comparison with a matched-budget unsupervised control that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the factorization objective, although it still guided tuning, including the gene support used in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defined as the union of reference programs with Spearman</w:t>
      </w:r>
      <w:r>
        <w:rPr>
          <w:iCs/>
          <w:i/>
        </w:rPr>
        <w:t xml:space="preserve"> </w:t>
      </w:r>
      <m:oMath>
        <m:r>
          <m:t>ρ</m:t>
        </m:r>
        <m:r>
          <m:rPr>
            <m:sty m:val="p"/>
          </m:rPr>
          <m:t>&gt;</m:t>
        </m:r>
        <m:r>
          <m:t>0.2</m:t>
        </m:r>
      </m:oMath>
      <w:r>
        <w:rPr>
          <w:iCs/>
          <w:i/>
        </w:rPr>
        <w:t xml:space="preserve"> </w:t>
      </w:r>
      <w:r>
        <w:rPr>
          <w:iCs/>
          <w:i/>
        </w:rPr>
        <w:t xml:space="preserve">for at least one factor from either method. Grey cells denote programs with no genes represented in that method’s displayed gene space, for which the correlation is not computable. Rows labeled SCISSORS: restCAF and SCISSORS: proCAF display the SCISSORS iCAF and myCAF gene sets under the naming used by the DeCAF classification (Supplementary Information). These are correspondences between bulk gene programs and reference signatures, not direct identifications of CAF cell states. (c) Per-factor reconstruction contribution (normalized Shapley share, summing to 100%) versus survival contribution, defined as the decrease in maximized unpenalized Cox partial log-likelihood when one factor is omitted and the model is refitted using the remaining training-cohort scores computed over all analyzed genes. These increments are conditional and nonadditive; because D1 was estimated using these survival outcomes, its increment locates survival signal within the fitted model but does not independently validate its prognostic relevance. (d) Pairwise correspondence between NMF and DeSurv factors (Spearman correlation of gene loadings in</w:t>
      </w:r>
      <w:r>
        <w:rPr>
          <w:iCs/>
          <w:i/>
        </w:rPr>
        <w:t xml:space="preserve"> </w:t>
      </w:r>
      <m:oMath>
        <m:r>
          <m:t>W</m:t>
        </m:r>
      </m:oMath>
      <w:r>
        <w:rPr>
          <w:iCs/>
          <w:i/>
        </w:rPr>
        <w:t xml:space="preserve"> </w:t>
      </w:r>
      <w:r>
        <w:rPr>
          <w:iCs/>
          <w:i/>
        </w:rPr>
        <w:t xml:space="preserve">over all analyzed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63dd48f35e94be278b5d3dd339c4c2fc8b88d90"/>
    <w:p>
      <w:pPr>
        <w:pStyle w:val="Heading2"/>
      </w:pPr>
      <w:r>
        <w:t xml:space="preserve">Frozen DeSurv programs retain prognostic information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included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 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None of the three standard NMF factors at the same rank showed a significant combined association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Puleo contributed 288 of the 570 unique patients, so leave-one-dataset-out analyses assessed whether the pooled estimate depended strongly on that cohort; the estimates were similar with each dataset omitted in turn (HRs 1.34–1.45; Supplementary Table [tab:loco]).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Platform-specific PACA-AU array and RNA-seq estimates are shown separately, and black diamonds denote combined estimates over unique patients (per-factor dataset-stratified Cox models on the de-duplicated patient-level data, with each program standardized within dataset and scored on the union top-gene support; PACA-AU array duplicates excluded).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in the training data. Supervised scores correlated most strongly with D1 and only weakly with the D2 stromal program. These score correspondences do not establish recovery of identical gene programs. No validation-cohort survival outcomes were used in training, scoring or hyperparameter selection; they enter only the association estimates shown and the separately described recalibration analysis (Methods; Supplementary Information, Proper-scoring sensitivity of the external validation).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In these same datasets, adjustment for purity left the DeSurv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Together, within the PACA-AU datasets, the weak correlations between D1 and purity and the stability of the linear predictor after purity adjustment argue against measured tumor purity as the main explanation for these findings,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primarily reflecting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D1 in treated metastatic PDAC from the O’Kane/COMPASS cohort. Points and 95% confidence intervals show hazard ratios per SD of the frozen D1 score within the FOLFIRINOX (FFX), gemcitabine/nab-paclitaxel (GA), and GA/experimental treatment arms; the diamond shows the common association from a Cox model stratified by treatment arm (HR</w:t>
      </w:r>
      <w:r>
        <w:rPr>
          <w:iCs/>
          <w:i/>
        </w:rPr>
        <w:t xml:space="preserve"> </w:t>
      </w:r>
      <m:oMath>
        <m:r>
          <m:t>0.75</m:t>
        </m:r>
      </m:oMath>
      <w:r>
        <w:rPr>
          <w:iCs/>
          <w:i/>
        </w:rPr>
        <w:t xml:space="preserve">, 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had protective point estimates in all three arms, with no evidence of an arm-by-score interaction (</w:t>
      </w:r>
      <m:oMath>
        <m:r>
          <m:t>P</m:t>
        </m:r>
        <m:r>
          <m:rPr>
            <m:sty m:val="p"/>
          </m:rPr>
          <m:t>=</m:t>
        </m:r>
        <m:r>
          <m:t>0.40</m:t>
        </m:r>
      </m:oMath>
      <w:r>
        <w:rPr>
          <w:iCs/>
          <w:i/>
        </w:rPr>
        <w:t xml:space="preserve">), although individual arms were underpowered for detecting heterogeneity. Scores were derived from laser-capture microdissected, epithelial-enriched profiles. (b) Projected proCAF-like D2 scores before and after treatment in paired Linehan biopsies (</w:t>
      </w:r>
      <m:oMath>
        <m:r>
          <m:t>n</m:t>
        </m:r>
        <m:r>
          <m:rPr>
            <m:sty m:val="p"/>
          </m:rPr>
          <m:t>=</m:t>
        </m:r>
        <m:r>
          <m:t>29</m:t>
        </m:r>
      </m:oMath>
      <w:r>
        <w:rPr>
          <w:iCs/>
          <w:i/>
        </w:rPr>
        <w:t xml:space="preserve">). Grey lines connect biopsies from the same patient; the red line shows the group mean, which increased by</w:t>
      </w:r>
      <w:r>
        <w:rPr>
          <w:iCs/>
          <w:i/>
        </w:rPr>
        <w:t xml:space="preserve"> </w:t>
      </w:r>
      <m:oMath>
        <m:r>
          <m:t>0.34</m:t>
        </m:r>
      </m:oMath>
      <w:r>
        <w:rPr>
          <w:iCs/>
          <w:i/>
        </w:rPr>
        <w:t xml:space="preserve"> </w:t>
      </w:r>
      <w:r>
        <w:rPr>
          <w:iCs/>
          <w:i/>
        </w:rPr>
        <w:t xml:space="preserve">SD after treatment (paired Wilcoxon</w:t>
      </w:r>
      <w:r>
        <w:rPr>
          <w:iCs/>
          <w:i/>
        </w:rPr>
        <w:t xml:space="preserve"> </w:t>
      </w:r>
      <m:oMath>
        <m:r>
          <m:t>P</m:t>
        </m:r>
        <m:r>
          <m:rPr>
            <m:sty m:val="p"/>
          </m:rPr>
          <m:t>=</m:t>
        </m:r>
        <m:r>
          <m:t>0.013</m:t>
        </m:r>
      </m:oMath>
      <w:r>
        <w:rPr>
          <w:iCs/>
          <w:i/>
        </w:rPr>
        <w:t xml:space="preserve">). Because treatment, stage and cohort were not independently varied, these analyses support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signal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Thus, the methods differed less in prognostic discrimination than in how that information was represented: conventional supervised predictors combined contributions from underlying expression programs within a single score, whereas DeSurv retained D1–D3 as separately scored programs with explicit survival coefficients. This decomposition allows the tumor and stromal programs contributing to prognosis to be interrogated separately and retains program-specific ranked gene sets.</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(Supplementary Information, Simulation design and data generation).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In this setting, DeSurv more accurately recovered the genes defining the true prognostic program, whereas unsupervised NMF was more strongly influenced by the dominant background structure. Across 100 simulated datasets, median matched-factor precision (the proportion of the best-matching learned program’s selected genes belonging to the true prognostic gene set) was 0.50 for DeSurv versus 0.07 for unsupervised NMF (Fig. [fig:sim]b).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Fig. [fig:sim]a), and DeSurv selected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was concentrated in recovery of program-specific marker genes and was smaller for shared background genes included in the survival-generating set (Fig. [fig:sim]d; Supplementary Fig. [fig:fig-sim-null-mixed]), consistent with supervision preferentially improving recovery of genes that define the prognostic program. Under the null, test-set concordance was near chance for both methods.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survival contained no signal.</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relatively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 C-indices were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were 0.50 versus 0.07. The best-matching program is selected using the known simulated gene set, so this metric evaluates recovery with access to ground truth. Global marker recall, which requires no factor matching, is reported in the Supplementary Information. In (a) and (b), boxes show medians and interquartile ranges, whiskers extend to</w:t>
      </w:r>
      <w:r>
        <w:rPr>
          <w:iCs/>
          <w:i/>
        </w:rPr>
        <w:t xml:space="preserve"> </w:t>
      </w:r>
      <m:oMath>
        <m:r>
          <m:t>1.5</m:t>
        </m:r>
        <m:r>
          <m:rPr>
            <m:sty m:val="p"/>
          </m:rPr>
          <m:t>×</m:t>
        </m:r>
      </m:oMath>
      <w:r>
        <w:rPr>
          <w:iCs/>
          <w:i/>
        </w:rPr>
        <w:t xml:space="preserve">IQR, and points represent individual simulated datasets. (c) Distribution of ranks selected across simulated datasets for DeSurv and unsupervised NMF; dashed lines indicate the true rank (</w:t>
      </w:r>
      <m:oMath>
        <m:r>
          <m:t>k</m:t>
        </m:r>
        <m:r>
          <m:rPr>
            <m:sty m:val="p"/>
          </m:rPr>
          <m:t>=</m:t>
        </m:r>
        <m:r>
          <m:t>3</m:t>
        </m:r>
      </m:oMath>
      <w:r>
        <w:rPr>
          <w:iCs/>
          <w:i/>
        </w:rPr>
        <w:t xml:space="preserve">). (d) The same matched-factor precision metric as in (b) under two signal regimes: a prognostic program whose genes contribute relatively little transcriptomic variation and are separated from the dominant shared background, and a setting in which the survival-generating gene set partially overlaps that dominant background structure. DeSurv recovered the prognostic program more accurately in both regimes, with a larger separation when the prognostic program was distinct from the dominant expression structure. The null scenario, with no prognostic signal, is shown in the Supplementary Information. The concordance difference in (a) should not be interpreted as an expected gain in discrimination in real data, where a rank-optimized unsupervised control carried comparable prognostic information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achieved similar discrimination while combining contributions from underlying expression programs within single scores. These comparisons separate prognostic information from the representation in which that information is recovered. DeSurv instead retains the contributing sources as separately scored programs rather than combining them only within a composite prognostic predictor.</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31</w:t>
        </w:r>
      </w:hyperlink>
      <w:r>
        <w:rPr>
          <w:vertAlign w:val="superscript"/>
        </w:rPr>
        <w:t xml:space="preserve">,</w:t>
      </w:r>
      <w:hyperlink w:anchor="ref-le2025survnmf">
        <w:r>
          <w:rPr>
            <w:rStyle w:val="Hyperlink"/>
            <w:vertAlign w:val="superscript"/>
          </w:rPr>
          <w:t xml:space="preserve">32</w:t>
        </w:r>
      </w:hyperlink>
      <w:r>
        <w:t xml:space="preserve">. In DeSurv, it depends directly on projections through the gene-program matrix, and new samples are scored using fixed gene weights without an additional sample-loading estimation step (Supplementary Table [tab:architecture]). Deep latent-variable survival models</w:t>
      </w:r>
      <w:hyperlink w:anchor="ref-zaccaria2023surviae">
        <w:r>
          <w:rPr>
            <w:rStyle w:val="Hyperlink"/>
            <w:vertAlign w:val="superscript"/>
          </w:rPr>
          <w:t xml:space="preserve">33</w:t>
        </w:r>
      </w:hyperlink>
      <w:r>
        <w:rPr>
          <w:vertAlign w:val="superscript"/>
        </w:rPr>
        <w:t xml:space="preserve">,</w:t>
      </w:r>
      <w:hyperlink w:anchor="ref-meng2022savae">
        <w:r>
          <w:rPr>
            <w:rStyle w:val="Hyperlink"/>
            <w:vertAlign w:val="superscript"/>
          </w:rPr>
          <w:t xml:space="preserve">34</w:t>
        </w:r>
      </w:hyperlink>
      <w:r>
        <w:t xml:space="preserve"> </w:t>
      </w:r>
      <w:r>
        <w:t xml:space="preserve">likewise learn sample representations rather than a fixed gene-program basis, and reference-based deconvolution methods such as CIBERSORTx</w:t>
      </w:r>
      <w:hyperlink w:anchor="ref-newman2019cibersortx">
        <w:r>
          <w:rPr>
            <w:rStyle w:val="Hyperlink"/>
            <w:vertAlign w:val="superscript"/>
          </w:rPr>
          <w:t xml:space="preserve">35</w:t>
        </w:r>
      </w:hyperlink>
      <w:r>
        <w:t xml:space="preserve"> </w:t>
      </w:r>
      <w:r>
        <w:t xml:space="preserve">and BayesPrism</w:t>
      </w:r>
      <w:hyperlink w:anchor="ref-chu2022bayesprism">
        <w:r>
          <w:rPr>
            <w:rStyle w:val="Hyperlink"/>
            <w:vertAlign w:val="superscript"/>
          </w:rPr>
          <w:t xml:space="preserve">36</w:t>
        </w:r>
      </w:hyperlink>
      <w:r>
        <w:t xml:space="preserve"> </w:t>
      </w:r>
      <w:r>
        <w:t xml:space="preserve">estimate the abundance of predefined cell types rather than outcome-aligned programs, so DeSurv is complementary to them.</w:t>
      </w:r>
    </w:p>
    <w:p>
      <w:pPr>
        <w:pStyle w:val="BodyText"/>
      </w:pPr>
      <w:r>
        <w:t xml:space="preserve">Program-level outputs are the practical product of this architecture, because the genes defining each program determine how it can be interpreted and what can be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DeSurv extends this line of work by allowing patient outcomes to influence the gene weights themselves while retaining separately measurable programs: for example, D2 remains available as proCAF-like stromal context although the fitted risk score combines D1 and D3. In settings without established molecular annotations, the ranked genes defining each recovered program could instead provide the starting point for biological annotation, subtype development and reduced biomarker assays.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supporting stability to restart-pool composition within the training data but not establishing reproducibility under independent repetition or patient resampling.</w:t>
      </w:r>
    </w:p>
    <w:p>
      <w:pPr>
        <w:pStyle w:val="BodyText"/>
      </w:pPr>
      <w:r>
        <w:t xml:space="preserve">The simulations identify conditions under which survival information improves program recovery. They provide a controlled example in which survival supervision prioritizes prognostically relevant programs that contribute relatively little expression variation and are therefore less readily recovered by reconstruction-driven factorization.</w:t>
      </w:r>
    </w:p>
    <w:p>
      <w:pPr>
        <w:pStyle w:val="BodyText"/>
      </w:pPr>
      <w:r>
        <w:t xml:space="preserve">Three statistical qualifications limit interpretation of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although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37</w:t>
        </w:r>
      </w:hyperlink>
      <w:r>
        <w:rPr>
          <w:vertAlign w:val="superscript"/>
        </w:rPr>
        <w:t xml:space="preserve">–</w:t>
      </w:r>
      <w:hyperlink w:anchor="ref-lee2024tumorcaf">
        <w:r>
          <w:rPr>
            <w:rStyle w:val="Hyperlink"/>
            <w:vertAlign w:val="superscript"/>
          </w:rPr>
          <w:t xml:space="preserve">39</w:t>
        </w:r>
      </w:hyperlink>
      <w:r>
        <w:t xml:space="preserve">. Adjustment for PurIST and DeCAF supports D1’s prognostic association beyond those classifiers, purity adjustment in the PACA-AU datasets leaves the risk score’s association essentially unchanged, and other supervised methods capture related survival-associated signal.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40</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projected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projected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projected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41</w:t>
        </w:r>
      </w:hyperlink>
      <w:r>
        <w:rPr>
          <w:vertAlign w:val="superscript"/>
        </w:rPr>
        <w:t xml:space="preserve">,</w:t>
      </w:r>
      <w:hyperlink w:anchor="ref-gaujoux2010flexible">
        <w:r>
          <w:rPr>
            <w:rStyle w:val="Hyperlink"/>
            <w:vertAlign w:val="superscript"/>
          </w:rPr>
          <w:t xml:space="preserve">42</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projected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That proposal does not differentiate the</w:t>
      </w:r>
      <w:r>
        <w:t xml:space="preserve"> </w:t>
      </w:r>
      <m:oMath>
        <m:r>
          <m:t>W</m:t>
        </m:r>
      </m:oMath>
      <w:r>
        <w:t xml:space="preserve">-dependent penalty on the standardized-score coefficients and is therefore not the gradient of the full objective, so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and is then evaluated under the full objective by a backtracking line search (Supplementary Information, Optimization Algorithm and Normalization of W).</w:t>
      </w:r>
    </w:p>
    <w:p>
      <w:pPr>
        <w:pStyle w:val="BodyText"/>
      </w:pPr>
      <m:oMath>
        <m:r>
          <m:t>β</m:t>
        </m:r>
      </m:oMath>
      <w:r>
        <w:t xml:space="preserve"> </w:t>
      </w:r>
      <w:r>
        <w:t xml:space="preserve">is then updated by Coxnet-style cyclic coordinate descent on the current centered and standardized projected scores, and is refit on the converged</w:t>
      </w:r>
      <w:r>
        <w:t xml:space="preserve"> </w:t>
      </w:r>
      <m:oMath>
        <m:r>
          <m:t>W</m:t>
        </m:r>
      </m:oMath>
      <w:r>
        <w:t xml:space="preserve"> </w:t>
      </w:r>
      <w:r>
        <w:t xml:space="preserve">once the outer loop terminates. The coordinate sweeps approximate rather than exactly minimize the conditional objective, and their proposal is accepted only under a safeguard that prevents it from increasing the evaluated objective, so the</w:t>
      </w:r>
      <w:r>
        <w:t xml:space="preserve"> </w:t>
      </w:r>
      <m:oMath>
        <m:r>
          <m:t>β</m:t>
        </m:r>
      </m:oMath>
      <w:r>
        <w:t xml:space="preserve"> </w:t>
      </w:r>
      <w:r>
        <w:t xml:space="preserve">block is non-increasing in that objective without establishing convergence to a conditional or joint optimum. The closed-form update, the stopping tolerances and the iteration cap are given in Supplementary Information, Update for</w:t>
      </w:r>
      <w:r>
        <w:t xml:space="preserve"> </w:t>
      </w:r>
      <m:oMath>
        <m:r>
          <m:t>β</m:t>
        </m:r>
      </m:oMath>
      <w:r>
        <w:t xml:space="preserve"> </w:t>
      </w:r>
      <w:r>
        <w:t xml:space="preserve">and Bayesian Optimization.</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none failed numerically, and the recorded outer-loop objective decreased monotonically (Supplementary Information, Empirical optimization stability across random initializations). Monotone decrease together with the stopping rule on the cosine change of</w:t>
      </w:r>
      <w:r>
        <w:t xml:space="preserve"> </w:t>
      </w:r>
      <m:oMath>
        <m:r>
          <m:t>W</m:t>
        </m:r>
      </m:oMath>
      <w:r>
        <w:t xml:space="preserve"> </w:t>
      </w:r>
      <w:r>
        <w:t xml:space="preserve">and</w:t>
      </w:r>
      <w:r>
        <w:t xml:space="preserve"> </w:t>
      </w:r>
      <m:oMath>
        <m:r>
          <m:t>H</m:t>
        </m:r>
      </m:oMath>
      <w:r>
        <w:t xml:space="preserve"> </w:t>
      </w:r>
      <w:r>
        <w:t xml:space="preserve">(Supplementary Information, Optimization Algorithm) is what these runs establish, and they are checks on the optimizer rather than on which programs it recovers.</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explored by Bayesian optimization (BO) maximizing the cross-validated Harrell C-index</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and the reported configuration was then fixed by applying a one-standard-error rule on rank to the resulting search history, as specified below.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The remaining hyperparameters were inherited from the overall best observed configuration, which had rank</w:t>
      </w:r>
      <w:r>
        <w:t xml:space="preserve"> </w:t>
      </w:r>
      <m:oMath>
        <m:r>
          <m:t>k</m:t>
        </m:r>
        <m:r>
          <m:rPr>
            <m:sty m:val="p"/>
          </m:rPr>
          <m:t>=</m:t>
        </m:r>
        <m:r>
          <m:t>7</m:t>
        </m:r>
      </m:oMath>
      <w:r>
        <w:t xml:space="preserve">, so the resulting final</w:t>
      </w:r>
      <w:r>
        <w:t xml:space="preserve"> </w:t>
      </w:r>
      <m:oMath>
        <m:r>
          <m:t>k</m:t>
        </m:r>
        <m:r>
          <m:rPr>
            <m:sty m:val="p"/>
          </m:rPr>
          <m:t>=</m:t>
        </m:r>
        <m:r>
          <m:t>3</m:t>
        </m:r>
      </m:oMath>
      <w:r>
        <w:t xml:space="preserve"> </w:t>
      </w:r>
      <w:r>
        <w:t xml:space="preserve">combination was not itself among the configurations evaluated during Bayesian optimization. We therefore evaluated this exact combination afterward using the identical cross-validation protocol. Re-evaluated together under the current software build, the final configuration achieved a mean cross-validated C-index of 0.642 (fold-level SE 0.007), compared with 0.655 (0.011) for the overall best configuration and 0.647 (0.009) for the best</w:t>
      </w:r>
      <w:r>
        <w:t xml:space="preserve"> </w:t>
      </w:r>
      <m:oMath>
        <m:r>
          <m:t>k</m:t>
        </m:r>
        <m:r>
          <m:rPr>
            <m:sty m:val="p"/>
          </m:rPr>
          <m:t>=</m:t>
        </m:r>
        <m:r>
          <m:t>3</m:t>
        </m:r>
      </m:oMath>
      <w:r>
        <w:t xml:space="preserve"> </w:t>
      </w:r>
      <w:r>
        <w:t xml:space="preserve">configuration. The recomputed one-standard-error threshold was 0.644, placing the final configuration 0.002 below that threshold (Supplementary Table [tab:final-config-cv]).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an exhaustive grid over ranks and supervision strengths at the selected non-rank hyperparameters, to which the same one-standard-error rule again selects</w:t>
      </w:r>
      <w:r>
        <w:t xml:space="preserve"> </w:t>
      </w:r>
      <m:oMath>
        <m:r>
          <m:t>k</m:t>
        </m:r>
        <m:r>
          <m:rPr>
            <m:sty m:val="p"/>
          </m:rPr>
          <m:t>=</m:t>
        </m:r>
        <m:r>
          <m:t>3</m:t>
        </m:r>
      </m:oMath>
      <w:r>
        <w:t xml:space="preserve"> </w:t>
      </w:r>
      <w:r>
        <w:t xml:space="preserve">(Supplementary Information, Bayesian Optimization and Cross-validated C-index across factorization rank).</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which gave inconsistent guidance across candidate ranks in these training data (Supplementary Information, Standard NMF rank selection heuristics).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2.0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the final model was fit once from a consensus initialization built from 100 fits from independent random initializations, aggregated as a gene-by-gene co-occurrence matrix and therefore invariant to factor-label permutation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projected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Both unsupervised controls were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a choice to which the per-dataset C-indices are insensitive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lasso-penalized Cox regression and supervised principal components, select features by different mechanisms, neither matching DeSurv’s elastic net, and both retain far fewer genes than DeSurv’s 810-gene support (Supplementary Information, Robustness to tuned supervised comparators and compartment attribution). Because tuning budgets were not matched, the comparison characterizes the representations each approach recovers rather than benchmarking tuned predictive performance.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Score correspondence with the DeSurv programs, selected-gene enrichment and compartment attribution are reported in Supplementary Information, Robustness to tuned supervised comparators and compartment attribution.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computed as exact Shapley values over the fixed rank-one factor contributions without refitting the factorization, and survival contributions, computed as the loss in maximized unpenalized Cox partial log-likelihood when one factor is omitted. Reconstruction gain and the separately reported centered</w:t>
      </w:r>
      <w:r>
        <w:t xml:space="preserve"> </w:t>
      </w:r>
      <m:oMath>
        <m:sSup>
          <m:e>
            <m:r>
              <m:t>R</m:t>
            </m:r>
          </m:e>
          <m:sup>
            <m:r>
              <m:t>2</m:t>
            </m:r>
          </m:sup>
        </m:sSup>
      </m:oMath>
      <w:r>
        <w:t xml:space="preserve"> </w:t>
      </w:r>
      <w:r>
        <w:t xml:space="preserve">describe different aspects of reconstruction and should not be interpreted as interchangeable measures, and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the integrated Brier score and its index of prediction accuracy relative to a Kaplan–Meier reference, computed under within-dataset recalibration. These are apparent, in-sample recalibrated values rather than out-of-sample prediction error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so that the risk score is a function of the sample loadings and a new sample needs loadings of its own (Supplementary Information, Supervision on</w:t>
      </w:r>
      <w:r>
        <w:t xml:space="preserve"> </w:t>
      </w:r>
      <m:oMath>
        <m:r>
          <m:t>W</m:t>
        </m:r>
      </m:oMath>
      <w:r>
        <w:t xml:space="preserve"> </w:t>
      </w:r>
      <w:r>
        <w:t xml:space="preserve">versus</w:t>
      </w:r>
      <w:r>
        <w:t xml:space="preserve"> </w:t>
      </w:r>
      <m:oMath>
        <m:r>
          <m:t>H</m:t>
        </m:r>
      </m:oMath>
      <w:r>
        <w:t xml:space="preserve">; Supplementary Table [tab:architecture]).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Cross-validation procedure and Survival Analysis.</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Expression matrices were generated from a nonnegative factor model</w:t>
      </w:r>
      <w:r>
        <w:t xml:space="preserve"> </w:t>
      </w:r>
      <m:oMath>
        <m:r>
          <m:t>X</m:t>
        </m:r>
        <m:r>
          <m:rPr>
            <m:sty m:val="p"/>
          </m:rPr>
          <m:t>=</m:t>
        </m:r>
        <m:r>
          <m:t>W</m:t>
        </m:r>
        <m:r>
          <m:t>H</m:t>
        </m:r>
      </m:oMath>
      <w:r>
        <w:t xml:space="preserve"> </w:t>
      </w:r>
      <w:r>
        <w:t xml:space="preserve">with marker, background and noise gene classes, and survival times from an exponential model applied to the noise-free expression through a masked survival-generating weight matrix; the generating distributions, dimensions, scenario coefficients and masking construction are given in Supplementary Information, Simulation design and data generation.</w:t>
      </w:r>
    </w:p>
    <w:p>
      <w:pPr>
        <w:pStyle w:val="BodyText"/>
      </w:pPr>
      <w:r>
        <w:t xml:space="preserve">DeSurv incorporated survival during factorization, whereas its unsupervised limit used a post hoc Cox model on projected scores; both pipelines were tuned by Bayesian optimization using cross-validated concordance. Performance was summarized across replicates, each with a held-out test split,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Global marker recall and the per-scenario definitions of the target gene set are reported in Supplementary Information, Simulation design and data generation and Simulation results under null and mixed scenarios.</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Expression matrices were analyzed on a log scale and filtered within each training cohort by a combined mean-and-variance rank rule, whose intersection across training cohorts yielded the 1,970 genes used for all analyses; validation datasets were restricted to this same gene set. Filtered expression was then within-sample rank transformed before model training, which reduces platform- and library-size differences in expression scale that would otherwise dominate cross-cohort projection (ranks are inherently nonnegative, preserving NMF compatibility). No missing-data imputation was performed: all analyses used complete cases, and analyses adjusted for the PurIST and DeCAF classifiers were restricted to samples with available classifier calls. The training Cox objective was fit to the pooled TCGA and CPTAC samples without a cohort term, with cross-validation folds constructed within cohort and stratified by event status; both training cohorts are RNA-seq and had similar event rates (52% in TCGA-PAAD and 50% in CPTAC; Supplementary Table [tab:cohorts]). All validation analyses stratify by dataset, and a descriptive check against cohort-driven association is given in Supplementary Information, Cohort handling in the training objective.</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without any retraining.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Projection mechanics, including missing-gene handling and within-cohort standardization, are described in Supplementary Information, Translational transportability into independent treated PDAC cohorts.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21</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8" w:name="references"/>
    <w:p>
      <w:pPr>
        <w:pStyle w:val="Heading1"/>
      </w:pPr>
      <w:r>
        <w:t xml:space="preserve">References</w:t>
      </w:r>
    </w:p>
    <w:bookmarkStart w:id="157"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peng2019novo"/>
    <w:p>
      <w:pPr>
        <w:pStyle w:val="Bibliography"/>
      </w:pPr>
      <w:r>
        <w:t xml:space="preserve">12.</w:t>
      </w:r>
      <w:r>
        <w:t xml:space="preserve"> </w:t>
      </w:r>
      <w:r>
        <w:t xml:space="preserve">	</w:t>
      </w:r>
      <w:r>
        <w:t xml:space="preserve">Peng, X. L., Moffitt, R. A., Torphy, R. J., Volmar, K. E. &amp; Yeh, J. J.</w:t>
      </w:r>
      <w:r>
        <w:t xml:space="preserve"> </w:t>
      </w:r>
      <w:hyperlink r:id="rId88">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9"/>
    <w:bookmarkStart w:id="91" w:name="ref-bair2004semi"/>
    <w:p>
      <w:pPr>
        <w:pStyle w:val="Bibliography"/>
      </w:pPr>
      <w:r>
        <w:t xml:space="preserve">13.</w:t>
      </w:r>
      <w:r>
        <w:t xml:space="preserve"> </w:t>
      </w:r>
      <w:r>
        <w:t xml:space="preserve">	</w:t>
      </w:r>
      <w:r>
        <w:t xml:space="preserve">Bair, E. &amp; Tibshirani, R.</w:t>
      </w:r>
      <w:r>
        <w:t xml:space="preserve"> </w:t>
      </w:r>
      <w:hyperlink r:id="rId90">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1"/>
    <w:bookmarkStart w:id="93" w:name="ref-cook2007fisher"/>
    <w:p>
      <w:pPr>
        <w:pStyle w:val="Bibliography"/>
      </w:pPr>
      <w:r>
        <w:t xml:space="preserve">14.</w:t>
      </w:r>
      <w:r>
        <w:t xml:space="preserve"> </w:t>
      </w:r>
      <w:r>
        <w:t xml:space="preserve">	</w:t>
      </w:r>
      <w:r>
        <w:t xml:space="preserve">Cook, R. D.</w:t>
      </w:r>
      <w:r>
        <w:t xml:space="preserve"> </w:t>
      </w:r>
      <w:hyperlink r:id="rId92">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3"/>
    <w:bookmarkStart w:id="95" w:name="ref-torrehealy2023pdacr"/>
    <w:p>
      <w:pPr>
        <w:pStyle w:val="Bibliography"/>
      </w:pPr>
      <w:r>
        <w:t xml:space="preserve">15.</w:t>
      </w:r>
      <w:r>
        <w:t xml:space="preserve"> </w:t>
      </w:r>
      <w:r>
        <w:t xml:space="preserve">	</w:t>
      </w:r>
      <w:r>
        <w:t xml:space="preserve">Torre-Healy, L. A.</w:t>
      </w:r>
      <w:r>
        <w:t xml:space="preserve"> </w:t>
      </w:r>
      <w:r>
        <w:rPr>
          <w:iCs/>
          <w:i/>
        </w:rPr>
        <w:t xml:space="preserve">et al.</w:t>
      </w:r>
      <w:r>
        <w:t xml:space="preserve"> </w:t>
      </w:r>
      <w:hyperlink r:id="rId94">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5"/>
    <w:bookmarkStart w:id="97" w:name="ref-aran2015systematic"/>
    <w:p>
      <w:pPr>
        <w:pStyle w:val="Bibliography"/>
      </w:pPr>
      <w:r>
        <w:t xml:space="preserve">16.</w:t>
      </w:r>
      <w:r>
        <w:t xml:space="preserve"> </w:t>
      </w:r>
      <w:r>
        <w:t xml:space="preserve">	</w:t>
      </w:r>
      <w:r>
        <w:t xml:space="preserve">Aran, D., Sirota, M. &amp; Butte, A. J.</w:t>
      </w:r>
      <w:r>
        <w:t xml:space="preserve"> </w:t>
      </w:r>
      <w:hyperlink r:id="rId96">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7"/>
    <w:bookmarkStart w:id="98" w:name="ref-donoho2004nmf"/>
    <w:p>
      <w:pPr>
        <w:pStyle w:val="Bibliography"/>
      </w:pPr>
      <w:r>
        <w:t xml:space="preserve">17.</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8"/>
    <w:bookmarkStart w:id="100" w:name="ref-laurberg2008uniqueness"/>
    <w:p>
      <w:pPr>
        <w:pStyle w:val="Bibliography"/>
      </w:pPr>
      <w:r>
        <w:t xml:space="preserve">18.</w:t>
      </w:r>
      <w:r>
        <w:t xml:space="preserve"> </w:t>
      </w:r>
      <w:r>
        <w:t xml:space="preserve">	</w:t>
      </w:r>
      <w:r>
        <w:t xml:space="preserve">Laurberg, H., Christensen, M. G., Plumbley, M. D., Hansen, L. K. &amp; Jensen, S. H.</w:t>
      </w:r>
      <w:r>
        <w:t xml:space="preserve"> </w:t>
      </w:r>
      <w:hyperlink r:id="rId9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0"/>
    <w:bookmarkStart w:id="101" w:name="ref-gillis2014nmf"/>
    <w:p>
      <w:pPr>
        <w:pStyle w:val="Bibliography"/>
      </w:pPr>
      <w:r>
        <w:t xml:space="preserve">19.</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1"/>
    <w:bookmarkStart w:id="103" w:name="ref-lautizi2022pancreatic"/>
    <w:p>
      <w:pPr>
        <w:pStyle w:val="Bibliography"/>
      </w:pPr>
      <w:r>
        <w:t xml:space="preserve">20.</w:t>
      </w:r>
      <w:r>
        <w:t xml:space="preserve"> </w:t>
      </w:r>
      <w:r>
        <w:t xml:space="preserve">	</w:t>
      </w:r>
      <w:r>
        <w:t xml:space="preserve">Lautizi, M., Baumbach, J., Weichert, W., Steiger, K. &amp; List, M.</w:t>
      </w:r>
      <w:r>
        <w:t xml:space="preserve"> </w:t>
      </w:r>
      <w:hyperlink r:id="rId102">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3"/>
    <w:bookmarkStart w:id="105" w:name="ref-simon2011regularization"/>
    <w:p>
      <w:pPr>
        <w:pStyle w:val="Bibliography"/>
      </w:pPr>
      <w:r>
        <w:t xml:space="preserve">21.</w:t>
      </w:r>
      <w:r>
        <w:t xml:space="preserve"> </w:t>
      </w:r>
      <w:r>
        <w:t xml:space="preserve">	</w:t>
      </w:r>
      <w:r>
        <w:t xml:space="preserve">Simon, N., Friedman, J. H., Hastie, T. &amp; Tibshirani, R.</w:t>
      </w:r>
      <w:r>
        <w:t xml:space="preserve"> </w:t>
      </w:r>
      <w:hyperlink r:id="rId104">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5"/>
    <w:bookmarkStart w:id="107" w:name="ref-raphael2017integrated"/>
    <w:p>
      <w:pPr>
        <w:pStyle w:val="Bibliography"/>
      </w:pPr>
      <w:r>
        <w:t xml:space="preserve">22.</w:t>
      </w:r>
      <w:r>
        <w:t xml:space="preserve"> </w:t>
      </w:r>
      <w:r>
        <w:t xml:space="preserve">	</w:t>
      </w:r>
      <w:r>
        <w:t xml:space="preserve">Raphael, B. J.</w:t>
      </w:r>
      <w:r>
        <w:t xml:space="preserve"> </w:t>
      </w:r>
      <w:r>
        <w:rPr>
          <w:iCs/>
          <w:i/>
        </w:rPr>
        <w:t xml:space="preserve">et al.</w:t>
      </w:r>
      <w:r>
        <w:t xml:space="preserve"> </w:t>
      </w:r>
      <w:hyperlink r:id="rId106">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7"/>
    <w:bookmarkStart w:id="109" w:name="ref-cao2021proteogenomic"/>
    <w:p>
      <w:pPr>
        <w:pStyle w:val="Bibliography"/>
      </w:pPr>
      <w:r>
        <w:t xml:space="preserve">23.</w:t>
      </w:r>
      <w:r>
        <w:t xml:space="preserve"> </w:t>
      </w:r>
      <w:r>
        <w:t xml:space="preserve">	</w:t>
      </w:r>
      <w:r>
        <w:t xml:space="preserve">Cao, L.</w:t>
      </w:r>
      <w:r>
        <w:t xml:space="preserve"> </w:t>
      </w:r>
      <w:r>
        <w:rPr>
          <w:iCs/>
          <w:i/>
        </w:rPr>
        <w:t xml:space="preserve">et al.</w:t>
      </w:r>
      <w:r>
        <w:t xml:space="preserve"> </w:t>
      </w:r>
      <w:hyperlink r:id="rId108">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9"/>
    <w:bookmarkStart w:id="111" w:name="ref-snoek2012practical"/>
    <w:p>
      <w:pPr>
        <w:pStyle w:val="Bibliography"/>
      </w:pPr>
      <w:r>
        <w:t xml:space="preserve">24.</w:t>
      </w:r>
      <w:r>
        <w:t xml:space="preserve"> </w:t>
      </w:r>
      <w:r>
        <w:t xml:space="preserve">	</w:t>
      </w:r>
      <w:r>
        <w:t xml:space="preserve">Snoek, J., Larochelle, H. &amp; Adams, R. P.</w:t>
      </w:r>
      <w:r>
        <w:t xml:space="preserve"> </w:t>
      </w:r>
      <w:hyperlink r:id="rId110">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1"/>
    <w:bookmarkStart w:id="113" w:name="ref-shahriari2016taking"/>
    <w:p>
      <w:pPr>
        <w:pStyle w:val="Bibliography"/>
      </w:pPr>
      <w:r>
        <w:t xml:space="preserve">25.</w:t>
      </w:r>
      <w:r>
        <w:t xml:space="preserve"> </w:t>
      </w:r>
      <w:r>
        <w:t xml:space="preserve">	</w:t>
      </w:r>
      <w:r>
        <w:t xml:space="preserve">Shahriari, B., Swersky, K., Wang, Z., Adams, R. P. &amp; Freitas, N. de.</w:t>
      </w:r>
      <w:r>
        <w:t xml:space="preserve"> </w:t>
      </w:r>
      <w:hyperlink r:id="rId112">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3"/>
    <w:bookmarkStart w:id="115" w:name="ref-brunet2004metagenes"/>
    <w:p>
      <w:pPr>
        <w:pStyle w:val="Bibliography"/>
      </w:pPr>
      <w:r>
        <w:t xml:space="preserve">26.</w:t>
      </w:r>
      <w:r>
        <w:t xml:space="preserve"> </w:t>
      </w:r>
      <w:r>
        <w:t xml:space="preserve">	</w:t>
      </w:r>
      <w:r>
        <w:t xml:space="preserve">Brunet, J.-P., Tamayo, P., Golub, T. R. &amp; Mesirov, J. P.</w:t>
      </w:r>
      <w:r>
        <w:t xml:space="preserve"> </w:t>
      </w:r>
      <w:hyperlink r:id="rId114">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115"/>
    <w:bookmarkStart w:id="117" w:name="ref-frigyesi2008nmf"/>
    <w:p>
      <w:pPr>
        <w:pStyle w:val="Bibliography"/>
      </w:pPr>
      <w:r>
        <w:t xml:space="preserve">27.</w:t>
      </w:r>
      <w:r>
        <w:t xml:space="preserve"> </w:t>
      </w:r>
      <w:r>
        <w:t xml:space="preserve">	</w:t>
      </w:r>
      <w:r>
        <w:t xml:space="preserve">Frigyesi, A. &amp; Höglund, M.</w:t>
      </w:r>
      <w:r>
        <w:t xml:space="preserve"> </w:t>
      </w:r>
      <w:hyperlink r:id="rId116">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7"/>
    <w:bookmarkStart w:id="119" w:name="ref-leary2023s"/>
    <w:p>
      <w:pPr>
        <w:pStyle w:val="Bibliography"/>
      </w:pPr>
      <w:r>
        <w:t xml:space="preserve">28.</w:t>
      </w:r>
      <w:r>
        <w:t xml:space="preserve"> </w:t>
      </w:r>
      <w:r>
        <w:t xml:space="preserve">	</w:t>
      </w:r>
      <w:r>
        <w:t xml:space="preserve">Leary, J. R.</w:t>
      </w:r>
      <w:r>
        <w:t xml:space="preserve"> </w:t>
      </w:r>
      <w:r>
        <w:rPr>
          <w:iCs/>
          <w:i/>
        </w:rPr>
        <w:t xml:space="preserve">et al.</w:t>
      </w:r>
      <w:r>
        <w:t xml:space="preserve"> </w:t>
      </w:r>
      <w:hyperlink r:id="rId118">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9"/>
    <w:bookmarkStart w:id="121" w:name="ref-Maurer2019"/>
    <w:p>
      <w:pPr>
        <w:pStyle w:val="Bibliography"/>
      </w:pPr>
      <w:r>
        <w:t xml:space="preserve">29.</w:t>
      </w:r>
      <w:r>
        <w:t xml:space="preserve"> </w:t>
      </w:r>
      <w:r>
        <w:t xml:space="preserve">	</w:t>
      </w:r>
      <w:r>
        <w:t xml:space="preserve">Maurer, C.</w:t>
      </w:r>
      <w:r>
        <w:t xml:space="preserve"> </w:t>
      </w:r>
      <w:r>
        <w:rPr>
          <w:iCs/>
          <w:i/>
        </w:rPr>
        <w:t xml:space="preserve">et al.</w:t>
      </w:r>
      <w:r>
        <w:t xml:space="preserve"> </w:t>
      </w:r>
      <w:hyperlink r:id="rId120">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1"/>
    <w:bookmarkStart w:id="122" w:name="ref-shapley1953value"/>
    <w:p>
      <w:pPr>
        <w:pStyle w:val="Bibliography"/>
      </w:pPr>
      <w:r>
        <w:t xml:space="preserve">30.</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2"/>
    <w:bookmarkStart w:id="123" w:name="ref-huang2020low"/>
    <w:p>
      <w:pPr>
        <w:pStyle w:val="Bibliography"/>
      </w:pPr>
      <w:r>
        <w:t xml:space="preserve">31.</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3"/>
    <w:bookmarkStart w:id="124" w:name="ref-le2025survnmf"/>
    <w:p>
      <w:pPr>
        <w:pStyle w:val="Bibliography"/>
      </w:pPr>
      <w:r>
        <w:t xml:space="preserve">32.</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4"/>
    <w:bookmarkStart w:id="126" w:name="ref-zaccaria2023surviae"/>
    <w:p>
      <w:pPr>
        <w:pStyle w:val="Bibliography"/>
      </w:pPr>
      <w:r>
        <w:t xml:space="preserve">33.</w:t>
      </w:r>
      <w:r>
        <w:t xml:space="preserve"> </w:t>
      </w:r>
      <w:r>
        <w:t xml:space="preserve">	</w:t>
      </w:r>
      <w:r>
        <w:t xml:space="preserve">Zaccaria, G. M.</w:t>
      </w:r>
      <w:r>
        <w:t xml:space="preserve"> </w:t>
      </w:r>
      <w:r>
        <w:rPr>
          <w:iCs/>
          <w:i/>
        </w:rPr>
        <w:t xml:space="preserve">et al.</w:t>
      </w:r>
      <w:r>
        <w:t xml:space="preserve"> </w:t>
      </w:r>
      <w:hyperlink r:id="rId125">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6"/>
    <w:bookmarkStart w:id="128" w:name="ref-meng2022savae"/>
    <w:p>
      <w:pPr>
        <w:pStyle w:val="Bibliography"/>
      </w:pPr>
      <w:r>
        <w:t xml:space="preserve">34.</w:t>
      </w:r>
      <w:r>
        <w:t xml:space="preserve"> </w:t>
      </w:r>
      <w:r>
        <w:t xml:space="preserve">	</w:t>
      </w:r>
      <w:r>
        <w:t xml:space="preserve">Meng, X.</w:t>
      </w:r>
      <w:r>
        <w:t xml:space="preserve"> </w:t>
      </w:r>
      <w:r>
        <w:rPr>
          <w:iCs/>
          <w:i/>
        </w:rPr>
        <w:t xml:space="preserve">et al.</w:t>
      </w:r>
      <w:r>
        <w:t xml:space="preserve"> </w:t>
      </w:r>
      <w:hyperlink r:id="rId127">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8"/>
    <w:bookmarkStart w:id="130" w:name="ref-newman2019cibersortx"/>
    <w:p>
      <w:pPr>
        <w:pStyle w:val="Bibliography"/>
      </w:pPr>
      <w:r>
        <w:t xml:space="preserve">35.</w:t>
      </w:r>
      <w:r>
        <w:t xml:space="preserve"> </w:t>
      </w:r>
      <w:r>
        <w:t xml:space="preserve">	</w:t>
      </w:r>
      <w:r>
        <w:t xml:space="preserve">Newman, A. M.</w:t>
      </w:r>
      <w:r>
        <w:t xml:space="preserve"> </w:t>
      </w:r>
      <w:r>
        <w:rPr>
          <w:iCs/>
          <w:i/>
        </w:rPr>
        <w:t xml:space="preserve">et al.</w:t>
      </w:r>
      <w:r>
        <w:t xml:space="preserve"> </w:t>
      </w:r>
      <w:hyperlink r:id="rId129">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0"/>
    <w:bookmarkStart w:id="132" w:name="ref-chu2022bayesprism"/>
    <w:p>
      <w:pPr>
        <w:pStyle w:val="Bibliography"/>
      </w:pPr>
      <w:r>
        <w:t xml:space="preserve">36.</w:t>
      </w:r>
      <w:r>
        <w:t xml:space="preserve"> </w:t>
      </w:r>
      <w:r>
        <w:t xml:space="preserve">	</w:t>
      </w:r>
      <w:r>
        <w:t xml:space="preserve">Chu, T., Wang, Z., Pe’er, D. &amp; Danko, C. G.</w:t>
      </w:r>
      <w:r>
        <w:t xml:space="preserve"> </w:t>
      </w:r>
      <w:hyperlink r:id="rId131">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2"/>
    <w:bookmarkStart w:id="134" w:name="ref-ogawa2020stroma"/>
    <w:p>
      <w:pPr>
        <w:pStyle w:val="Bibliography"/>
      </w:pPr>
      <w:r>
        <w:t xml:space="preserve">37.</w:t>
      </w:r>
      <w:r>
        <w:t xml:space="preserve"> </w:t>
      </w:r>
      <w:r>
        <w:t xml:space="preserve">	</w:t>
      </w:r>
      <w:r>
        <w:t xml:space="preserve">Ogawa, Y.</w:t>
      </w:r>
      <w:r>
        <w:t xml:space="preserve"> </w:t>
      </w:r>
      <w:r>
        <w:rPr>
          <w:iCs/>
          <w:i/>
        </w:rPr>
        <w:t xml:space="preserve">et al.</w:t>
      </w:r>
      <w:r>
        <w:t xml:space="preserve"> </w:t>
      </w:r>
      <w:hyperlink r:id="rId133">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34"/>
    <w:bookmarkStart w:id="136" w:name="ref-neuzillet2022periostin"/>
    <w:p>
      <w:pPr>
        <w:pStyle w:val="Bibliography"/>
      </w:pPr>
      <w:r>
        <w:t xml:space="preserve">38.</w:t>
      </w:r>
      <w:r>
        <w:t xml:space="preserve"> </w:t>
      </w:r>
      <w:r>
        <w:t xml:space="preserve">	</w:t>
      </w:r>
      <w:r>
        <w:t xml:space="preserve">Neuzillet, C.</w:t>
      </w:r>
      <w:r>
        <w:t xml:space="preserve"> </w:t>
      </w:r>
      <w:r>
        <w:rPr>
          <w:iCs/>
          <w:i/>
        </w:rPr>
        <w:t xml:space="preserve">et al.</w:t>
      </w:r>
      <w:r>
        <w:t xml:space="preserve"> </w:t>
      </w:r>
      <w:hyperlink r:id="rId135">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6"/>
    <w:bookmarkStart w:id="138" w:name="ref-lee2024tumorcaf"/>
    <w:p>
      <w:pPr>
        <w:pStyle w:val="Bibliography"/>
      </w:pPr>
      <w:r>
        <w:t xml:space="preserve">39.</w:t>
      </w:r>
      <w:r>
        <w:t xml:space="preserve"> </w:t>
      </w:r>
      <w:r>
        <w:t xml:space="preserve">	</w:t>
      </w:r>
      <w:r>
        <w:t xml:space="preserve">Lee, J. J.</w:t>
      </w:r>
      <w:r>
        <w:t xml:space="preserve"> </w:t>
      </w:r>
      <w:r>
        <w:rPr>
          <w:iCs/>
          <w:i/>
        </w:rPr>
        <w:t xml:space="preserve">et al.</w:t>
      </w:r>
      <w:r>
        <w:t xml:space="preserve"> </w:t>
      </w:r>
      <w:hyperlink r:id="rId137">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8"/>
    <w:bookmarkStart w:id="140" w:name="ref-smith2020standard"/>
    <w:p>
      <w:pPr>
        <w:pStyle w:val="Bibliography"/>
      </w:pPr>
      <w:r>
        <w:t xml:space="preserve">40.</w:t>
      </w:r>
      <w:r>
        <w:t xml:space="preserve"> </w:t>
      </w:r>
      <w:r>
        <w:t xml:space="preserve">	</w:t>
      </w:r>
      <w:r>
        <w:t xml:space="preserve">Smith, A. M.</w:t>
      </w:r>
      <w:r>
        <w:t xml:space="preserve"> </w:t>
      </w:r>
      <w:r>
        <w:rPr>
          <w:iCs/>
          <w:i/>
        </w:rPr>
        <w:t xml:space="preserve">et al.</w:t>
      </w:r>
      <w:r>
        <w:t xml:space="preserve"> </w:t>
      </w:r>
      <w:hyperlink r:id="rId139">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40"/>
    <w:bookmarkStart w:id="142" w:name="ref-lee1999learning"/>
    <w:p>
      <w:pPr>
        <w:pStyle w:val="Bibliography"/>
      </w:pPr>
      <w:r>
        <w:t xml:space="preserve">41.</w:t>
      </w:r>
      <w:r>
        <w:t xml:space="preserve"> </w:t>
      </w:r>
      <w:r>
        <w:t xml:space="preserve">	</w:t>
      </w:r>
      <w:r>
        <w:t xml:space="preserve">Lee, D. D. &amp; Seung, H. S.</w:t>
      </w:r>
      <w:r>
        <w:t xml:space="preserve"> </w:t>
      </w:r>
      <w:hyperlink r:id="rId14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142"/>
    <w:bookmarkStart w:id="144" w:name="ref-gaujoux2010flexible"/>
    <w:p>
      <w:pPr>
        <w:pStyle w:val="Bibliography"/>
      </w:pPr>
      <w:r>
        <w:t xml:space="preserve">42.</w:t>
      </w:r>
      <w:r>
        <w:t xml:space="preserve"> </w:t>
      </w:r>
      <w:r>
        <w:t xml:space="preserve">	</w:t>
      </w:r>
      <w:r>
        <w:t xml:space="preserve">Gaujoux, R. &amp; Seoighe, C.</w:t>
      </w:r>
      <w:r>
        <w:t xml:space="preserve"> </w:t>
      </w:r>
      <w:hyperlink r:id="rId143">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44"/>
    <w:bookmarkStart w:id="146" w:name="ref-data_tcga_paad"/>
    <w:p>
      <w:pPr>
        <w:pStyle w:val="Bibliography"/>
      </w:pPr>
      <w:r>
        <w:t xml:space="preserve">43.</w:t>
      </w:r>
      <w:r>
        <w:t xml:space="preserve"> </w:t>
      </w:r>
      <w:r>
        <w:t xml:space="preserve">	</w:t>
      </w:r>
      <w:r>
        <w:t xml:space="preserve">The Cancer Genome Atlas Research Network.</w:t>
      </w:r>
      <w:r>
        <w:t xml:space="preserve"> </w:t>
      </w:r>
      <w:hyperlink r:id="rId14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46"/>
    <w:bookmarkStart w:id="14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7">
        <w:r>
          <w:rPr>
            <w:rStyle w:val="Hyperlink"/>
          </w:rPr>
          <w:t xml:space="preserve">Data from CPTAC-3 pancreatic ductal adenocarcinoma cohort</w:t>
        </w:r>
      </w:hyperlink>
      <w:r>
        <w:t xml:space="preserve">. (2019).</w:t>
      </w:r>
    </w:p>
    <w:bookmarkEnd w:id="148"/>
    <w:bookmarkStart w:id="15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50"/>
    <w:bookmarkStart w:id="15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5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52"/>
    <w:bookmarkStart w:id="15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5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54"/>
    <w:bookmarkStart w:id="15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55">
        <w:r>
          <w:rPr>
            <w:rStyle w:val="Hyperlink"/>
          </w:rPr>
          <w:t xml:space="preserve">Pancreatic cancer (PACA-AU) cohort: Array and RNA-sequencing data</w:t>
        </w:r>
      </w:hyperlink>
      <w:r>
        <w:t xml:space="preserve">. (2016).</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prognostic tumor–stroma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2026-09-16T19:00:22Z</dcterms:created>
  <dcterms:modified xsi:type="dcterms:W3CDTF">2026-09-16T19:00:22Z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microenvironmental heterogeneity. However, unsupervised gene-program discovery typically captures dominant axes of transcriptomic variation that are not necessarily prognostic. We developed DeSurv, a survival-supervised matrix factorization that incorporates outcomes into gene-program discovery and applies the learned programs to new cohorts without refitting. In pooled TCGA and CPTAC cohorts, DeSurv recovered a three-program tumor–stroma architecture whose survival-aligned program (D1) combined classical-tumor and restCAF-like stromal features. Applied without refitting to five datasets spanning four independent cohorts, the risk score remained prognostic (HR per pooled SD 1.42, 95% CI 1.26–1.59) before and after PurIST and DeCAF adjustment. A matched-rank, matched-budget unsupervised control did not recover D1, whereas a rank-optimized seven-factor control carried comparable prognostic information. In simulations with known structure, DeSurv recovered prognostic genes more accurately when survival signal contributed little expression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