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and</w:t>
      </w:r>
      <w:r>
        <w:t xml:space="preserve"> </w:t>
      </w:r>
      <w:r>
        <w:t xml:space="preserve">stromal</w:t>
      </w:r>
      <w:r>
        <w:t xml:space="preserve"> </w:t>
      </w:r>
      <w:r>
        <w:t xml:space="preserve">biology,</w:t>
      </w:r>
      <w:r>
        <w:t xml:space="preserve"> </w:t>
      </w:r>
      <w:r>
        <w:t xml:space="preserve">but</w:t>
      </w:r>
      <w:r>
        <w:t xml:space="preserve"> </w:t>
      </w:r>
      <w:r>
        <w:t xml:space="preserve">transcriptomic</w:t>
      </w:r>
      <w:r>
        <w:t xml:space="preserve"> </w:t>
      </w:r>
      <w:r>
        <w:t xml:space="preserve">programs</w:t>
      </w:r>
      <w:r>
        <w:t xml:space="preserve"> </w:t>
      </w:r>
      <w:r>
        <w:t xml:space="preserve">are</w:t>
      </w:r>
      <w:r>
        <w:t xml:space="preserve"> </w:t>
      </w:r>
      <w:r>
        <w:t xml:space="preserve">typically</w:t>
      </w:r>
      <w:r>
        <w:t xml:space="preserve"> </w:t>
      </w:r>
      <w:r>
        <w:t xml:space="preserve">discovered</w:t>
      </w:r>
      <w:r>
        <w:t xml:space="preserve"> </w:t>
      </w:r>
      <w:r>
        <w:t xml:space="preserve">without</w:t>
      </w:r>
      <w:r>
        <w:t xml:space="preserve"> </w:t>
      </w:r>
      <w:r>
        <w:t xml:space="preserve">outcome</w:t>
      </w:r>
      <w:r>
        <w:t xml:space="preserve"> </w:t>
      </w:r>
      <w:r>
        <w:t xml:space="preserve">information,</w:t>
      </w:r>
      <w:r>
        <w:t xml:space="preserve"> </w:t>
      </w:r>
      <w:r>
        <w:t xml:space="preserve">so</w:t>
      </w:r>
      <w:r>
        <w:t xml:space="preserve"> </w:t>
      </w:r>
      <w:r>
        <w:t xml:space="preserve">the</w:t>
      </w:r>
      <w:r>
        <w:t xml:space="preserve"> </w:t>
      </w:r>
      <w:r>
        <w:t xml:space="preserve">programs</w:t>
      </w:r>
      <w:r>
        <w:t xml:space="preserve"> </w:t>
      </w:r>
      <w:r>
        <w:t xml:space="preserve">dominating</w:t>
      </w:r>
      <w:r>
        <w:t xml:space="preserve"> </w:t>
      </w:r>
      <w:r>
        <w:t xml:space="preserve">expression</w:t>
      </w:r>
      <w:r>
        <w:t xml:space="preserve"> </w:t>
      </w:r>
      <w:r>
        <w:t xml:space="preserve">variation</w:t>
      </w:r>
      <w:r>
        <w:t xml:space="preserve"> </w:t>
      </w:r>
      <w:r>
        <w:t xml:space="preserve">need</w:t>
      </w:r>
      <w:r>
        <w:t xml:space="preserve"> </w:t>
      </w:r>
      <w:r>
        <w:t xml:space="preserve">not</w:t>
      </w:r>
      <w:r>
        <w:t xml:space="preserve"> </w:t>
      </w:r>
      <w:r>
        <w:t xml:space="preserve">be</w:t>
      </w:r>
      <w:r>
        <w:t xml:space="preserve"> </w:t>
      </w:r>
      <w:r>
        <w:t xml:space="preserve">the</w:t>
      </w:r>
      <w:r>
        <w:t xml:space="preserve"> </w:t>
      </w:r>
      <w:r>
        <w:t xml:space="preserve">most</w:t>
      </w:r>
      <w:r>
        <w:t xml:space="preserve"> </w:t>
      </w:r>
      <w:r>
        <w:t xml:space="preserve">relevant</w:t>
      </w:r>
      <w:r>
        <w:t xml:space="preserve"> </w:t>
      </w:r>
      <w:r>
        <w:t xml:space="preserve">to</w:t>
      </w:r>
      <w:r>
        <w:t xml:space="preserve"> </w:t>
      </w:r>
      <w:r>
        <w:t xml:space="preserve">survival.</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w:t>
      </w:r>
      <w:r>
        <w:t xml:space="preserve"> </w:t>
      </w:r>
      <w:r>
        <w:t xml:space="preserve">into</w:t>
      </w:r>
      <w:r>
        <w:t xml:space="preserve"> </w:t>
      </w:r>
      <w:r>
        <w:t xml:space="preserve">gene-program</w:t>
      </w:r>
      <w:r>
        <w:t xml:space="preserve"> </w:t>
      </w:r>
      <w:r>
        <w:t xml:space="preserve">estimation</w:t>
      </w:r>
      <w:r>
        <w:t xml:space="preserve"> </w:t>
      </w:r>
      <w:r>
        <w:t xml:space="preserve">and</w:t>
      </w:r>
      <w:r>
        <w:t xml:space="preserve"> </w:t>
      </w:r>
      <w:r>
        <w:t xml:space="preserve">fixes</w:t>
      </w:r>
      <w:r>
        <w:t xml:space="preserve"> </w:t>
      </w:r>
      <w:r>
        <w:t xml:space="preserve">the</w:t>
      </w:r>
      <w:r>
        <w:t xml:space="preserve"> </w:t>
      </w:r>
      <w:r>
        <w:t xml:space="preserve">gene</w:t>
      </w:r>
      <w:r>
        <w:t xml:space="preserve"> </w:t>
      </w:r>
      <w:r>
        <w:t xml:space="preserve">weights</w:t>
      </w:r>
      <w:r>
        <w:t xml:space="preserve"> </w:t>
      </w:r>
      <w:r>
        <w:t xml:space="preserve">for</w:t>
      </w:r>
      <w:r>
        <w:t xml:space="preserve"> </w:t>
      </w:r>
      <w:r>
        <w:t xml:space="preserve">scoring</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direction</w:t>
      </w:r>
      <w:r>
        <w:t xml:space="preserve"> </w:t>
      </w:r>
      <w:r>
        <w:t xml:space="preserve">(D1)</w:t>
      </w:r>
      <w:r>
        <w:t xml:space="preserve"> </w:t>
      </w:r>
      <w:r>
        <w:t xml:space="preserve">linked</w:t>
      </w:r>
      <w:r>
        <w:t xml:space="preserve"> </w:t>
      </w:r>
      <w:r>
        <w:t xml:space="preserve">classical</w:t>
      </w:r>
      <w:r>
        <w:t xml:space="preserve"> </w:t>
      </w:r>
      <w:r>
        <w:t xml:space="preserve">tumor</w:t>
      </w:r>
      <w:r>
        <w:t xml:space="preserve"> </w:t>
      </w:r>
      <w:r>
        <w:t xml:space="preserve">identity</w:t>
      </w:r>
      <w:r>
        <w:t xml:space="preserve"> </w:t>
      </w:r>
      <w:r>
        <w:t xml:space="preserve">with</w:t>
      </w:r>
      <w:r>
        <w:t xml:space="preserve"> </w:t>
      </w:r>
      <w:r>
        <w:t xml:space="preserve">restCAF-like</w:t>
      </w:r>
      <w:r>
        <w:t xml:space="preserve"> </w:t>
      </w:r>
      <w:r>
        <w:t xml:space="preserve">stroma.</w:t>
      </w:r>
      <w:r>
        <w:t xml:space="preserve"> </w:t>
      </w:r>
      <w:r>
        <w:t xml:space="preserve">The</w:t>
      </w:r>
      <w:r>
        <w:t xml:space="preserve"> </w:t>
      </w:r>
      <w:r>
        <w:t xml:space="preserve">frozen</w:t>
      </w:r>
      <w:r>
        <w:t xml:space="preserve"> </w:t>
      </w:r>
      <w:r>
        <w:t xml:space="preserve">representation</w:t>
      </w:r>
      <w:r>
        <w:t xml:space="preserve"> </w:t>
      </w:r>
      <w:r>
        <w:t xml:space="preserve">transferred</w:t>
      </w:r>
      <w:r>
        <w:t xml:space="preserve"> </w:t>
      </w:r>
      <w:r>
        <w:t xml:space="preserve">across</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where</w:t>
      </w:r>
      <w:r>
        <w:t xml:space="preserve"> </w:t>
      </w:r>
      <w:r>
        <w:t xml:space="preserve">the</w:t>
      </w:r>
      <w:r>
        <w:t xml:space="preserve"> </w:t>
      </w:r>
      <w:r>
        <w:t xml:space="preserve">combined</w:t>
      </w:r>
      <w:r>
        <w:t xml:space="preserve"> </w:t>
      </w:r>
      <w:r>
        <w:t xml:space="preserve">risk</w:t>
      </w:r>
      <w:r>
        <w:t xml:space="preserve"> </w:t>
      </w:r>
      <w:r>
        <w:t xml:space="preserve">score</w:t>
      </w:r>
      <w:r>
        <w:t xml:space="preserve"> </w:t>
      </w:r>
      <w:r>
        <w:t xml:space="preserve">remained</w:t>
      </w:r>
      <w:r>
        <w:t xml:space="preserve"> </w:t>
      </w:r>
      <w:r>
        <w:t xml:space="preserve">prognostic</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including</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supporting</w:t>
      </w:r>
      <w:r>
        <w:t xml:space="preserve"> </w:t>
      </w:r>
      <w:r>
        <w:t xml:space="preserve">survival</w:t>
      </w:r>
      <w:r>
        <w:t xml:space="preserve"> </w:t>
      </w:r>
      <w:r>
        <w:t xml:space="preserve">supervision</w:t>
      </w:r>
      <w:r>
        <w:t xml:space="preserve"> </w:t>
      </w:r>
      <w:r>
        <w:t xml:space="preserve">rather</w:t>
      </w:r>
      <w:r>
        <w:t xml:space="preserve"> </w:t>
      </w:r>
      <w:r>
        <w:t xml:space="preserve">than</w:t>
      </w:r>
      <w:r>
        <w:t xml:space="preserve"> </w:t>
      </w:r>
      <w:r>
        <w:t xml:space="preserve">model</w:t>
      </w:r>
      <w:r>
        <w:t xml:space="preserve"> </w:t>
      </w:r>
      <w:r>
        <w:t xml:space="preserve">size</w:t>
      </w:r>
      <w:r>
        <w:t xml:space="preserve"> </w:t>
      </w:r>
      <w:r>
        <w:t xml:space="preserve">or</w:t>
      </w:r>
      <w:r>
        <w:t xml:space="preserve"> </w:t>
      </w:r>
      <w:r>
        <w:t xml:space="preserve">computational</w:t>
      </w:r>
      <w:r>
        <w:t xml:space="preserve"> </w:t>
      </w:r>
      <w:r>
        <w:t xml:space="preserve">effort.</w:t>
      </w:r>
      <w:r>
        <w:t xml:space="preserve"> </w:t>
      </w:r>
      <w:r>
        <w:t xml:space="preserve">In</w:t>
      </w:r>
      <w:r>
        <w:t xml:space="preserve"> </w:t>
      </w:r>
      <w:r>
        <w:t xml:space="preserve">known-truth</w:t>
      </w:r>
      <w:r>
        <w:t xml:space="preserve"> </w:t>
      </w:r>
      <w:r>
        <w:t xml:space="preserve">simulations,</w:t>
      </w:r>
      <w:r>
        <w:t xml:space="preserve"> </w:t>
      </w:r>
      <w:r>
        <w:t xml:space="preserve">DeSurv</w:t>
      </w:r>
      <w:r>
        <w:t xml:space="preserve"> </w:t>
      </w:r>
      <w:r>
        <w:t xml:space="preserve">more</w:t>
      </w:r>
      <w:r>
        <w:t xml:space="preserve"> </w:t>
      </w:r>
      <w:r>
        <w:t xml:space="preserve">accurately</w:t>
      </w:r>
      <w:r>
        <w:t xml:space="preserve"> </w:t>
      </w:r>
      <w:r>
        <w:t xml:space="preserve">recovered</w:t>
      </w:r>
      <w:r>
        <w:t xml:space="preserve"> </w:t>
      </w:r>
      <w:r>
        <w:t xml:space="preserve">prognostic</w:t>
      </w:r>
      <w:r>
        <w:t xml:space="preserve"> </w:t>
      </w:r>
      <w:r>
        <w:t xml:space="preserve">genes</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transcriptomic</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Whether a survival-aligned direction spanning tumor and stromal programs exists and adds prognostic information beyond existing subtype classifications remains unclear, in part because such programs are discovered without outcome information and tested against survival only afterward</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such methods have yielded molecular subtypes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basal-like and classical malignant programs</w:t>
      </w:r>
      <w:hyperlink w:anchor="ref-moffitt2015virtual">
        <w:r>
          <w:rPr>
            <w:rStyle w:val="Hyperlink"/>
            <w:vertAlign w:val="superscript"/>
          </w:rPr>
          <w:t xml:space="preserve">3</w:t>
        </w:r>
      </w:hyperlink>
      <w:r>
        <w:t xml:space="preserve">, and compartment-specific tumor–stroma deconvolution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the approximation rebuilt from the programs. Such reconstruction-driven criteria favor patterns that capture prominent expression variation whether or not that variation is related to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 Reconstruction alone also does not uniquely determine the recovered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unsupervised PDAC subtype taxonomies</w:t>
      </w:r>
      <w:hyperlink w:anchor="ref-lautizi2022pancreatic">
        <w:r>
          <w:rPr>
            <w:rStyle w:val="Hyperlink"/>
            <w:vertAlign w:val="superscript"/>
          </w:rPr>
          <w:t xml:space="preserve">22</w:t>
        </w:r>
      </w:hyperlink>
      <w:r>
        <w:t xml:space="preserve">. Consequently, establishing which unsupervised programs are clinically relevant and transportable has required extensive multi-study refinement: in PDAC, the basal-like/classical dichotomy took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w:t>
      </w:r>
    </w:p>
    <w:p>
      <w:pPr>
        <w:pStyle w:val="BodyText"/>
      </w:pPr>
      <w:r>
        <w:t xml:space="preserve">Conversely, survival-supervised models such as penalized Cox regression and supervised principal components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w:t>
      </w:r>
      <w:r>
        <w:t xml:space="preserve">can identify outcome-associated expression patterns. Such models may predict survival without organizing the prognostic signal into biologically interpretable tumor and microenvironmental programs, which is the form in which PDAC subtypes, and the single-sample classifiers built from them, have been defined</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so that survival helps shape gene programs as they are learned. By incorporating survival during factorization, DeSurv is designed to recover survival-aligned biological structure that may be obscured when other sources of expression variation dominate. A consensus across many restarts supplies the initialization for a final fit, after which the gene weights defining each program are held fixed, or frozen, allowing the same programs to be evaluated directly in independent cohorts without refitting the factorization. DeSurv therefore moves clinical relevance from a post hoc criterion for selecting among unsupervised factors to a criterion that shapes the factors themselves, while making cross-study transportability a direct test of the same frozen gene programs. We evaluate DeSurv in PDAC across five external validation datasets spanning four independent patient cohorts, and use simulations in which the true underlying (latent) programs are known, to characterize when survival supervision improves recovery of prognostic programs.</w:t>
      </w:r>
    </w:p>
    <w:p>
      <w:pPr>
        <w:pStyle w:val="BodyText"/>
      </w:pPr>
      <w:r>
        <w:t xml:space="preserve">In PDAC, DeSurv identifies a three-program tumor–stroma architecture that reflects joint cross-patient variation rather than spatial or cellular organization within individual tumors. We first compare it with NMF at higher rank (the number of programs the factorization extracts), with an unsupervised control matched on rank and tuning budget, and with conventional survival-supervised models, to isolate what survival supervision contributes to the representation itself (Supplementary Table [tab:architecture]). We then validate the frozen programs externally and ask whether the survival-aligned program is specific to DeSurv or reducible to established classifiers.</w:t>
      </w:r>
    </w:p>
    <w:bookmarkStart w:id="40" w:name="results"/>
    <w:p>
      <w:pPr>
        <w:pStyle w:val="Heading1"/>
      </w:pPr>
      <w:r>
        <w:t xml:space="preserve">Results</w:t>
      </w:r>
    </w:p>
    <w:bookmarkStart w:id="23" w:name="X8586db5bf7253dd0c952f36d352c8547824c587"/>
    <w:p>
      <w:pPr>
        <w:pStyle w:val="Heading2"/>
      </w:pPr>
      <w:r>
        <w:t xml:space="preserve">DeSurv incorporates survival information into gene-program estimation</w:t>
      </w:r>
    </w:p>
    <w:p>
      <w:pPr>
        <w:pStyle w:val="FirstParagraph"/>
      </w:pPr>
      <w:r>
        <w:t xml:space="preserve">DeSurv learns gene programs by balancing reconstruction of the tumor transcriptome with association to patient survival. Unlike the conventional sequence of unsupervised factorization followed by post hoc clinical screening, survival directly shapes the gene programs during discovery. After training, the gene weights are fixed, allowing the same programs to be scored and tested in new tumors without refitting the factorization (Fig. [fig:schema]A; Methods).</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Settings were chosen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(Methods). Cross-validated concordance (the C-index, the probability that the model ranks a pair of patients in the correct survival order) was high across a broad region of intermediate supervision and moderate rank, declining toward the unsupervised</w:t>
      </w:r>
      <w:r>
        <w:t xml:space="preserve"> </w:t>
      </w:r>
      <m:oMath>
        <m:r>
          <m:t>α</m:t>
        </m:r>
        <m:r>
          <m:rPr>
            <m:sty m:val="p"/>
          </m:rPr>
          <m:t>=</m:t>
        </m:r>
        <m:r>
          <m:t>0</m:t>
        </m:r>
      </m:oMath>
      <w:r>
        <w:t xml:space="preserve"> </w:t>
      </w:r>
      <w:r>
        <w:t xml:space="preserve">boundary (Supplementary Fig. [fig:fig-si-bo-tuning]). Concordance changed little across the ranks examined, so we applied the one-standard-error rule, which takes the most parsimonious model within one standard error of the best, giving a three-program model (</w:t>
      </w:r>
      <m:oMath>
        <m:r>
          <m:t>k</m:t>
        </m:r>
        <m:r>
          <m:rPr>
            <m:sty m:val="p"/>
          </m:rPr>
          <m:t>=</m:t>
        </m:r>
        <m:r>
          <m:t>3</m:t>
        </m:r>
      </m:oMath>
      <w:r>
        <w:t xml:space="preserve">,</w:t>
      </w:r>
      <w:r>
        <w:t xml:space="preserve"> </w:t>
      </w:r>
      <m:oMath>
        <m:r>
          <m:t>α</m:t>
        </m:r>
        <m:r>
          <m:rPr>
            <m:sty m:val="p"/>
          </m:rPr>
          <m:t>=</m:t>
        </m:r>
        <m:r>
          <m:t>0.334</m:t>
        </m:r>
      </m:oMath>
      <w:r>
        <w:t xml:space="preserve">; Fig. [fig:schema]B and Supplementary Fig. [fig:fig-cindex-by-k]). By contrast, standard unsupervised NMF rank criteria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gave conflicting choices in the same data (Supplementary Fig. [fig:fig-nmf-diagnostics]). All model and hyperparameter selection was completed within the training cohorts before the programs were applied to external validation datasets.</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e985749461be2baee423729112bad52034f43da"/>
    <w:p>
      <w:pPr>
        <w:pStyle w:val="Heading2"/>
      </w:pPr>
      <w:r>
        <w:t xml:space="preserve">Survival supervision changes the recovered representation at matched complexity</w:t>
      </w:r>
    </w:p>
    <w:p>
      <w:pPr>
        <w:pStyle w:val="FirstParagraph"/>
      </w:pPr>
      <w:r>
        <w:t xml:space="preserve">To determine how survival supervision altered the biological representation, we compared DeSurv with standard NMF (Lee multiplicative NMF, the field-standard implementation) at the same rank (</w:t>
      </w:r>
      <m:oMath>
        <m:r>
          <m:t>k</m:t>
        </m:r>
        <m:r>
          <m:rPr>
            <m:sty m:val="p"/>
          </m:rPr>
          <m:t>=</m:t>
        </m:r>
        <m:r>
          <m:t>3</m:t>
        </m:r>
      </m:oMath>
      <w:r>
        <w:t xml:space="preserve">), thereby holding model complexity constant. DeSurv resolved three distinct programs (D1–D3): D1, enriched for classical tumor and restCAF-like stromal signatures; D2, enriched for proCAF-like stroma; and D3, enriched for basal-like tumor programs (Fig. [fig:pdac]a). Together, these programs define a tumor–stroma prognostic architecture spanning classical/restCAF-like and basal-like/proCAF-like states across patients. The classical component of D1 was independently supported in the COMPASS cohort, where D1 scores correlated with GATA6 RNA in situ hybridization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produced a different representation at the same rank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DeSurv instead separated basal-like tumor (D3) and proCAF-like stroma (D2) while recovering the distinct classical/restCAF-like survival-aligned D1 program. Both methods similarly recovered the activated-stroma and proCAF-like reference programs, stromal distinctions that bulk deconvolution conventionally resolves. They differed at the restraining end: among the displayed top-ranked genes, the restCAF and iCAF reference programs corresponded to a DeSurv program and to no standard NMF factor (Fig. [fig:pdac]a,b).</w:t>
      </w:r>
    </w:p>
    <w:p>
      <w:pPr>
        <w:pStyle w:val="BodyText"/>
      </w:pPr>
      <w:r>
        <w:t xml:space="preserve">This difference reflected a selective reorganization rather than wholesale loss of expression structure. D1 accounted for the smallest share of the full model’s reconstruction gain,</w:t>
      </w:r>
      <w:r>
        <w:t xml:space="preserve"> </w:t>
      </w:r>
      <m:oMath>
        <m:r>
          <m:t>18.8</m:t>
        </m:r>
      </m:oMath>
      <w:r>
        <w:t xml:space="preserve">% (Shapley shares</w:t>
      </w:r>
      <w:hyperlink w:anchor="ref-shapley1953value">
        <w:r>
          <w:rPr>
            <w:rStyle w:val="Hyperlink"/>
            <w:vertAlign w:val="superscript"/>
          </w:rPr>
          <w:t xml:space="preserve">31</w:t>
        </w:r>
      </w:hyperlink>
      <w:r>
        <w:t xml:space="preserve">), whereas omitting it lowered the Cox partial log-likelihood, the fit criterion of the Cox model, by</w:t>
      </w:r>
      <w:r>
        <w:t xml:space="preserve"> </w:t>
      </w:r>
      <m:oMath>
        <m:r>
          <m:t>66.4</m:t>
        </m:r>
      </m:oMath>
      <w:r>
        <w:t xml:space="preserve">, against</w:t>
      </w:r>
      <w:r>
        <w:t xml:space="preserve"> </w:t>
      </w:r>
      <m:oMath>
        <m:r>
          <m:t>1.0</m:t>
        </m:r>
      </m:oMath>
      <w:r>
        <w:t xml:space="preserve"> </w:t>
      </w:r>
      <w:r>
        <w:t xml:space="preserve">for D3 and</w:t>
      </w:r>
      <w:r>
        <w:t xml:space="preserve"> </w:t>
      </w:r>
      <m:oMath>
        <m:r>
          <m:t>0.02</m:t>
        </m:r>
      </m:oMath>
      <w:r>
        <w:t xml:space="preserve"> </w:t>
      </w:r>
      <w:r>
        <w:t xml:space="preserve">for D2, even though D3 accounted for</w:t>
      </w:r>
      <w:r>
        <w:t xml:space="preserve"> </w:t>
      </w:r>
      <m:oMath>
        <m:r>
          <m:t>56</m:t>
        </m:r>
      </m:oMath>
      <w:r>
        <w:t xml:space="preserve">% of the reconstruction gain (Fig. [fig:pdac]c). Within the fitted model, the survival contribution was therefore concentrated in D1 despite its small contribution to reconstruction. Because D1 was estimated using these outcomes, its increment describes where the model placed the survival signal rather than testing whether that signal is real. The unsupervised factors were fit without survival; the factor with the largest reconstruction contribution (</w:t>
      </w:r>
      <m:oMath>
        <m:r>
          <m:t>42</m:t>
        </m:r>
      </m:oMath>
      <w:r>
        <w:t xml:space="preserve">%) lowered the partial log-likelihood by only</w:t>
      </w:r>
      <w:r>
        <w:t xml:space="preserve"> </w:t>
      </w:r>
      <m:oMath>
        <m:r>
          <m:t>1.16</m:t>
        </m:r>
      </m:oMath>
      <w:r>
        <w:t xml:space="preserve">.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were largely retained as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Spearman correlation of gene loadings over all analysed genes; Fig. [fig:pdac]d). Consistently, D1 was poorly reconstructable from the full set of NMF factors (</w:t>
      </w:r>
      <m:oMath>
        <m:sSup>
          <m:e>
            <m:r>
              <m:t>R</m:t>
            </m:r>
          </m:e>
          <m:sup>
            <m:r>
              <m:t>2</m:t>
            </m:r>
          </m:sup>
        </m:sSup>
        <m:r>
          <m:rPr>
            <m:sty m:val="p"/>
          </m:rPr>
          <m:t>=</m:t>
        </m:r>
        <m:r>
          <m:t>0.09</m:t>
        </m:r>
      </m:oMath>
      <w:r>
        <w:t xml:space="preserve">; Supplementary Table [tab:projection-r2]). DeSurv nonetheless reconstructed the analysis matrix only somewhat less completely than matched-rank standard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 at a measurable cost in reconstruction.</w:t>
      </w:r>
    </w:p>
    <w:p>
      <w:pPr>
        <w:pStyle w:val="BodyText"/>
      </w:pPr>
      <w:r>
        <w:t xml:space="preserve">Tuning effort does not appear to explain the difference. We repeated the comparison with the matched-budget unsupervised control, an unsupervised model matched to DeSurv on rank, optimizer, tuning budget and consensus initialization procedure (starting values built from the solutions of many restarts). It recovered D2 (</w:t>
      </w:r>
      <m:oMath>
        <m:r>
          <m:t>ρ</m:t>
        </m:r>
        <m:r>
          <m:rPr>
            <m:sty m:val="p"/>
          </m:rPr>
          <m:t>=</m:t>
        </m:r>
        <m:r>
          <m:t>0.86</m:t>
        </m:r>
      </m:oMath>
      <w:r>
        <w:t xml:space="preserve">) and D3 (</w:t>
      </w:r>
      <m:oMath>
        <m:r>
          <m:t>ρ</m:t>
        </m:r>
        <m:r>
          <m:rPr>
            <m:sty m:val="p"/>
          </m:rPr>
          <m:t>=</m:t>
        </m:r>
        <m:r>
          <m:t>0.75</m:t>
        </m:r>
      </m:oMath>
      <w:r>
        <w:t xml:space="preserve">) as before, but recovered D1 no better than the standard implementation did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w:t>
      </w:r>
      <w:r>
        <w:rPr>
          <w:iCs/>
          <w:i/>
        </w:rPr>
        <w:t xml:space="preserve"> </w:t>
      </w:r>
      <m:oMath>
        <m:r>
          <m:t>r</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labelled SCISSORS: restCAF and SCISSORS: proCAF display the SCISSORS iCAF and myCAF gene sets under the naming used by the DeCAF classification (Supplementary Information). (c) Per-factor reconstruction contribution (normalized Shapley share, summing to 100%) versus survival contribution (</w:t>
      </w:r>
      <m:oMath>
        <m:r>
          <m:t>Δ</m:t>
        </m:r>
      </m:oMath>
      <w:r>
        <w:rPr>
          <w:iCs/>
          <w:i/>
        </w:rPr>
        <w:t xml:space="preserve"> </w:t>
      </w:r>
      <w:r>
        <w:rPr>
          <w:iCs/>
          <w:i/>
        </w:rPr>
        <w:t xml:space="preserve">Cox partial log-likelihood on factor removal). Because D1 was estimated using these survival outcomes, its increment describes where the model placed the survival signal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c3738784e7570d272abf5aed7e47dc454451282"/>
    <w:p>
      <w:pPr>
        <w:pStyle w:val="Heading2"/>
      </w:pPr>
      <w:r>
        <w:t xml:space="preserve">Frozen survival-aligned programs retain prognostic relevance across independent untreated and treated PDAC cohorts</w:t>
      </w:r>
    </w:p>
    <w:p>
      <w:pPr>
        <w:pStyle w:val="FirstParagraph"/>
      </w:pPr>
      <w:r>
        <w:t xml:space="preserve">We next applied the frozen programs to five external validation datasets spanning four independent patient cohorts (Dijk, Moffitt, PACA-AU [array and RNA-seq], and Puleo; non-metastatic, treatment-naive; Supplementary Table [tab:cohorts]). Each tumor was scored by projecting its expression onto the trained programs, restricted to their top-ranked genes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giving</w:t>
      </w:r>
      <w:r>
        <w:t xml:space="preserve"> </w:t>
      </w:r>
      <m:oMath>
        <m:r>
          <m:t>570</m:t>
        </m:r>
      </m:oMath>
      <w:r>
        <w:t xml:space="preserve"> </w:t>
      </w:r>
      <w:r>
        <w:t xml:space="preserve">unique patients (388 deaths; Methods). The survival-aligned D1 program had protective point estimates in every validation dataset and was the only individual program associated with survival in the combined, cohort-stratified analysis (HR per SD</w:t>
      </w:r>
      <w:r>
        <w:t xml:space="preserve"> </w:t>
      </w:r>
      <m:oMath>
        <m:r>
          <m:t>0.75</m:t>
        </m:r>
      </m:oMath>
      <w:r>
        <w:t xml:space="preserve"> </w:t>
      </w:r>
      <w:r>
        <w:t xml:space="preserve">(95% CI</w:t>
      </w:r>
      <w:r>
        <w:t xml:space="preserve"> </w:t>
      </w:r>
      <m:oMath>
        <m:r>
          <m:t>0.68</m:t>
        </m:r>
      </m:oMath>
      <w:r>
        <w:t xml:space="preserve">–</w:t>
      </w:r>
      <m:oMath>
        <m:r>
          <m:t>0.83</m:t>
        </m:r>
      </m:oMath>
      <w:r>
        <w:t xml:space="preserve">),</w:t>
      </w:r>
      <w:r>
        <w:t xml:space="preserve"> </w:t>
      </w:r>
      <m:oMath>
        <m:r>
          <m:t>P</m:t>
        </m:r>
      </m:oMath>
      <w:r>
        <w:t xml:space="preserve"> </w:t>
      </w:r>
      <w:r>
        <w:t xml:space="preserve">&lt;0.001). D3 had hazard ratios above 1 in four of the five datasets but was not significant in any of them, nor combined (</w:t>
      </w:r>
      <m:oMath>
        <m:r>
          <m:t>1.09</m:t>
        </m:r>
      </m:oMath>
      <w:r>
        <w:t xml:space="preserve"> </w:t>
      </w:r>
      <w:r>
        <w:t xml:space="preserve">(95% CI</w:t>
      </w:r>
      <w:r>
        <w:t xml:space="preserve"> </w:t>
      </w:r>
      <m:oMath>
        <m:r>
          <m:t>0.98</m:t>
        </m:r>
      </m:oMath>
      <w:r>
        <w:t xml:space="preserve">–</w:t>
      </w:r>
      <m:oMath>
        <m:r>
          <m:t>1.21</m:t>
        </m:r>
      </m:oMath>
      <w:r>
        <w:t xml:space="preserve">),</w:t>
      </w:r>
      <w:r>
        <w:t xml:space="preserve"> </w:t>
      </w:r>
      <m:oMath>
        <m:r>
          <m:t>P</m:t>
        </m:r>
        <m:r>
          <m:rPr>
            <m:sty m:val="p"/>
          </m:rPr>
          <m:t>=</m:t>
        </m:r>
        <m:r>
          <m:t>0.10</m:t>
        </m:r>
      </m:oMath>
      <w:r>
        <w:t xml:space="preserve">). The proCAF-like D2 program was near-null (</w:t>
      </w:r>
      <m:oMath>
        <m:r>
          <m:t>1.02</m:t>
        </m:r>
      </m:oMath>
      <w:r>
        <w:t xml:space="preserve"> </w:t>
      </w:r>
      <w:r>
        <w:t xml:space="preserve">(95%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more variable (Fig. [fig:val]a).</w:t>
      </w:r>
    </w:p>
    <w:p>
      <w:pPr>
        <w:pStyle w:val="BodyText"/>
      </w:pPr>
      <w:r>
        <w:t xml:space="preserve">The frozen multivariable DeSurv linear predictor, the weighted sum of the three program scores (oriented so that higher values indicate higher risk), was associated with overall survival in a cohort-stratified analysis (pooled HR per SD</w:t>
      </w:r>
      <w:r>
        <w:t xml:space="preserve"> </w:t>
      </w:r>
      <m:oMath>
        <m:r>
          <m:rPr>
            <m:sty m:val="p"/>
          </m:rPr>
          <m:t>=</m:t>
        </m:r>
        <m:r>
          <m:t>1.42</m:t>
        </m:r>
      </m:oMath>
      <w:r>
        <w:t xml:space="preserve">,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Scaled Schoenfeld residuals showed the association attenuating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the pooled hazard ratio is a time-averaged summary rather than a constant multiplicative effect. The estimate did not depend on any single dataset (Fig. [fig:val]a).</w:t>
      </w:r>
    </w:p>
    <w:p>
      <w:pPr>
        <w:pStyle w:val="BodyText"/>
      </w:pPr>
      <w:r>
        <w:t xml:space="preserve">Allowing cohort-specific slopes did not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cohort), and the four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Combined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with an integrated Brier score of</w:t>
      </w:r>
      <w:r>
        <w:t xml:space="preserve"> </w:t>
      </w:r>
      <m:oMath>
        <m:r>
          <m:t>0.159</m:t>
        </m:r>
      </m:oMath>
      <w:r>
        <w:t xml:space="preserve"> </w:t>
      </w:r>
      <w:r>
        <w:t xml:space="preserve">against</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 At the same rank, the matched-budget unsupervised control was not associated with survival (Table [tab:hr-adjusted]).</w:t>
      </w:r>
    </w:p>
    <w:p>
      <w:pPr>
        <w:pStyle w:val="BodyText"/>
      </w:pPr>
      <w:r>
        <w:t xml:space="preserve">We then asked whether comparable prognostic performance could be achieved without survival-supervised factorization. The two methods differ most in how their performance depends on rank (Supplementary Fig. [fig:fig-cindex-by-k]). DeSurv reached near-maximal cross-validated concordance at the lowest ranks examined, with little change as factors were added. The unsupervised limit (</w:t>
      </w:r>
      <m:oMath>
        <m:r>
          <m:t>α</m:t>
        </m:r>
        <m:r>
          <m:rPr>
            <m:sty m:val="p"/>
          </m:rPr>
          <m:t>=</m:t>
        </m:r>
        <m:r>
          <m:t>0</m:t>
        </m:r>
      </m:oMath>
      <w:r>
        <w:t xml:space="preserve">) started well below DeSurv and increased progressively with rank, approaching DeSurv only at higher-rank solutions. Unsupervised factorization therefore required many more factors to approach the same cross-validated prognostic information.</w:t>
      </w:r>
    </w:p>
    <w:p>
      <w:pPr>
        <w:pStyle w:val="BodyText"/>
      </w:pPr>
      <w:r>
        <w:t xml:space="preserve">The higher-rank solution also represented more established PDAC programs: coverage increased from 16 for DeSurv at</w:t>
      </w:r>
      <w:r>
        <w:t xml:space="preserve"> </w:t>
      </w:r>
      <m:oMath>
        <m:r>
          <m:t>k</m:t>
        </m:r>
        <m:r>
          <m:rPr>
            <m:sty m:val="p"/>
          </m:rPr>
          <m:t>=</m:t>
        </m:r>
        <m:r>
          <m:t>3</m:t>
        </m:r>
      </m:oMath>
      <w:r>
        <w:t xml:space="preserve"> </w:t>
      </w:r>
      <w:r>
        <w:t xml:space="preserve">to 32 for the rank-optimized unsupervised control (the same pipeline at</w:t>
      </w:r>
      <w:r>
        <w:t xml:space="preserve"> </w:t>
      </w:r>
      <m:oMath>
        <m:r>
          <m:t>α</m:t>
        </m:r>
        <m:r>
          <m:rPr>
            <m:sty m:val="p"/>
          </m:rPr>
          <m:t>=</m:t>
        </m:r>
        <m:r>
          <m:t>0</m:t>
        </m:r>
      </m:oMath>
      <w:r>
        <w:t xml:space="preserve"> </w:t>
      </w:r>
      <w:r>
        <w:t xml:space="preserve">with rank selected by Bayesian optimization,</w:t>
      </w:r>
      <w:r>
        <w:t xml:space="preserve"> </w:t>
      </w:r>
      <m:oMath>
        <m:r>
          <m:t>k</m:t>
        </m:r>
        <m:r>
          <m:rPr>
            <m:sty m:val="p"/>
          </m:rPr>
          <m:t>=</m:t>
        </m:r>
        <m:r>
          <m:t>7</m:t>
        </m:r>
      </m:oMath>
      <w:r>
        <w:t xml:space="preserve">), while reference-program multiplicity remained low (1.00 versus 1.125; Supplementary Figs. [fig:fig-nmf-k7-heatmap] and [fig:fig-rpm]). Higher rank therefore primarily broadened biological representation rather than repeatedly mapping factors to the same programs. Survival supervision is not required to recover prognostic signal, but DeSurv represented comparable prognostic information with fewer than half as many factors (Table [tab:hr-adjusted]; Supplementary Table [tab:tab-cindex-comparison]).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factor; the platform-specific PACA-AU array and RNA-seq estimates are shown separately, and the black diamonds denote the combined estimate over unique patients (per-factor cohort-stratified Cox on the de-duplicated patient-level data;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Spearman</w:t>
      </w:r>
      <w:r>
        <w:rPr>
          <w:iCs/>
          <w:i/>
        </w:rPr>
        <w:t xml:space="preserve"> </w:t>
      </w:r>
      <m:oMath>
        <m:r>
          <m:t>r</m:t>
        </m:r>
        <m:r>
          <m:rPr>
            <m:sty m:val="p"/>
          </m:rPr>
          <m:t>|</m:t>
        </m:r>
      </m:oMath>
      <w:r>
        <w:rPr>
          <w:iCs/>
          <w:i/>
        </w:rPr>
        <w:t xml:space="preserve">) of tuned supervised risk scores (penalized Cox and supervised PCA) with the three DeSurv programs (D1–D3); supervised scores concentrate on D1 and are only weakly correlated with the D2 stromal program.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SD (95% CI),</w:t>
            </w:r>
            <w:r>
              <w:t xml:space="preserve"> </w:t>
            </w:r>
            <m:oMath>
              <m:r>
                <m:t>P</m:t>
              </m:r>
            </m:oMath>
          </w:p>
        </w:tc>
        <w:tc>
          <w:tcPr/>
          <w:p>
            <w:pPr>
              <w:pStyle w:val="Compact"/>
              <w:jc w:val="left"/>
            </w:pPr>
            <w:r>
              <w:t xml:space="preserve">Adjusted HR per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hazard ratios (per SD of the linear predictor) for DeSurv at</w:t>
      </w:r>
      <w:r>
        <w:rPr>
          <w:iCs/>
          <w:i/>
        </w:rPr>
        <w:t xml:space="preserve"> </w:t>
      </w:r>
      <m:oMath>
        <m:r>
          <m:t>k</m:t>
        </m:r>
        <m:r>
          <m:rPr>
            <m:sty m:val="p"/>
          </m:rPr>
          <m:t>=</m:t>
        </m:r>
        <m:r>
          <m:t>3</m:t>
        </m:r>
      </m:oMath>
      <w:r>
        <w:rPr>
          <w:iCs/>
          <w:i/>
        </w:rPr>
        <w:t xml:space="preserve">,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across five validation datasets spanning four independent patient cohorts (combined</w:t>
      </w:r>
      <w:r>
        <w:rPr>
          <w:iCs/>
          <w:i/>
        </w:rPr>
        <w:t xml:space="preserve"> </w:t>
      </w:r>
      <m:oMath>
        <m:r>
          <m:t>n</m:t>
        </m:r>
        <m:r>
          <m:rPr>
            <m:sty m:val="p"/>
          </m:rPr>
          <m:t>=</m:t>
        </m:r>
        <m:r>
          <m:t>570</m:t>
        </m:r>
      </m:oMath>
      <w:r>
        <w:rPr>
          <w:iCs/>
          <w:i/>
        </w:rPr>
        <w:t xml:space="preserve"> </w:t>
      </w:r>
      <w:r>
        <w:rPr>
          <w:iCs/>
          <w:i/>
        </w:rPr>
        <w:t xml:space="preserve">unique patients, 388 deaths). Adjusted models include the PurIST tumor-intrinsic and DeCAF stromal molecular classifiers as covariates, with stratification by dataset, and are restricted to the</w:t>
      </w:r>
      <w:r>
        <w:rPr>
          <w:iCs/>
          <w:i/>
        </w:rPr>
        <w:t xml:space="preserve"> </w:t>
      </w:r>
      <m:oMath>
        <m:r>
          <m:t>n</m:t>
        </m:r>
        <m:r>
          <m:rPr>
            <m:sty m:val="p"/>
          </m:rPr>
          <m:t>=</m:t>
        </m:r>
        <m:r>
          <m:t>570</m:t>
        </m:r>
      </m:oMath>
      <w:r>
        <w:rPr>
          <w:iCs/>
          <w:i/>
        </w:rPr>
        <w:t xml:space="preserve"> </w:t>
      </w:r>
      <w:r>
        <w:rPr>
          <w:iCs/>
          <w:i/>
        </w:rPr>
        <w:t xml:space="preserve">patients (388 deaths) with both classifier calls available. DeSurv and the rank-optimized control retain significant prognostic value after adjustment. Both unsupervised controls are the unsupervised limit of the same optimizer, run at</w:t>
      </w:r>
      <w:r>
        <w:rPr>
          <w:iCs/>
          <w:i/>
        </w:rPr>
        <w:t xml:space="preserve"> </w:t>
      </w:r>
      <m:oMath>
        <m:r>
          <m:t>α</m:t>
        </m:r>
        <m:r>
          <m:rPr>
            <m:sty m:val="p"/>
          </m:rPr>
          <m:t>=</m:t>
        </m:r>
        <m:r>
          <m:t>0</m:t>
        </m:r>
      </m:oMath>
      <w:r>
        <w:rPr>
          <w:iCs/>
          <w:i/>
        </w:rPr>
        <w:t xml:space="preserve"> </w:t>
      </w:r>
      <w:r>
        <w:rPr>
          <w:iCs/>
          <w:i/>
        </w:rPr>
        <w:t xml:space="preserve">with the same consensus-initialization procedure and Bayesian-optimization budget given to the supervised model: the rank-optimized control at its own BO-selected rank and the matched-budget control held at DeSurv’s rank, the latter serving as the tuning-budget control for the representational comparison in Fig. [fig:pdac]. The matched-rank comparator used for the factor-structure panels of Fig. [fig:pdac] is standard NMF (Lee multiplicative NMF, the field-standard implementation) (Supplementary Table [tab:tab-cindex-comparison]).</w:t>
      </w:r>
    </w:p>
    <w:p>
      <w:pPr>
        <w:pStyle w:val="BodyText"/>
      </w:pPr>
      <w:r>
        <w:t xml:space="preserve">The programs above were learned in treatment-naive, non-metastatic disease. Projected without retraining into the O’Kane/COMPASS cohort of treated metastatic disease, the survival-aligned D1 program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In the Linehan cohort, the proCAF-like D2 program increased from pre- to post-treatment biopsies (paired Wilcoxon</w:t>
      </w:r>
      <w:r>
        <w:t xml:space="preserve"> </w:t>
      </w:r>
      <m:oMath>
        <m:r>
          <m:t>P</m:t>
        </m:r>
        <m:r>
          <m:rPr>
            <m:sty m:val="p"/>
          </m:rPr>
          <m:t>=</m:t>
        </m:r>
        <m:r>
          <m:t>0.013</m:t>
        </m:r>
      </m:oMath>
      <w:r>
        <w:t xml:space="preserve">, mean change +0.34 SD; Fig. [fig:treated]b; Supplementary Information, Translational transportability).</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independently treated PDAC cohorts. (a) Prognostic transportability of D1 in treated metastatic PDAC. Forest plot of hazard ratios per SD of the frozen D1 score within each O’Kane/COMPASS treatment arm (FOLFIRINOX, gemcitabine/nab-paclitaxel [GA], and GA/experimental);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Error bars denote 95% confidence intervals. Because treatment, stage and cohort were not independently varied, these analyses establish prognostic and biological transportability rather than treatment-predictive effects.</w:t>
      </w:r>
    </w:p>
    <w:bookmarkEnd w:id="34"/>
    <w:bookmarkStart w:id="35" w:name="Xc85d0fb284a89b89cca4758c3d7e32a56f748e1"/>
    <w:p>
      <w:pPr>
        <w:pStyle w:val="Heading2"/>
      </w:pPr>
      <w:r>
        <w:t xml:space="preserve">The survival-aligned structure is not method-specific and is complementary to established PDAC classifiers</w:t>
      </w:r>
    </w:p>
    <w:p>
      <w:pPr>
        <w:pStyle w:val="FirstParagraph"/>
      </w:pPr>
      <w:r>
        <w:t xml:space="preserve">We next asked whether the dominant D1 direction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variance in the continuous D1 score, indicating substantial alignment with known tumor-intrinsic and stromal subtypes but incomplete overlap. D1 remained associated with survival after simultaneous adjustment for both classifiers (HR per SD</w:t>
      </w:r>
      <w:r>
        <w:t xml:space="preserve"> </w:t>
      </w:r>
      <m:oMath>
        <m:r>
          <m:rPr>
            <m:sty m:val="p"/>
          </m:rPr>
          <m:t>=</m:t>
        </m:r>
        <m:r>
          <m:t>0.82</m:t>
        </m:r>
      </m:oMath>
      <w:r>
        <w:t xml:space="preserve">,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stratified Cox model with additive PurIST and DeCAF terms improved fit beyond those terms (partial likelihood-ratio</w:t>
      </w:r>
      <w:r>
        <w:t xml:space="preserve"> </w:t>
      </w:r>
      <m:oMath>
        <m:sSup>
          <m:e>
            <m:r>
              <m:t>χ</m:t>
            </m:r>
          </m:e>
          <m:sup>
            <m:r>
              <m:t>2</m:t>
            </m:r>
          </m:sup>
        </m:sSup>
        <m:r>
          <m:rPr>
            <m:sty m:val="p"/>
          </m:rPr>
          <m:t>=</m:t>
        </m:r>
        <m:r>
          <m:t>10.1</m:t>
        </m:r>
      </m:oMath>
      <w:r>
        <w:t xml:space="preserve"> </w:t>
      </w:r>
      <w:r>
        <w:t xml:space="preserve">on 1 df,</w:t>
      </w:r>
      <w:r>
        <w:t xml:space="preserve"> </w:t>
      </w:r>
      <m:oMath>
        <m:r>
          <m:t>P</m:t>
        </m:r>
        <m:r>
          <m:rPr>
            <m:sty m:val="p"/>
          </m:rPr>
          <m:t>=</m:t>
        </m:r>
        <m:r>
          <m:t>0.0015</m:t>
        </m:r>
      </m:oMath>
      <w:r>
        <w:t xml:space="preserve">) and concordance from 0.592 to 0.622. In Puleo, the largest validation cohort, the DeSurv linear predictor remained prognostic after adjustment for standard clinical covariates (HR per SD</w:t>
      </w:r>
      <w:r>
        <w:t xml:space="preserve"> </w:t>
      </w:r>
      <m:oMath>
        <m:r>
          <m:rPr>
            <m:sty m:val="p"/>
          </m:rPr>
          <m:t>=</m:t>
        </m:r>
        <m:r>
          <m:t>1.33</m:t>
        </m:r>
      </m:oMath>
      <w:r>
        <w:t xml:space="preserve">, 95% CI</w:t>
      </w:r>
      <w:r>
        <w:t xml:space="preserve"> </w:t>
      </w:r>
      <m:oMath>
        <m:r>
          <m:t>1.14</m:t>
        </m:r>
      </m:oMath>
      <w:r>
        <w:t xml:space="preserve">–</w:t>
      </w:r>
      <m:oMath>
        <m:r>
          <m:t>1.55</m:t>
        </m:r>
      </m:oMath>
      <w:r>
        <w:t xml:space="preserve">; Supplementary Table [tab:clinical-adjustment]).</w:t>
      </w:r>
    </w:p>
    <w:p>
      <w:pPr>
        <w:pStyle w:val="BodyText"/>
      </w:pPr>
      <w:r>
        <w:t xml:space="preserve">Because D1 spans tumor and stromal programs, we asked whether it tracks tumor purity. Where purity was measured on a full cohort the association was essentially unchanged (PACA-AU array, 1.44 unadjusted versus 1.45 adjusted; RNA-seq, 1.66 versus 1.65), providing no evidence that the association was explained by measured tumor purity (Supplementary Table [tab:clinical-adjustment]).</w:t>
      </w:r>
    </w:p>
    <w:p>
      <w:pPr>
        <w:pStyle w:val="BodyText"/>
      </w:pPr>
      <w:r>
        <w:t xml:space="preserve">The survival-aligned representation overlaps established tumor and stromal classifications while retaining prognostic information beyond them. The classifier analyses provide two complementary results. DeCAF classification alone explained 19% of the variance in D1, supporting alignment with DeCAF-defined stromal variation, whereas D1 remained prognostic after simultaneous adjustment for PurIST and DeCAF, retaining prognostic information beyond those binary classifications. Neither result establishes restCAF identity at the cellular level, which this bulk-expression analysis does not resolve (Supplementary Information, Stromal resolution: which reference programs are recovered from bulk).</w:t>
      </w:r>
    </w:p>
    <w:p>
      <w:pPr>
        <w:pStyle w:val="BodyText"/>
      </w:pPr>
      <w:r>
        <w:t xml:space="preserve">The dominant D1 direction was also not specific to the DeSurv optimizer. When fit as single-component models, three independent survival-supervised approaches (supervised principal components, Cox partial least squares and sparse Cox) recovered patient scores strongly correlated with D1 in the training cohort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The leading unsupervised principal component was only weakly correlated with D1 (</w:t>
      </w:r>
      <m:oMath>
        <m:d>
          <m:dPr>
            <m:begChr m:val="|"/>
            <m:endChr m:val="|"/>
            <m:sepChr m:val=""/>
            <m:grow/>
          </m:dPr>
          <m:e>
            <m:r>
              <m:t>r</m:t>
            </m:r>
          </m:e>
        </m:d>
        <m:r>
          <m:rPr>
            <m:sty m:val="p"/>
          </m:rPr>
          <m:t>=</m:t>
        </m:r>
        <m:r>
          <m:t>0.10</m:t>
        </m:r>
      </m:oMath>
      <w:r>
        <w:t xml:space="preserve">) and instead tracked higher-variance D2/D3 structure (Supplementary Information, The D1 axis is not specific to DeSurv). Thus, D1 reflects a survival-associated expression direction shared across supervised approaches rather than an idiosyncrasy of DeSurv.</w:t>
      </w:r>
    </w:p>
    <w:p>
      <w:pPr>
        <w:pStyle w:val="BodyText"/>
      </w:pPr>
      <w:r>
        <w:t xml:space="preserve">We then asked what DeSurv’s factorized representation adds beyond recovery of the shared D1 direction. Independently tuned supervised principal components and penalized Cox achieved pooled external concordance comparable to DeSurv (C-index</w:t>
      </w:r>
      <w:r>
        <w:t xml:space="preserve"> </w:t>
      </w:r>
      <m:oMath>
        <m:r>
          <m:t>0.60</m:t>
        </m:r>
      </m:oMath>
      <w:r>
        <w:t xml:space="preserve">,</w:t>
      </w:r>
      <w:r>
        <w:t xml:space="preserve"> </w:t>
      </w:r>
      <m:oMath>
        <m:r>
          <m:t>0.60</m:t>
        </m:r>
      </m:oMath>
      <w:r>
        <w:t xml:space="preserve"> </w:t>
      </w:r>
      <w:r>
        <w:t xml:space="preserve">and</w:t>
      </w:r>
      <w:r>
        <w:t xml:space="preserve"> </w:t>
      </w:r>
      <m:oMath>
        <m:r>
          <m:t>0.61</m:t>
        </m:r>
      </m:oMath>
      <w:r>
        <w:t xml:space="preserve">, respectively) and captured the dominant D1-associated prognostic direction. Their selected genes, however, were consistently enriched for basal-like tumor programs but not proCAF, restCAF, immune or exocrine programs. Their risk scores were weakly correlated with the separately resolved proCAF-like D2 program (penalized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Although these scores retained modest stromal signal, they did not resolve it as a distinct stromal program (Supplementary Information). DeSurv instead places that direction within a fixed set of tumor and stromal programs that can be measured and interpreted separately, and applied unchanged to new cohorts.</w:t>
      </w:r>
    </w:p>
    <w:bookmarkEnd w:id="35"/>
    <w:bookmarkStart w:id="39" w:name="Xe08489e8434747977d39de78e7d94357dd982f4"/>
    <w:p>
      <w:pPr>
        <w:pStyle w:val="Heading2"/>
      </w:pPr>
      <w:r>
        <w:t xml:space="preserve">DeSurv recovers prognostic gene programs when variance and prognosis diverge</w:t>
      </w:r>
    </w:p>
    <w:p>
      <w:pPr>
        <w:pStyle w:val="FirstParagraph"/>
      </w:pPr>
      <w:r>
        <w:t xml:space="preserve">We used simulations with known latent structure to characterize when survival supervision alters program recovery. In the primary scenario, the factor-specific genes driving survival contributed less transcriptomic variation than the shared outcome-neutral background signal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true</w:t>
      </w:r>
      <w:r>
        <w:t xml:space="preserve"> </w:t>
      </w:r>
      <m:oMath>
        <m:r>
          <m:t>k</m:t>
        </m:r>
        <m:r>
          <m:rPr>
            <m:sty m:val="p"/>
          </m:rPr>
          <m:t>=</m:t>
        </m:r>
        <m:r>
          <m:t>3</m:t>
        </m:r>
      </m:oMath>
      <w:r>
        <w:t xml:space="preserve">; Methods, Simulation studies). DeSurv and unsupervised NMF (</w:t>
      </w:r>
      <m:oMath>
        <m:r>
          <m:t>α</m:t>
        </m:r>
        <m:r>
          <m:rPr>
            <m:sty m:val="p"/>
          </m:rPr>
          <m:t>=</m:t>
        </m:r>
        <m:r>
          <m:t>0</m:t>
        </m:r>
      </m:oMath>
      <w:r>
        <w:t xml:space="preserve">, the unsupervised limit of the same pipeline) were tuned using the same cross-validation procedure, isolating the effect of survival supervision during factorization.</w:t>
      </w:r>
    </w:p>
    <w:p>
      <w:pPr>
        <w:pStyle w:val="BodyText"/>
      </w:pPr>
      <w:r>
        <w:t xml:space="preserve">Under this setting, DeSurv more accurately recovered the genes defining the true prognostic program, whereas unsupervised NMF largely followed variance-dominant structure (Fig. [fig:sim]a–b). Across 100 replicates, median test-set C-index was</w:t>
      </w:r>
      <w:r>
        <w:t xml:space="preserve"> </w:t>
      </w:r>
      <m:oMath>
        <m:r>
          <m:t>0.837</m:t>
        </m:r>
      </m:oMath>
      <w:r>
        <w:t xml:space="preserve"> </w:t>
      </w:r>
      <w:r>
        <w:t xml:space="preserve">for DeSurv versus</w:t>
      </w:r>
      <w:r>
        <w:t xml:space="preserve"> </w:t>
      </w:r>
      <m:oMath>
        <m:r>
          <m:t>0.724</m:t>
        </m:r>
      </m:oMath>
      <w:r>
        <w:t xml:space="preserve"> </w:t>
      </w:r>
      <w:r>
        <w:t xml:space="preserve">for unsupervised NMF (</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factorization rank (</w:t>
      </w:r>
      <m:oMath>
        <m:r>
          <m:t>k</m:t>
        </m:r>
        <m:r>
          <m:rPr>
            <m:sty m:val="p"/>
          </m:rPr>
          <m:t>=</m:t>
        </m:r>
        <m:r>
          <m:t>3</m:t>
        </m:r>
      </m:oMath>
      <w:r>
        <w:t xml:space="preserve">) more frequently (Fig. [fig:sim]c).</w:t>
      </w:r>
    </w:p>
    <w:p>
      <w:pPr>
        <w:pStyle w:val="BodyText"/>
      </w:pPr>
      <w:r>
        <w:t xml:space="preserve">The advantage depended on the relationship between transcriptomic variance and prognosis. It attenuated when prognostic and variance-dominant structure partially overlapped and disappeared under the null, where neither method identified prognostic signal (Supplementary Fig. [fig:fig-sim-null-mixed]). In the mixed setting, the advantage remained strongest for recovery of the factor-specific marker genes rather than shared background survival genes, supporting a specific effect of supervision on identifying the genes that define the prognostic program.</w:t>
      </w:r>
    </w:p>
    <w:p>
      <w:pPr>
        <w:pStyle w:val="BodyText"/>
      </w:pPr>
      <w:r>
        <w:drawing>
          <wp:inline>
            <wp:extent cx="5334000" cy="4923692"/>
            <wp:effectExtent b="0" l="0" r="0" t="0"/>
            <wp:docPr descr="" title="" id="37" name="Picture"/>
            <a:graphic>
              <a:graphicData uri="http://schemas.openxmlformats.org/drawingml/2006/picture">
                <pic:pic>
                  <pic:nvPicPr>
                    <pic:cNvPr descr=".docx_media/figures_fig2_tcgacptac.png" id="38" name="Picture"/>
                    <pic:cNvPicPr>
                      <a:picLocks noChangeArrowheads="1" noChangeAspect="1"/>
                    </pic:cNvPicPr>
                  </pic:nvPicPr>
                  <pic:blipFill>
                    <a:blip r:embed="rId36"/>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variance and prognosis diverge. (a) Test-set concordance across 100 simulation replicates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In (a) and (b), boxes show median and interquartile range; whiskers extend to</w:t>
      </w:r>
      <w:r>
        <w:rPr>
          <w:iCs/>
          <w:i/>
        </w:rPr>
        <w:t xml:space="preserve"> </w:t>
      </w:r>
      <m:oMath>
        <m:r>
          <m:t>1.5</m:t>
        </m:r>
        <m:r>
          <m:rPr>
            <m:sty m:val="p"/>
          </m:rPr>
          <m:t>×</m:t>
        </m:r>
      </m:oMath>
      <w:r>
        <w:rPr>
          <w:iCs/>
          <w:i/>
        </w:rPr>
        <w:t xml:space="preserve">IQR; points are individual replicates. (c) Distribution of selected ranks across replicates for DeSurv versus unsupervised NMF. (d) The same matched-factor precision metric as in (b), computed for two signal regimes: a prognostic program whose genes carry low transcriptomic variance relative to the shared outcome-neutral background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These scenarios are constructed to isolate the regime in which the prognostic program carries low transcriptomic variance relative to the shared outcome-neutral background, and therefore quantify recovery under that construction; the concordance gap in (a) is not an expected discrimination gain in real data, where the two approaches perform comparably (Table [tab:hr-adjusted]).</w:t>
      </w:r>
    </w:p>
    <w:bookmarkEnd w:id="39"/>
    <w:bookmarkEnd w:id="40"/>
    <w:bookmarkStart w:id="41" w:name="discussion"/>
    <w:p>
      <w:pPr>
        <w:pStyle w:val="Heading1"/>
      </w:pPr>
      <w:r>
        <w:t xml:space="preserve">Discussion</w:t>
      </w:r>
    </w:p>
    <w:p>
      <w:pPr>
        <w:pStyle w:val="FirstParagraph"/>
      </w:pPr>
      <w:r>
        <w:t xml:space="preserve">DeSurv integrates survival into gene-program estimation while preserving a fixed basis that can be scored unchanged in new cohorts. In PDAC, this identified a dominant survival-aligned program, D1, characterized by covariation of classical tumor and restCAF-like stromal programs, alongside separately resolved proCAF-like stromal and basal-like tumor programs. D1 was recovered de novo without subtype labels and remained prognostic after adjustment for the established PurIST and DeCAF classifications, so it is not reducible to them. Its classical tumor identity was supported by GATA6 RNA in situ hybridization. The trained programs then transferred without refitting across five external validation datasets spanning four independent patient cohorts. DeSurv’s contribution was to place this replicable prognostic direction within a tumor–stroma architecture whose components can be examined separately. The advance is in how clinically relevant programs are discovered, not in how well they predict.</w:t>
      </w:r>
    </w:p>
    <w:p>
      <w:pPr>
        <w:pStyle w:val="BodyText"/>
      </w:pPr>
      <w:r>
        <w:t xml:space="preserve">The representational difference persisted at matched rank and tuning effort: the matched-budget unsupervised control, given DeSurv’s rank, optimizer, tuning budget and consensus initialization, did not recover D1, whereas the rank-optimized unsupervised control and conventional supervised predictors recovered comparable prognostic information in different representations. The former spanned a broader set of established programs across seven factors; the latter resolved a tumor-intrinsic axis without separately resolving the stromal programs. In simulations, where the latent programs are known, DeSurv more accurately recovered the genes defining the true prognostic program.</w:t>
      </w:r>
    </w:p>
    <w:p>
      <w:pPr>
        <w:pStyle w:val="BodyText"/>
      </w:pPr>
      <w:r>
        <w:t xml:space="preserve">This addresses a practical limitation of the conventional discovery sequence. When programs are learned without reference to outcome, their clinical relevance and correspondence across datasets must be established retrospectively through factor selection, biological annotation and cross-study matching. Because survival acts directly on the gene-program matrix</w:t>
      </w:r>
      <w:r>
        <w:t xml:space="preserve"> </w:t>
      </w:r>
      <m:oMath>
        <m:r>
          <m:t>W</m:t>
        </m:r>
      </m:oMath>
      <w:r>
        <w:t xml:space="preserve"> </w:t>
      </w:r>
      <w:r>
        <w:t xml:space="preserve">while the reconstruction objective requires those programs to continue representing the observed transcriptome, and because the gene weights are fixed once learned, DeSurv does not eliminate the need for external validation but makes it a direct test of programs already shaped by survival information and scored in new cohorts without re-estimating the factorization. Empirically, supervision selectively reorganized rather than replaced the reconstruction-driven representation: it retained the tumor and stromal structure carried by D3 and D2 while introducing a D1 program poorly reconstructable from the matched-rank NMF factors. The related CoxNMF and SurvNMF formulations</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w:t>
      </w:r>
      <w:r>
        <w:t xml:space="preserve">also integrate outcome information into factorization but place the survival term on the sample-side latent representation. Scoring a new cohort therefore requires sample-side loadings: SurvNMF re-estimates them by constrained least squares, whereas CoxNMF does not describe a scoring procedure (Supplementary Table [tab:architecture]). Deep latent-variable survival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w:t>
      </w:r>
      <w:r>
        <w:t xml:space="preserve">likewise learn sample representations rather than a fixed gene-program basis.</w:t>
      </w:r>
    </w:p>
    <w:p>
      <w:pPr>
        <w:pStyle w:val="BodyText"/>
      </w:pPr>
      <w:r>
        <w:t xml:space="preserve">Biologically, D1 represents the dominant survival-aligned program within the broader tumor–stroma architecture rather than the architecture itself. It captures coordinated cross-patient variation in classical tumor and restCAF-like stromal features. The additional D2 and D3 programs provide separately measurable stromal and tumor context around this direction, rather than necessarily representing independent components of the fitted risk score. This architecture is consistent with broader evidence for interactions between malignant lineage state and heterogeneous fibroblast and stromal programs</w:t>
      </w:r>
      <w:hyperlink w:anchor="ref-ogawa2020stroma">
        <w:r>
          <w:rPr>
            <w:rStyle w:val="Hyperlink"/>
            <w:vertAlign w:val="superscript"/>
          </w:rPr>
          <w:t xml:space="preserve">36</w:t>
        </w:r>
      </w:hyperlink>
      <w:r>
        <w:rPr>
          <w:vertAlign w:val="superscript"/>
        </w:rPr>
        <w:t xml:space="preserve">–</w:t>
      </w:r>
      <w:hyperlink w:anchor="ref-lee2024tumorcaf">
        <w:r>
          <w:rPr>
            <w:rStyle w:val="Hyperlink"/>
            <w:vertAlign w:val="superscript"/>
          </w:rPr>
          <w:t xml:space="preserve">38</w:t>
        </w:r>
      </w:hyperlink>
      <w:r>
        <w:t xml:space="preserve">.</w:t>
      </w:r>
    </w:p>
    <w:p>
      <w:pPr>
        <w:pStyle w:val="BodyText"/>
      </w:pPr>
      <w:r>
        <w:t xml:space="preserve">Rank selection is an additional source of uncertainty in unsupervised decomposition. In the PDAC training data, commonly used NMF criteria gave conflicting rank choices, and increasing rank progressively extended correspondence to additional established signatures across more factors. Together with the non-uniqueness of reconstruction-based factorization, this rank dependence may contribute to variability among unsupervised molecular taxonomies across studies</w:t>
      </w:r>
      <w:hyperlink w:anchor="ref-collisson2011subtypes">
        <w:r>
          <w:rPr>
            <w:rStyle w:val="Hyperlink"/>
            <w:vertAlign w:val="superscript"/>
          </w:rPr>
          <w:t xml:space="preserve">2</w:t>
        </w:r>
      </w:hyperlink>
      <w:r>
        <w:rPr>
          <w:vertAlign w:val="superscript"/>
        </w:rPr>
        <w:t xml:space="preserve">,</w:t>
      </w:r>
      <w:hyperlink w:anchor="ref-moffitt2015virtual">
        <w:r>
          <w:rPr>
            <w:rStyle w:val="Hyperlink"/>
            <w:vertAlign w:val="superscript"/>
          </w:rPr>
          <w:t xml:space="preserve">3</w:t>
        </w:r>
      </w:hyperlink>
      <w:r>
        <w:rPr>
          <w:vertAlign w:val="superscript"/>
        </w:rPr>
        <w:t xml:space="preserve">,</w:t>
      </w:r>
      <w:hyperlink w:anchor="ref-Bailey2016">
        <w:r>
          <w:rPr>
            <w:rStyle w:val="Hyperlink"/>
            <w:vertAlign w:val="superscript"/>
          </w:rPr>
          <w:t xml:space="preserve">9</w:t>
        </w:r>
      </w:hyperlink>
      <w:r>
        <w:t xml:space="preserve">. Survival supervision does not remove that non-uniqueness, and single DeSurv runs from different random starts recover appreciably different gene sets. What makes the reported decomposition a stable object is the consensus step, and independently seeded applications of the full procedure closely reproduce the reported decomposition (Supplementary Information, Stability of the recovered gene programs). Survival supervision instead provides an outcome-informed criterion for selecting among representations that may be similarly adequate under reconstruction alone.</w:t>
      </w:r>
    </w:p>
    <w:p>
      <w:pPr>
        <w:pStyle w:val="BodyText"/>
      </w:pPr>
      <w:r>
        <w:t xml:space="preserve">Our simulations clarify when this approach is most useful. When the genes defining the prognostic program contributed relatively little to overall transcriptomic variation, survival supervision improved their recovery; this advantage diminished as prognostic and variance-dominant structure overlapped and disappeared when no survival signal was present. Accurate program recovery matters beyond discrimination because the genes assigned to a program determine downstream pathway interpretation, candidate signatures and potential biomarker development.</w:t>
      </w:r>
    </w:p>
    <w:p>
      <w:pPr>
        <w:pStyle w:val="BodyText"/>
      </w:pPr>
      <w:r>
        <w:t xml:space="preserve">DeSurv is complementary to reference-based deconvolution methods such as CIBERSORTx</w:t>
      </w:r>
      <w:hyperlink w:anchor="ref-newman2019cibersortx">
        <w:r>
          <w:rPr>
            <w:rStyle w:val="Hyperlink"/>
            <w:vertAlign w:val="superscript"/>
          </w:rPr>
          <w:t xml:space="preserve">39</w:t>
        </w:r>
      </w:hyperlink>
      <w:r>
        <w:t xml:space="preserve"> </w:t>
      </w:r>
      <w:r>
        <w:t xml:space="preserve">and BayesPrism</w:t>
      </w:r>
      <w:hyperlink w:anchor="ref-chu2022bayesprism">
        <w:r>
          <w:rPr>
            <w:rStyle w:val="Hyperlink"/>
            <w:vertAlign w:val="superscript"/>
          </w:rPr>
          <w:t xml:space="preserve">40</w:t>
        </w:r>
      </w:hyperlink>
      <w:r>
        <w:t xml:space="preserve">, which estimate cellular composition from external cell-state references; DeSurv instead learns survival-informed latent programs directly from bulk expression and does not assign them a priori to cellular compartments.</w:t>
      </w:r>
    </w:p>
    <w:p>
      <w:pPr>
        <w:pStyle w:val="BodyText"/>
      </w:pPr>
      <w:r>
        <w:t xml:space="preserve">Several limitations define the scope of these findings. DeSurv currently uses a proportional-hazards survival objective and was evaluated here only in PDAC. The survival objective could be extended to accommodate non-proportional hazards or nonlinear survival relationships. More importantly, the DeSurv formulation is not PDAC-specific, but whether its representational advantage generalizes across cancer types remains unknown. Testing it will require multi-cancer benchmarking against unsupervised decompositions and against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w:t>
      </w:r>
    </w:p>
    <w:p>
      <w:pPr>
        <w:pStyle w:val="BodyText"/>
      </w:pPr>
      <w:r>
        <w:t xml:space="preserve">The treated-cohort analyses reported above are exploratory. Within the O’Kane/COMPASS cohort the individual treatment arms were too small to show a consistent treatment-specific survival pattern, whereas the prognostic association was retained in the better-powered arm-stratified analysis. Whether these programs predict differential treatment benefit therefore remains unresolved and will require adequately powered, prespecified treatment-by-program interaction analyses.</w:t>
      </w:r>
    </w:p>
    <w:p>
      <w:pPr>
        <w:pStyle w:val="BodyText"/>
      </w:pPr>
      <w:r>
        <w:t xml:space="preserve">The tumor–stroma architecture described here is a bulk-tissue phenomenon. It reflects cross-patient covariation of tumor- and stroma-associated transcriptional programs, not cellular co-expression or spatial adjacency within individual tumors. The purity-adjustment, DeCAF-adjustment, cross-method recovery and GATA6 analyses above support D1 as a robust survival-associated bulk transcriptional program and independently support its classical tumor component, but they do not establish the cellular identity of its stromal component. Mapping these bulk programs onto specific cellular states is not a matter of projecting the same gene weights into single-cell or spatial data. Many program-defining genes are sparsely detected at single-cell resolution, so per-cell projection scores partly reflect detection depth rather than program activity, and spot-based spatial measurements mix the compartments the programs are meant to separate. Establishing the cellular correlates of these programs will therefore require clinically annotated single-cell and spatial cohorts together with scoring methods designed for sparse measurement.</w:t>
      </w:r>
    </w:p>
    <w:p>
      <w:pPr>
        <w:pStyle w:val="BodyText"/>
      </w:pPr>
      <w:r>
        <w:t xml:space="preserve">These results separate prognostic representation from prognostic discrimination. In PDAC, incorporating survival during factorization recovered a three-program tumor–stroma architecture that replicated across independent cohorts while retaining biological components that could be interrogated separately. More generally, DeSurv provides a framework for asking not only whether transcriptomic data predict outcome, but which decomposed biological programs are recovered when outcome information is incorporated into their discovery.</w:t>
      </w:r>
    </w:p>
    <w:bookmarkEnd w:id="41"/>
    <w:bookmarkStart w:id="50" w:name="methods"/>
    <w:p>
      <w:pPr>
        <w:pStyle w:val="Heading1"/>
      </w:pPr>
      <w:r>
        <w:t xml:space="preserve">Methods</w:t>
      </w:r>
    </w:p>
    <w:bookmarkStart w:id="42"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w:t>
      </w:r>
    </w:p>
    <w:bookmarkEnd w:id="42"/>
    <w:bookmarkStart w:id="43"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The parameter</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each objective.</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where</w:t>
      </w:r>
      <w:r>
        <w:t xml:space="preserve"> </w:t>
      </w:r>
      <m:oMath>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oMath>
      <w:r>
        <w:t xml:space="preserve"> </w:t>
      </w:r>
      <w:r>
        <w:t xml:space="preserve">is the NMF reconstruction error (with an optional</w:t>
      </w:r>
      <w:r>
        <w:t xml:space="preserve"> </w:t>
      </w:r>
      <m:oMath>
        <m:sSub>
          <m:e>
            <m:r>
              <m:rPr>
                <m:sty m:val="p"/>
              </m:rPr>
              <m:t>ℓ</m:t>
            </m:r>
          </m:e>
          <m:sub>
            <m:r>
              <m:t>2</m:t>
            </m:r>
          </m:sub>
        </m:sSub>
      </m:oMath>
      <w:r>
        <w:t xml:space="preserve"> </w:t>
      </w:r>
      <w:r>
        <w:t xml:space="preserve">penalty on</w:t>
      </w:r>
      <w:r>
        <w:t xml:space="preserve"> </w:t>
      </w:r>
      <m:oMath>
        <m:r>
          <m:t>H</m:t>
        </m:r>
      </m:oMath>
      <w:r>
        <w:t xml:space="preserve">, set to zero in all analyses reported here) and</w:t>
      </w:r>
      <w:r>
        <w:t xml:space="preserve"> </w:t>
      </w:r>
      <m:oMath>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oMath>
      <w:r>
        <w:t xml:space="preserve"> </w:t>
      </w:r>
      <w:r>
        <w:t xml:space="preserve">is the elastic-net penalized partial log-likelihood. Both terms are normalized before weighting: the reconstruction error by</w:t>
      </w:r>
      <w:r>
        <w:t xml:space="preserve"> </w:t>
      </w:r>
      <m:oMath>
        <m:r>
          <m:rPr>
            <m:sty m:val="p"/>
          </m:rPr>
          <m:t>∥</m:t>
        </m:r>
        <m:r>
          <m:t>X</m:t>
        </m:r>
        <m:sSubSup>
          <m:e>
            <m:r>
              <m:rPr>
                <m:sty m:val="p"/>
              </m:rPr>
              <m:t>∥</m:t>
            </m:r>
          </m:e>
          <m:sub>
            <m:r>
              <m:t>F</m:t>
            </m:r>
          </m:sub>
          <m:sup>
            <m:r>
              <m:t>2</m:t>
            </m:r>
          </m:sup>
        </m:sSubSup>
      </m:oMath>
      <w:r>
        <w:t xml:space="preserve"> </w:t>
      </w:r>
      <w:r>
        <w:t xml:space="preserve">and the partial log-likelihood by</w:t>
      </w:r>
      <w:r>
        <w:t xml:space="preserve"> </w:t>
      </w:r>
      <m:oMath>
        <m:sSub>
          <m:e>
            <m:r>
              <m:t>n</m:t>
            </m:r>
          </m:e>
          <m:sub>
            <m:r>
              <m:rPr>
                <m:sty m:val="p"/>
              </m:rPr>
              <m:t>e</m:t>
            </m:r>
            <m:r>
              <m:rPr>
                <m:sty m:val="p"/>
              </m:rPr>
              <m:t>v</m:t>
            </m:r>
            <m:r>
              <m:rPr>
                <m:sty m:val="p"/>
              </m:rPr>
              <m:t>e</m:t>
            </m:r>
            <m:r>
              <m:rPr>
                <m:sty m:val="p"/>
              </m:rPr>
              <m:t>n</m:t>
            </m:r>
            <m:r>
              <m:rPr>
                <m:sty m:val="p"/>
              </m:rPr>
              <m:t>t</m:t>
            </m:r>
          </m:sub>
        </m:sSub>
        <m:r>
          <m:rPr>
            <m:sty m:val="p"/>
          </m:rPr>
          <m:t>/</m:t>
        </m:r>
        <m:r>
          <m:t>2</m:t>
        </m:r>
      </m:oMath>
      <w:r>
        <w:t xml:space="preserve">, and the</w:t>
      </w:r>
      <w:r>
        <w:t xml:space="preserve"> </w:t>
      </w:r>
      <m:oMath>
        <m:r>
          <m:t>W</m:t>
        </m:r>
      </m:oMath>
      <w:r>
        <w:t xml:space="preserve"> </w:t>
      </w:r>
      <w:r>
        <w:t xml:space="preserve">update balances the magnitudes of the two gradients before</w:t>
      </w:r>
      <w:r>
        <w:t xml:space="preserve"> </w:t>
      </w:r>
      <m:oMath>
        <m:r>
          <m:t>α</m:t>
        </m:r>
      </m:oMath>
      <w:r>
        <w:t xml:space="preserve"> </w:t>
      </w:r>
      <w:r>
        <w:t xml:space="preserve">sets their relative contribution (Supplementary Information, Section 2). 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42</w:t>
        </w:r>
      </w:hyperlink>
      <w:r>
        <w:t xml:space="preserve">.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w:t>
      </w:r>
      <w:r>
        <w:t xml:space="preserve"> </w:t>
      </w:r>
      <m:oMath>
        <m:r>
          <m:t>β</m:t>
        </m:r>
      </m:oMath>
      <w:r>
        <w:t xml:space="preserve"> </w:t>
      </w:r>
      <w:r>
        <w:t xml:space="preserve">is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is used only for scoring and cross-validation; it does not affect the factorization. Across the pipeline,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p>
      <w:pPr>
        <w:pStyle w:val="BodyText"/>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Section 2), with backtracking used for proposed</w:t>
      </w:r>
      <w:r>
        <w:t xml:space="preserve"> </w:t>
      </w:r>
      <m:oMath>
        <m:r>
          <m:t>W</m:t>
        </m:r>
      </m:oMath>
      <w:r>
        <w:t xml:space="preserve"> </w:t>
      </w:r>
      <w:r>
        <w:t xml:space="preserve">updates. The reconstruction term is minimized using multiplicative updates that preserve nonnegativity; the supervision term enters</w:t>
      </w:r>
      <w:r>
        <w:t xml:space="preserve"> </w:t>
      </w:r>
      <m:oMath>
        <m:r>
          <m:t>W</m:t>
        </m:r>
      </m:oMath>
      <w:r>
        <w:t xml:space="preserve">’s gradient as a Cox partial-likelihood derivative; and</w:t>
      </w:r>
      <w:r>
        <w:t xml:space="preserve"> </w:t>
      </w:r>
      <m:oMath>
        <m:r>
          <m:t>β</m:t>
        </m:r>
      </m:oMath>
      <w:r>
        <w:t xml:space="preserve"> </w:t>
      </w:r>
      <w:r>
        <w:t xml:space="preserve">is updated by Coxnet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w:t>
      </w:r>
    </w:p>
    <w:p>
      <w:pPr>
        <w:pStyle w:val="BodyText"/>
      </w:pPr>
      <w:r>
        <w:t xml:space="preserve">Because the implemented algorithm combines normalization, gradient balancing and a Coxnet approximation, we assessed optimization behavior empirically rather than relying on a formal convergence guarantee. Across independent random initializations of the reported PDAC model, all 100 runs terminated on the stopping criterion and the fitted objective decreased monotonically to numerically stable solutions (Supplementary Information, Empirical optimization stability). Because objective convergence does not imply that the same programs are recovered each time, we separately assessed program-level stability. Individual restarts are dispersed, whereas independently seeded applications of the reported consensus procedure reproduce the decomposition closely (Supplementary Information, Stability of the recovered gene programs). Closed-form update equations are given in Supplementary Information, Sections 1–2, and Bayesian-optimization control parameters in the Bayesian Optimization section.</w:t>
      </w:r>
    </w:p>
    <w:bookmarkEnd w:id="43"/>
    <w:bookmarkStart w:id="44"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overall best configuration’s mean, and the smallest rank whose retained configuration met the threshold was selected; the remaining hyperparameters were those of the overall best configuration (Supplementary Information, Bayesian Optimization). All model selection was performed entirely within the training data using cross-validation; no validation cohort data were used during any stage of tuning, and out-of-sample generalization was assessed only on the external validation cohorts. Each fold was trained using multiple random initializations, and fold-level performance was defined as the average C-index across initializations; the consensus initialization described next was used only for the final model and is not reproduced within each fold. For stability, we used a consensus-based initialization for the final model, aggregating multiple DeSurv runs into a gene-gene co-occurrence matrix and constructing an initialization</w:t>
      </w:r>
      <w:r>
        <w:t xml:space="preserve"> </w:t>
      </w:r>
      <m:oMath>
        <m:sSub>
          <m:e>
            <m:r>
              <m:t>W</m:t>
            </m:r>
          </m:e>
          <m:sub>
            <m:r>
              <m:t>0</m:t>
            </m:r>
          </m:sub>
        </m:sSub>
      </m:oMath>
      <w:r>
        <w:t xml:space="preserve"> </w:t>
      </w:r>
      <w:r>
        <w:t xml:space="preserve">from the resulting clusters (Supplementary Information, Consensus initialization for the final model). Before projection, the gene support was restricted to the union across factors of each program’s BO-selected top genes, ranked by factor specificity (Supplementary Information, Section 8), giving the truncated matrix</w:t>
      </w:r>
      <w:r>
        <w:t xml:space="preserve"> </w:t>
      </w:r>
      <m:oMath>
        <m:acc>
          <m:accPr>
            <m:chr m:val="̃"/>
          </m:accPr>
          <m:e>
            <m:r>
              <m:t>W</m:t>
            </m:r>
          </m:e>
        </m:acc>
      </m:oMath>
      <w:r>
        <w:t xml:space="preserve"> </w:t>
      </w:r>
      <w:r>
        <w:t xml:space="preserve">that was held fixed for all validation cohorts. Two scoring conventions follow from this support and are used for different quantities. Factor-level scores retain all</w:t>
      </w:r>
      <w:r>
        <w:t xml:space="preserve"> </w:t>
      </w:r>
      <m:oMath>
        <m:r>
          <m:t>k</m:t>
        </m:r>
      </m:oMath>
      <w:r>
        <w:t xml:space="preserve"> </w:t>
      </w:r>
      <w:r>
        <w:t xml:space="preserve">columns,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are used for the per-factor and pooled survival analyses.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this normalization changes the resulting scalar risk score only by a positive multiplicative constant and therefore leaves concordance unchanged. The normalization applies to the collapsed score rather than to individual columns of</w:t>
      </w:r>
      <w:r>
        <w:t xml:space="preserve"> </w:t>
      </w:r>
      <m:oMath>
        <m:r>
          <m:t>W</m:t>
        </m:r>
      </m:oMath>
      <w:r>
        <w:t xml:space="preserve">. In PDAC, BO selected</w:t>
      </w:r>
      <w:r>
        <w:t xml:space="preserve"> </w:t>
      </w:r>
      <m:oMath>
        <m:sSub>
          <m:e>
            <m:r>
              <m:t>n</m:t>
            </m:r>
          </m:e>
          <m:sub>
            <m:r>
              <m:rPr>
                <m:nor/>
                <m:sty m:val="p"/>
              </m:rPr>
              <m:t>top</m:t>
            </m:r>
          </m:sub>
        </m:sSub>
        <m:r>
          <m:rPr>
            <m:sty m:val="p"/>
          </m:rPr>
          <m:t>=</m:t>
        </m:r>
        <m:r>
          <m:t>270</m:t>
        </m:r>
      </m:oMath>
      <w:r>
        <w:t xml:space="preserve"> </w:t>
      </w:r>
      <w:r>
        <w:t xml:space="preserve">top genes per factor. The ridge penalty on the loadings (</w:t>
      </w:r>
      <m:oMath>
        <m:r>
          <m:t>H</m:t>
        </m:r>
      </m:oMath>
      <w:r>
        <w:t xml:space="preserve">) was held fixed at</w:t>
      </w:r>
      <w:r>
        <w:t xml:space="preserve"> </w:t>
      </w:r>
      <m:oMath>
        <m:r>
          <m:t>0</m:t>
        </m:r>
      </m:oMath>
      <w:r>
        <w:t xml:space="preserve"> </w:t>
      </w:r>
      <w:r>
        <w:t xml:space="preserve">in all analyses and was not tuned; factor scaling was instead controlled directly by column-normalization of</w:t>
      </w:r>
      <w:r>
        <w:t xml:space="preserve"> </w:t>
      </w:r>
      <m:oMath>
        <m:r>
          <m:t>W</m:t>
        </m:r>
      </m:oMath>
      <w:r>
        <w:t xml:space="preserve"> </w:t>
      </w:r>
      <w:r>
        <w:t xml:space="preserve">during optimization.</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about two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 </w:t>
      </w:r>
      <w:r>
        <w:t xml:space="preserve">and the other non-rank hyperparameters from the overall best configuration. Biological support for the three-program solution comes from reference-program correspondence and the GATA6 comparison rather than from a sharp statistical optimum.</w:t>
      </w:r>
    </w:p>
    <w:p>
      <w:pPr>
        <w:pStyle w:val="BodyText"/>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hazard ratios and log-rank statistics. 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scoring is a pure matrix projection requiring no retraining or validation survival information.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scoring an external cohort requires re-estimating those loadings; SurvNMF obtains them for held-out samples by a constrained least-squares fit (Supplementary Table [tab:architecture]). Validation survival outcomes were therefore used only for downstream performance evaluation, so reported external hazard ratios and log-rank statistics reflect purely out-of-sample generalization. Further training and validation details appear in Supplementary Information, Part I.</w:t>
      </w:r>
    </w:p>
    <w:p>
      <w:pPr>
        <w:pStyle w:val="BodyText"/>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analysed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The matched-rank comparator shown in the figure is Lee multiplicative NMF (</w:t>
      </w:r>
      <w:r>
        <w:rPr>
          <w:rStyle w:val="VerbatimChar"/>
        </w:rPr>
        <w:t xml:space="preserve">NMF::nmf</w:t>
      </w:r>
      <w:r>
        <w:t xml:space="preserve">), the field-standard implementation, which does not receive DeSurv’s consensus initialization or hyperparameter tuning. We therefore also fit a matched-budget unsupervised control, which removes supervision and holds every other component of the DeSurv procedure fixed.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using the same optimizer, search budget, gene filter and cross-validation folds. The selected model was then fit by the same 100-restart consensus procedure. This control isolates the contribution of survival supervision while holding rank, optimization procedure, tuning budget, gene filtering and cross-validation folds fixed.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Both controls are reported in Supplementary Information, Matched-budget unsupervised control at the same rank.</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44"/>
    <w:bookmarkStart w:id="45" w:name="supervised-comparator-analyses"/>
    <w:p>
      <w:pPr>
        <w:pStyle w:val="Heading2"/>
      </w:pPr>
      <w:r>
        <w:t xml:space="preserve">Supervised comparator analyses</w:t>
      </w:r>
    </w:p>
    <w:p>
      <w:pPr>
        <w:pStyle w:val="FirstParagraph"/>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(\texttt{glmnet} with</w:t>
      </w:r>
      <w:r>
        <w:t xml:space="preserve"> </w:t>
      </w:r>
      <m:oMath>
        <m:r>
          <m:t>α</m:t>
        </m:r>
        <m:r>
          <m:rPr>
            <m:sty m:val="p"/>
          </m:rPr>
          <m:t>=</m:t>
        </m:r>
        <m:r>
          <m:t>1</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resampling seeds, sparse Cox selected a median of 14 genes, range 9–33, and supervised principal components 39, range 5–222), and both were tuned by their standard method-specific cross-validation rather than a budget matched to DeSurv; the comparison therefore characterizes the representations each approach recovers rather than benchmarking tuned predictive performance.</w:t>
      </w:r>
    </w:p>
    <w:p>
      <w:pPr>
        <w:pStyle w:val="BodyText"/>
      </w:pPr>
      <w:r>
        <w:t xml:space="preserve">No matched-budget control was run for these supervised comparators, as it was for the unsupervised arm, so the comparison with them concerns what each representation resolves, not tuned predictive performance. Correspondence between each supervised risk score and the DeSurv programs D1–D3 was quantified in the training cohort using absolute Spearman correlation. Additional analyses of selected-gene enrichment and compartment attribution are described in the Supplementary Information.</w:t>
      </w:r>
    </w:p>
    <w:bookmarkEnd w:id="45"/>
    <w:bookmarkStart w:id="46"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G</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outcome-neutral signal is the shared background block, which loads on every factor, so the factor-specific marker genes that carry survival contribute less of the total expression variation than that block.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scenario,</w:t>
      </w:r>
      <w:r>
        <w:t xml:space="preserve"> </w:t>
      </w:r>
      <m:oMath>
        <m:r>
          <m:t>β</m:t>
        </m:r>
        <m:r>
          <m:rPr>
            <m:sty m:val="p"/>
          </m:rPr>
          <m:t>=</m:t>
        </m:r>
        <m:r>
          <m:t>0</m:t>
        </m:r>
      </m:oMath>
      <w:r>
        <w:t xml:space="preserve"> </w:t>
      </w:r>
      <w:r>
        <w:t xml:space="preserve">in the null scenario, and</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mixed scenario where survival risk was driven by 300 genes comprising the 150 factor-1 markers and 150 randomly sampled background genes, creating partial overlap between the prognostic signal and variance-dominant outcome-neutral programs.</w:t>
      </w:r>
    </w:p>
    <w:p>
      <w:pPr>
        <w:pStyle w:val="BodyText"/>
      </w:pPr>
      <w:r>
        <w:t xml:space="preserve">Survival times were generated from an exponential distribution. True factor scores</w:t>
      </w:r>
      <w:r>
        <w:t xml:space="preserve"> </w:t>
      </w:r>
      <m:oMath>
        <m:sSub>
          <m:e>
            <m:r>
              <m:t>Z</m:t>
            </m:r>
          </m:e>
          <m:sub>
            <m:r>
              <m:rPr>
                <m:nor/>
                <m:sty m:val="p"/>
              </m:rPr>
              <m:t>true</m:t>
            </m:r>
          </m:sub>
        </m:sSub>
        <m:r>
          <m:rPr>
            <m:sty m:val="p"/>
          </m:rPr>
          <m:t>=</m:t>
        </m:r>
        <m:sSup>
          <m:e>
            <m:r>
              <m:t>X</m:t>
            </m:r>
          </m:e>
          <m:sup>
            <m:r>
              <m:rPr>
                <m:sty m:val="p"/>
              </m:rPr>
              <m:t>⊤</m:t>
            </m:r>
          </m:sup>
        </m:sSup>
        <m:sSub>
          <m:e>
            <m:r>
              <m:t>W</m:t>
            </m:r>
          </m:e>
          <m:sub>
            <m:r>
              <m:rPr>
                <m:nor/>
                <m:sty m:val="p"/>
              </m:rPr>
              <m:t>true</m:t>
            </m:r>
          </m:sub>
        </m:sSub>
      </m:oMath>
      <w:r>
        <w:t xml:space="preserve">, where</w:t>
      </w:r>
      <w:r>
        <w:t xml:space="preserve"> </w:t>
      </w:r>
      <m:oMath>
        <m:sSub>
          <m:e>
            <m:r>
              <m:t>W</m:t>
            </m:r>
          </m:e>
          <m:sub>
            <m:r>
              <m:rPr>
                <m:nor/>
                <m:sty m:val="p"/>
              </m:rPr>
              <m:t>true</m:t>
            </m:r>
          </m:sub>
        </m:sSub>
      </m:oMath>
      <w:r>
        <w:t xml:space="preserve"> </w:t>
      </w:r>
      <w:r>
        <w:t xml:space="preserve">retained marker gene loadings for their corresponding factors and was zero otherwise, were standardized column-wise; the linear predictor was</w:t>
      </w:r>
      <w:r>
        <w:t xml:space="preserve"> </w:t>
      </w:r>
      <m:oMath>
        <m:r>
          <m:t>η</m:t>
        </m:r>
        <m:r>
          <m:rPr>
            <m:sty m:val="p"/>
          </m:rPr>
          <m:t>=</m:t>
        </m:r>
        <m:sSub>
          <m:e>
            <m:r>
              <m:t>Z</m:t>
            </m:r>
          </m:e>
          <m:sub>
            <m:r>
              <m:rPr>
                <m:nor/>
                <m:sty m:val="p"/>
              </m:rPr>
              <m:t>true</m:t>
            </m:r>
          </m:sub>
        </m:sSub>
        <m:r>
          <m:t>β</m:t>
        </m:r>
      </m:oMath>
      <w:r>
        <w:t xml:space="preserve">;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Each dataset was analyzed using DeSurv and unsupervised NMF (</w:t>
      </w:r>
      <m:oMath>
        <m:r>
          <m:t>α</m:t>
        </m:r>
        <m:r>
          <m:rPr>
            <m:sty m:val="p"/>
          </m:rPr>
          <m:t>=</m:t>
        </m:r>
        <m:r>
          <m:t>0</m:t>
        </m:r>
      </m:oMath>
      <w:r>
        <w:t xml:space="preserve">, the unsupervised limit of the same pipeline) followed by Cox regression on inferred factors, both tuned using cross-validated concordance index via Bayesian optimization. Performance was summarized across repeated simulation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We report the average across survival-driving factors.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p>
      <w:pPr>
        <w:pStyle w:val="BodyText"/>
      </w:pPr>
      <w:r>
        <w:t xml:space="preserve">We considered three simulation scenarios: a prognostic scenario in which the factor-specific survival signal contributes little transcriptomic variation relative to the shared outcome-neutral background, a null scenario with no survival signal, and a mixed scenario where prognostic and variance-dominant signals partially overlap.</w:t>
      </w:r>
    </w:p>
    <w:bookmarkEnd w:id="46"/>
    <w:bookmarkStart w:id="47" w:name="real-world-datasets"/>
    <w:p>
      <w:pPr>
        <w:pStyle w:val="Heading2"/>
      </w:pPr>
      <w:r>
        <w:t xml:space="preserve">Real-world datasets</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Section 6; accrual and follow-up periods are as defined in each cohort’s original publication. Gene expression matrices were analyzed on a log scale: RNA-seq cohorts as log\textsubscript{2}(TPM + 1); microarray cohorts in platform-normalized log-scale intensities. Within each training cohort, genes were ranked separately by mean expression and variance, and the 3,000 genes with the smallest sum of the mean-expression and variance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More details about the datasets can be found in Supplementary Information, Section 6.</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 data-loading filter applied to the analytic training cohort; grade is not used by the model),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47"/>
    <w:bookmarkStart w:id="48"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In the O’Kane/COMPASS cohort of treated metastatic PDAC (</w:t>
      </w:r>
      <m:oMath>
        <m:r>
          <m:t>n</m:t>
        </m:r>
        <m:r>
          <m:rPr>
            <m:sty m:val="p"/>
          </m:rPr>
          <m:t>=</m:t>
        </m:r>
        <m:r>
          <m:t>173</m:t>
        </m:r>
      </m:oMath>
      <w:r>
        <w:t xml:space="preserve"> </w:t>
      </w:r>
      <w:r>
        <w:t xml:space="preserve">patients, 123 deaths; laser-capture microdissected, epithelial-enriched expression), the projected D1 score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48"/>
    <w:bookmarkStart w:id="49"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49"/>
    <w:bookmarkEnd w:id="50"/>
    <w:bookmarkStart w:id="51"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and are de-identified; no Institutional Review Board (IRB) approval was required for their analysis.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 \texttt{results/treated_cohort_stats.rds}),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1"/>
    <w:bookmarkStart w:id="52" w:name="code-availability"/>
    <w:p>
      <w:pPr>
        <w:pStyle w:val="Heading1"/>
      </w:pPr>
      <w:r>
        <w:t xml:space="preserve">Code Availability</w:t>
      </w:r>
    </w:p>
    <w:p>
      <w:pPr>
        <w:pStyle w:val="FirstParagraph"/>
      </w:pPr>
      <w:r>
        <w:t xml:space="preserve">All analyses were performed in R (version 4.6.0; R Core Team) using DeSurv (v1.0.1; this work), \texttt{NMF}</w:t>
      </w:r>
      <w:hyperlink w:anchor="ref-gaujoux2010flexible">
        <w:r>
          <w:rPr>
            <w:rStyle w:val="Hyperlink"/>
            <w:vertAlign w:val="superscript"/>
          </w:rPr>
          <w:t xml:space="preserve">42</w:t>
        </w:r>
      </w:hyperlink>
      <w:r>
        <w:t xml:space="preserve">, \texttt{glmnet}</w:t>
      </w:r>
      <w:hyperlink w:anchor="ref-simon2011regularization">
        <w:r>
          <w:rPr>
            <w:rStyle w:val="Hyperlink"/>
            <w:vertAlign w:val="superscript"/>
          </w:rPr>
          <w:t xml:space="preserve">23</w:t>
        </w:r>
      </w:hyperlink>
      <w:r>
        <w:t xml:space="preserve">, \texttt{survival}, \texttt{ggplot2}, and \texttt{cowplot}; Bayesian optimization for hyperparameter selection was implemented within DeSurv. The DeSurv R package is available at \url{https://github.com/rashidlab/DeSurv} (archived at Zenodo, DOI \texttt{10.5281/zenodo.20150929}). Reproducibility code, processed data, and the exact session-info file are available at \url{https://github.com/rashidlab/DeSurv-paper} (archived at Zenodo, DOI \texttt{10.5281/zenodo.20150946}); this includes \texttt{code/11_treated_cohort_analysis.R}, which generates the treated-cohort summary statistics above.</w:t>
      </w:r>
    </w:p>
    <w:bookmarkEnd w:id="52"/>
    <w:bookmarkStart w:id="53"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p>
      <w:pPr>
        <w:pStyle w:val="BodyText"/>
      </w:pPr>
      <w:r>
        <w:t xml:space="preserve">\textbf{Inclusion and Diversity.}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where the prognostic association of the DeSurv linear predictor was unchanged.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53"/>
    <w:bookmarkStart w:id="54"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54"/>
    <w:bookmarkStart w:id="55"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included as fixed covariate annotations, and the adjustment analyses using these calls are objective and reproducible from the deposited code. They are not components of DeSurv. The other authors declare no competing interests.</w:t>
      </w:r>
    </w:p>
    <w:bookmarkEnd w:id="55"/>
    <w:bookmarkStart w:id="148" w:name="references"/>
    <w:p>
      <w:pPr>
        <w:pStyle w:val="Heading1"/>
      </w:pPr>
      <w:r>
        <w:t xml:space="preserve">References</w:t>
      </w:r>
    </w:p>
    <w:bookmarkStart w:id="147" w:name="refs"/>
    <w:bookmarkStart w:id="57" w:name="ref-siegel2026cancer"/>
    <w:p>
      <w:pPr>
        <w:pStyle w:val="Bibliography"/>
      </w:pPr>
      <w:r>
        <w:t xml:space="preserve">1.</w:t>
      </w:r>
      <w:r>
        <w:t xml:space="preserve"> </w:t>
      </w:r>
      <w:r>
        <w:t xml:space="preserve">	</w:t>
      </w:r>
      <w:r>
        <w:t xml:space="preserve">Siegel, R. L., Kratzer, T. B., Wagle, N. S., Sung, H. &amp; Jemal, A. Cancer statistics, 2026.</w:t>
      </w:r>
      <w:r>
        <w:t xml:space="preserve"> </w:t>
      </w:r>
      <w:r>
        <w:rPr>
          <w:iCs/>
          <w:i/>
        </w:rPr>
        <w:t xml:space="preserve">CA: A Cancer Journal for Clinicians</w:t>
      </w:r>
      <w:r>
        <w:t xml:space="preserve"> </w:t>
      </w:r>
      <w:hyperlink r:id="rId56">
        <w:r>
          <w:rPr>
            <w:rStyle w:val="Hyperlink"/>
          </w:rPr>
          <w:t xml:space="preserve">https://doi.org/10.3322/caac.70043</w:t>
        </w:r>
      </w:hyperlink>
      <w:r>
        <w:t xml:space="preserve"> </w:t>
      </w:r>
      <w:r>
        <w:t xml:space="preserve">(2026) doi:</w:t>
      </w:r>
      <w:hyperlink r:id="rId56">
        <w:r>
          <w:rPr>
            <w:rStyle w:val="Hyperlink"/>
          </w:rPr>
          <w:t xml:space="preserve">10.3322/caac.70043</w:t>
        </w:r>
      </w:hyperlink>
      <w:r>
        <w:t xml:space="preserve">.</w:t>
      </w:r>
    </w:p>
    <w:bookmarkEnd w:id="57"/>
    <w:bookmarkStart w:id="59"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5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59"/>
    <w:bookmarkStart w:id="61"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0">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1"/>
    <w:bookmarkStart w:id="63"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6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63"/>
    <w:bookmarkStart w:id="65"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6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65"/>
    <w:bookmarkStart w:id="67"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66">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67"/>
    <w:bookmarkStart w:id="69"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68">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69"/>
    <w:bookmarkStart w:id="71"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0">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71"/>
    <w:bookmarkStart w:id="73"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72">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73"/>
    <w:bookmarkStart w:id="75"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74">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75"/>
    <w:bookmarkStart w:id="77" w:name="ref-nguyen2024fourteen"/>
    <w:p>
      <w:pPr>
        <w:pStyle w:val="Bibliography"/>
      </w:pPr>
      <w:r>
        <w:t xml:space="preserve">11.</w:t>
      </w:r>
      <w:r>
        <w:t xml:space="preserve"> </w:t>
      </w:r>
      <w:r>
        <w:t xml:space="preserve">	</w:t>
      </w:r>
      <w:r>
        <w:t xml:space="preserve">Nguyen, H., Nguyen, H., Tran, D., Draghici, S. &amp; Nguyen, T.</w:t>
      </w:r>
      <w:r>
        <w:t xml:space="preserve"> </w:t>
      </w:r>
      <w:hyperlink r:id="rId76">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77"/>
    <w:bookmarkStart w:id="79" w:name="ref-lee1999learning"/>
    <w:p>
      <w:pPr>
        <w:pStyle w:val="Bibliography"/>
      </w:pPr>
      <w:r>
        <w:t xml:space="preserve">12.</w:t>
      </w:r>
      <w:r>
        <w:t xml:space="preserve"> </w:t>
      </w:r>
      <w:r>
        <w:t xml:space="preserve">	</w:t>
      </w:r>
      <w:r>
        <w:t xml:space="preserve">Lee, D. D. &amp; Seung, H. S.</w:t>
      </w:r>
      <w:r>
        <w:t xml:space="preserve"> </w:t>
      </w:r>
      <w:hyperlink r:id="rId78">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79"/>
    <w:bookmarkStart w:id="81" w:name="ref-brunet2004metagenes"/>
    <w:p>
      <w:pPr>
        <w:pStyle w:val="Bibliography"/>
      </w:pPr>
      <w:r>
        <w:t xml:space="preserve">13.</w:t>
      </w:r>
      <w:r>
        <w:t xml:space="preserve"> </w:t>
      </w:r>
      <w:r>
        <w:t xml:space="preserve">	</w:t>
      </w:r>
      <w:r>
        <w:t xml:space="preserve">Brunet, J.-P., Tamayo, P., Golub, T. R. &amp; Mesirov, J. P.</w:t>
      </w:r>
      <w:r>
        <w:t xml:space="preserve"> </w:t>
      </w:r>
      <w:hyperlink r:id="rId80">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81"/>
    <w:bookmarkStart w:id="83" w:name="ref-peng2019novo"/>
    <w:p>
      <w:pPr>
        <w:pStyle w:val="Bibliography"/>
      </w:pPr>
      <w:r>
        <w:t xml:space="preserve">14.</w:t>
      </w:r>
      <w:r>
        <w:t xml:space="preserve"> </w:t>
      </w:r>
      <w:r>
        <w:t xml:space="preserve">	</w:t>
      </w:r>
      <w:r>
        <w:t xml:space="preserve">Peng, X. L., Moffitt, R. A., Torphy, R. J., Volmar, K. E. &amp; Yeh, J. J.</w:t>
      </w:r>
      <w:r>
        <w:t xml:space="preserve"> </w:t>
      </w:r>
      <w:hyperlink r:id="rId82">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3"/>
    <w:bookmarkStart w:id="85" w:name="ref-bair2004semi"/>
    <w:p>
      <w:pPr>
        <w:pStyle w:val="Bibliography"/>
      </w:pPr>
      <w:r>
        <w:t xml:space="preserve">15.</w:t>
      </w:r>
      <w:r>
        <w:t xml:space="preserve"> </w:t>
      </w:r>
      <w:r>
        <w:t xml:space="preserve">	</w:t>
      </w:r>
      <w:r>
        <w:t xml:space="preserve">Bair, E. &amp; Tibshirani, R.</w:t>
      </w:r>
      <w:r>
        <w:t xml:space="preserve"> </w:t>
      </w:r>
      <w:hyperlink r:id="rId84">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85"/>
    <w:bookmarkStart w:id="87" w:name="ref-cook2007fisher"/>
    <w:p>
      <w:pPr>
        <w:pStyle w:val="Bibliography"/>
      </w:pPr>
      <w:r>
        <w:t xml:space="preserve">16.</w:t>
      </w:r>
      <w:r>
        <w:t xml:space="preserve"> </w:t>
      </w:r>
      <w:r>
        <w:t xml:space="preserve">	</w:t>
      </w:r>
      <w:r>
        <w:t xml:space="preserve">Cook, R. D.</w:t>
      </w:r>
      <w:r>
        <w:t xml:space="preserve"> </w:t>
      </w:r>
      <w:hyperlink r:id="rId86">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87"/>
    <w:bookmarkStart w:id="89"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88">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89"/>
    <w:bookmarkStart w:id="91" w:name="ref-aran2015systematic"/>
    <w:p>
      <w:pPr>
        <w:pStyle w:val="Bibliography"/>
      </w:pPr>
      <w:r>
        <w:t xml:space="preserve">18.</w:t>
      </w:r>
      <w:r>
        <w:t xml:space="preserve"> </w:t>
      </w:r>
      <w:r>
        <w:t xml:space="preserve">	</w:t>
      </w:r>
      <w:r>
        <w:t xml:space="preserve">Aran, D., Sirota, M. &amp; Butte, A. J.</w:t>
      </w:r>
      <w:r>
        <w:t xml:space="preserve"> </w:t>
      </w:r>
      <w:hyperlink r:id="rId90">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1"/>
    <w:bookmarkStart w:id="92"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2"/>
    <w:bookmarkStart w:id="94"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93">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4"/>
    <w:bookmarkStart w:id="95"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5"/>
    <w:bookmarkStart w:id="97"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96">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97"/>
    <w:bookmarkStart w:id="99" w:name="ref-simon2011regularization"/>
    <w:p>
      <w:pPr>
        <w:pStyle w:val="Bibliography"/>
      </w:pPr>
      <w:r>
        <w:t xml:space="preserve">23.</w:t>
      </w:r>
      <w:r>
        <w:t xml:space="preserve"> </w:t>
      </w:r>
      <w:r>
        <w:t xml:space="preserve">	</w:t>
      </w:r>
      <w:r>
        <w:t xml:space="preserve">Simon, N., Friedman, J. H., Hastie, T. &amp; Tibshirani, R.</w:t>
      </w:r>
      <w:r>
        <w:t xml:space="preserve"> </w:t>
      </w:r>
      <w:hyperlink r:id="rId98">
        <w:r>
          <w:rPr>
            <w:rStyle w:val="Hyperlink"/>
          </w:rPr>
          <w:t xml:space="preserve">Regularization paths for cox’s 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99"/>
    <w:bookmarkStart w:id="101"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0">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1"/>
    <w:bookmarkStart w:id="103"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02">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3"/>
    <w:bookmarkStart w:id="105" w:name="ref-snoek2012practical"/>
    <w:p>
      <w:pPr>
        <w:pStyle w:val="Bibliography"/>
      </w:pPr>
      <w:r>
        <w:t xml:space="preserve">26.</w:t>
      </w:r>
      <w:r>
        <w:t xml:space="preserve"> </w:t>
      </w:r>
      <w:r>
        <w:t xml:space="preserve">	</w:t>
      </w:r>
      <w:r>
        <w:t xml:space="preserve">Snoek, J., Larochelle, H. &amp; Adams, R. P.</w:t>
      </w:r>
      <w:r>
        <w:t xml:space="preserve"> </w:t>
      </w:r>
      <w:hyperlink r:id="rId104">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05"/>
    <w:bookmarkStart w:id="107"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06">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07"/>
    <w:bookmarkStart w:id="109" w:name="ref-frigyesi2008nmf"/>
    <w:p>
      <w:pPr>
        <w:pStyle w:val="Bibliography"/>
      </w:pPr>
      <w:r>
        <w:t xml:space="preserve">28.</w:t>
      </w:r>
      <w:r>
        <w:t xml:space="preserve"> </w:t>
      </w:r>
      <w:r>
        <w:t xml:space="preserve">	</w:t>
      </w:r>
      <w:r>
        <w:t xml:space="preserve">Frigyesi, A. &amp; Höglund, M.</w:t>
      </w:r>
      <w:r>
        <w:t xml:space="preserve"> </w:t>
      </w:r>
      <w:hyperlink r:id="rId108">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09"/>
    <w:bookmarkStart w:id="111"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0">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1"/>
    <w:bookmarkStart w:id="113"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12">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3"/>
    <w:bookmarkStart w:id="114"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14"/>
    <w:bookmarkStart w:id="115"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15"/>
    <w:bookmarkStart w:id="116"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16"/>
    <w:bookmarkStart w:id="118" w:name="ref-zaccaria2023surviae"/>
    <w:p>
      <w:pPr>
        <w:pStyle w:val="Bibliography"/>
      </w:pPr>
      <w:r>
        <w:t xml:space="preserve">34.</w:t>
      </w:r>
      <w:r>
        <w:t xml:space="preserve"> </w:t>
      </w:r>
      <w:r>
        <w:t xml:space="preserve">	</w:t>
      </w:r>
      <w:r>
        <w:t xml:space="preserve">Zaccaria, G. M., Altini, N., Mezzolla, G.,</w:t>
      </w:r>
      <w:r>
        <w:t xml:space="preserve"> </w:t>
      </w:r>
      <w:r>
        <w:rPr>
          <w:iCs/>
          <w:i/>
        </w:rPr>
        <w:t xml:space="preserve">et al.</w:t>
      </w:r>
      <w:r>
        <w:t xml:space="preserve"> </w:t>
      </w:r>
      <w:hyperlink r:id="rId117">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18"/>
    <w:bookmarkStart w:id="120" w:name="ref-meng2022savae"/>
    <w:p>
      <w:pPr>
        <w:pStyle w:val="Bibliography"/>
      </w:pPr>
      <w:r>
        <w:t xml:space="preserve">35.</w:t>
      </w:r>
      <w:r>
        <w:t xml:space="preserve"> </w:t>
      </w:r>
      <w:r>
        <w:t xml:space="preserve">	</w:t>
      </w:r>
      <w:r>
        <w:t xml:space="preserve">Meng, X., Wang, X., Zhang, X.,</w:t>
      </w:r>
      <w:r>
        <w:t xml:space="preserve"> </w:t>
      </w:r>
      <w:r>
        <w:rPr>
          <w:iCs/>
          <w:i/>
        </w:rPr>
        <w:t xml:space="preserve">et al.</w:t>
      </w:r>
      <w:r>
        <w:t xml:space="preserve"> </w:t>
      </w:r>
      <w:hyperlink r:id="rId119">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0"/>
    <w:bookmarkStart w:id="122" w:name="ref-ogawa2020stroma"/>
    <w:p>
      <w:pPr>
        <w:pStyle w:val="Bibliography"/>
      </w:pPr>
      <w:r>
        <w:t xml:space="preserve">36.</w:t>
      </w:r>
      <w:r>
        <w:t xml:space="preserve"> </w:t>
      </w:r>
      <w:r>
        <w:t xml:space="preserve">	</w:t>
      </w:r>
      <w:r>
        <w:t xml:space="preserve">Ogawa, Y., Masugi, Y., Abe, T.,</w:t>
      </w:r>
      <w:r>
        <w:t xml:space="preserve"> </w:t>
      </w:r>
      <w:r>
        <w:rPr>
          <w:iCs/>
          <w:i/>
        </w:rPr>
        <w:t xml:space="preserve">et al.</w:t>
      </w:r>
      <w:r>
        <w:t xml:space="preserve"> </w:t>
      </w:r>
      <w:hyperlink r:id="rId121">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2"/>
    <w:bookmarkStart w:id="124" w:name="ref-neuzillet2022periostin"/>
    <w:p>
      <w:pPr>
        <w:pStyle w:val="Bibliography"/>
      </w:pPr>
      <w:r>
        <w:t xml:space="preserve">37.</w:t>
      </w:r>
      <w:r>
        <w:t xml:space="preserve"> </w:t>
      </w:r>
      <w:r>
        <w:t xml:space="preserve">	</w:t>
      </w:r>
      <w:r>
        <w:t xml:space="preserve">Neuzillet, C., Nicolle, R., Raffenne, J.,</w:t>
      </w:r>
      <w:r>
        <w:t xml:space="preserve"> </w:t>
      </w:r>
      <w:r>
        <w:rPr>
          <w:iCs/>
          <w:i/>
        </w:rPr>
        <w:t xml:space="preserve">et al.</w:t>
      </w:r>
      <w:r>
        <w:t xml:space="preserve"> </w:t>
      </w:r>
      <w:hyperlink r:id="rId123">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24"/>
    <w:bookmarkStart w:id="126" w:name="ref-lee2024tumorcaf"/>
    <w:p>
      <w:pPr>
        <w:pStyle w:val="Bibliography"/>
      </w:pPr>
      <w:r>
        <w:t xml:space="preserve">38.</w:t>
      </w:r>
      <w:r>
        <w:t xml:space="preserve"> </w:t>
      </w:r>
      <w:r>
        <w:t xml:space="preserve">	</w:t>
      </w:r>
      <w:r>
        <w:t xml:space="preserve">Lee, J. J., Kearney, J. F., Trembath, H. E.,</w:t>
      </w:r>
      <w:r>
        <w:t xml:space="preserve"> </w:t>
      </w:r>
      <w:r>
        <w:rPr>
          <w:iCs/>
          <w:i/>
        </w:rPr>
        <w:t xml:space="preserve">et al.</w:t>
      </w:r>
      <w:r>
        <w:t xml:space="preserve"> </w:t>
      </w:r>
      <w:hyperlink r:id="rId125">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26"/>
    <w:bookmarkStart w:id="128" w:name="ref-newman2019cibersortx"/>
    <w:p>
      <w:pPr>
        <w:pStyle w:val="Bibliography"/>
      </w:pPr>
      <w:r>
        <w:t xml:space="preserve">39.</w:t>
      </w:r>
      <w:r>
        <w:t xml:space="preserve"> </w:t>
      </w:r>
      <w:r>
        <w:t xml:space="preserve">	</w:t>
      </w:r>
      <w:r>
        <w:t xml:space="preserve">Newman, A. M., Steen, C. B., Liu, C. L., Gentles, A. J.,</w:t>
      </w:r>
      <w:r>
        <w:t xml:space="preserve"> </w:t>
      </w:r>
      <w:r>
        <w:rPr>
          <w:iCs/>
          <w:i/>
        </w:rPr>
        <w:t xml:space="preserve">et al.</w:t>
      </w:r>
      <w:r>
        <w:t xml:space="preserve"> </w:t>
      </w:r>
      <w:hyperlink r:id="rId127">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28"/>
    <w:bookmarkStart w:id="130" w:name="ref-chu2022bayesprism"/>
    <w:p>
      <w:pPr>
        <w:pStyle w:val="Bibliography"/>
      </w:pPr>
      <w:r>
        <w:t xml:space="preserve">40.</w:t>
      </w:r>
      <w:r>
        <w:t xml:space="preserve"> </w:t>
      </w:r>
      <w:r>
        <w:t xml:space="preserve">	</w:t>
      </w:r>
      <w:r>
        <w:t xml:space="preserve">Chu, T., Wang, Z., Pe’er, D. &amp; Danko, C. G.</w:t>
      </w:r>
      <w:r>
        <w:t xml:space="preserve"> </w:t>
      </w:r>
      <w:hyperlink r:id="rId129">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0"/>
    <w:bookmarkStart w:id="132" w:name="ref-smith2020standard"/>
    <w:p>
      <w:pPr>
        <w:pStyle w:val="Bibliography"/>
      </w:pPr>
      <w:r>
        <w:t xml:space="preserve">41.</w:t>
      </w:r>
      <w:r>
        <w:t xml:space="preserve"> </w:t>
      </w:r>
      <w:r>
        <w:t xml:space="preserve">	</w:t>
      </w:r>
      <w:r>
        <w:t xml:space="preserve">Smith, A. M., Walsh, J. R., Long, J.,</w:t>
      </w:r>
      <w:r>
        <w:t xml:space="preserve"> </w:t>
      </w:r>
      <w:r>
        <w:rPr>
          <w:iCs/>
          <w:i/>
        </w:rPr>
        <w:t xml:space="preserve">et al.</w:t>
      </w:r>
      <w:r>
        <w:t xml:space="preserve"> </w:t>
      </w:r>
      <w:hyperlink r:id="rId131">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2"/>
    <w:bookmarkStart w:id="134" w:name="ref-gaujoux2010flexible"/>
    <w:p>
      <w:pPr>
        <w:pStyle w:val="Bibliography"/>
      </w:pPr>
      <w:r>
        <w:t xml:space="preserve">42.</w:t>
      </w:r>
      <w:r>
        <w:t xml:space="preserve"> </w:t>
      </w:r>
      <w:r>
        <w:t xml:space="preserve">	</w:t>
      </w:r>
      <w:r>
        <w:t xml:space="preserve">Gaujoux, R. &amp; Seoighe, C.</w:t>
      </w:r>
      <w:r>
        <w:t xml:space="preserve"> </w:t>
      </w:r>
      <w:hyperlink r:id="rId133">
        <w:r>
          <w:rPr>
            <w:rStyle w:val="Hyperlink"/>
          </w:rPr>
          <w:t xml:space="preserve">A flexible r 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4"/>
    <w:bookmarkStart w:id="136" w:name="ref-data_tcga_paad"/>
    <w:p>
      <w:pPr>
        <w:pStyle w:val="Bibliography"/>
      </w:pPr>
      <w:r>
        <w:t xml:space="preserve">43.</w:t>
      </w:r>
      <w:r>
        <w:t xml:space="preserve"> </w:t>
      </w:r>
      <w:r>
        <w:t xml:space="preserve">	</w:t>
      </w:r>
      <w:r>
        <w:t xml:space="preserve">The Cancer Genome Atlas Research Network.</w:t>
      </w:r>
      <w:r>
        <w:t xml:space="preserve"> </w:t>
      </w:r>
      <w:hyperlink r:id="rId135">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6"/>
    <w:bookmarkStart w:id="138"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37">
        <w:r>
          <w:rPr>
            <w:rStyle w:val="Hyperlink"/>
          </w:rPr>
          <w:t xml:space="preserve">Data from CPTAC-3 pancreatic ductal adenocarcinoma cohort</w:t>
        </w:r>
      </w:hyperlink>
      <w:r>
        <w:t xml:space="preserve">. (2019).</w:t>
      </w:r>
    </w:p>
    <w:bookmarkEnd w:id="138"/>
    <w:bookmarkStart w:id="140"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39">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0"/>
    <w:bookmarkStart w:id="142"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41">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2"/>
    <w:bookmarkStart w:id="144"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43">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4"/>
    <w:bookmarkStart w:id="146"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45">
        <w:r>
          <w:rPr>
            <w:rStyle w:val="Hyperlink"/>
          </w:rPr>
          <w:t xml:space="preserve">Pancreatic cancer (PACA-AU) cohort: Array and RNA-sequencing data</w:t>
        </w:r>
      </w:hyperlink>
      <w:r>
        <w:t xml:space="preserve">. (2016).</w:t>
      </w:r>
    </w:p>
    <w:bookmarkEnd w:id="146"/>
    <w:bookmarkEnd w:id="147"/>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23" Target="https://doi.org/10.1002/path.6011"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7" Target="https://doi.org/10.1016/j.cmpb.2023.107966" TargetMode="External" /><Relationship Type="http://schemas.openxmlformats.org/officeDocument/2006/relationships/hyperlink" Id="rId64" Target="https://doi.org/10.1016/j.xcrm.2026.102611" TargetMode="External" /><Relationship Type="http://schemas.openxmlformats.org/officeDocument/2006/relationships/hyperlink" Id="rId78" Target="https://doi.org/10.1038/44565" TargetMode="External" /><Relationship Type="http://schemas.openxmlformats.org/officeDocument/2006/relationships/hyperlink" Id="rId72" Target="https://doi.org/10.1038/nature16965" TargetMode="External" /><Relationship Type="http://schemas.openxmlformats.org/officeDocument/2006/relationships/hyperlink" Id="rId90" Target="https://doi.org/10.1038/ncomms9971" TargetMode="External" /><Relationship Type="http://schemas.openxmlformats.org/officeDocument/2006/relationships/hyperlink" Id="rId60" Target="https://doi.org/10.1038/ng.3398" TargetMode="External" /><Relationship Type="http://schemas.openxmlformats.org/officeDocument/2006/relationships/hyperlink" Id="rId58" Target="https://doi.org/10.1038/nm.2344" TargetMode="External" /><Relationship Type="http://schemas.openxmlformats.org/officeDocument/2006/relationships/hyperlink" Id="rId82" Target="https://doi.org/10.1038/s41467-019-12517-7" TargetMode="External" /><Relationship Type="http://schemas.openxmlformats.org/officeDocument/2006/relationships/hyperlink" Id="rId70" Target="https://doi.org/10.1038/s41467-023-36296-4" TargetMode="External" /><Relationship Type="http://schemas.openxmlformats.org/officeDocument/2006/relationships/hyperlink" Id="rId127" Target="https://doi.org/10.1038/s41587-019-0114-2" TargetMode="External" /><Relationship Type="http://schemas.openxmlformats.org/officeDocument/2006/relationships/hyperlink" Id="rId66" Target="https://doi.org/10.1038/s41587-019-0392-8" TargetMode="External" /><Relationship Type="http://schemas.openxmlformats.org/officeDocument/2006/relationships/hyperlink" Id="rId68" Target="https://doi.org/10.1038/s41588-022-01134-8" TargetMode="External" /><Relationship Type="http://schemas.openxmlformats.org/officeDocument/2006/relationships/hyperlink" Id="rId88" Target="https://doi.org/10.1038/s42003-023-04461-6" TargetMode="External" /><Relationship Type="http://schemas.openxmlformats.org/officeDocument/2006/relationships/hyperlink" Id="rId129" Target="https://doi.org/10.1038/s43018-022-00356-3" TargetMode="External" /><Relationship Type="http://schemas.openxmlformats.org/officeDocument/2006/relationships/hyperlink" Id="rId80" Target="https://doi.org/10.1073/pnas.0308531101" TargetMode="External" /><Relationship Type="http://schemas.openxmlformats.org/officeDocument/2006/relationships/hyperlink" Id="rId110" Target="https://doi.org/10.1093/bioinformatics/btad449" TargetMode="External" /><Relationship Type="http://schemas.openxmlformats.org/officeDocument/2006/relationships/hyperlink" Id="rId76" Target="https://doi.org/10.1093/nar/gkae267" TargetMode="External" /><Relationship Type="http://schemas.openxmlformats.org/officeDocument/2006/relationships/hyperlink" Id="rId96" Target="https://doi.org/10.1093/narcan/zcac030" TargetMode="External" /><Relationship Type="http://schemas.openxmlformats.org/officeDocument/2006/relationships/hyperlink" Id="rId125" Target="https://doi.org/10.1097/SLA.0000000000006416" TargetMode="External" /><Relationship Type="http://schemas.openxmlformats.org/officeDocument/2006/relationships/hyperlink" Id="rId106" Target="https://doi.org/10.1109/JPROC.2015.2494218" TargetMode="External" /><Relationship Type="http://schemas.openxmlformats.org/officeDocument/2006/relationships/hyperlink" Id="rId112" Target="https://doi.org/10.1136/gutjnl-2018-317706" TargetMode="External" /><Relationship Type="http://schemas.openxmlformats.org/officeDocument/2006/relationships/hyperlink" Id="rId93" Target="https://doi.org/10.1155/2008/764206" TargetMode="External" /><Relationship Type="http://schemas.openxmlformats.org/officeDocument/2006/relationships/hyperlink" Id="rId74" Target="https://doi.org/10.1158/1078-0432.CCR-17-2994" TargetMode="External" /><Relationship Type="http://schemas.openxmlformats.org/officeDocument/2006/relationships/hyperlink" Id="rId62" Target="https://doi.org/10.1158/1078-0432.CCR-19-1467" TargetMode="External" /><Relationship Type="http://schemas.openxmlformats.org/officeDocument/2006/relationships/hyperlink" Id="rId121" Target="https://doi.org/10.1158/1078-0432.CCR-20-2298" TargetMode="External" /><Relationship Type="http://schemas.openxmlformats.org/officeDocument/2006/relationships/hyperlink" Id="rId133" Target="https://doi.org/10.1186/1471-2105-11-367" TargetMode="External" /><Relationship Type="http://schemas.openxmlformats.org/officeDocument/2006/relationships/hyperlink" Id="rId131" Target="https://doi.org/10.1186/s12859-020-3427-8" TargetMode="External" /><Relationship Type="http://schemas.openxmlformats.org/officeDocument/2006/relationships/hyperlink" Id="rId86" Target="https://doi.org/10.1214/088342306000000682" TargetMode="External" /><Relationship Type="http://schemas.openxmlformats.org/officeDocument/2006/relationships/hyperlink" Id="rId84" Target="https://doi.org/10.1371/journal.pbio.0020108" TargetMode="External" /><Relationship Type="http://schemas.openxmlformats.org/officeDocument/2006/relationships/hyperlink" Id="rId98" Target="https://doi.org/10.18637/jss.v039.i05" TargetMode="External" /><Relationship Type="http://schemas.openxmlformats.org/officeDocument/2006/relationships/hyperlink" Id="rId56" Target="https://doi.org/10.3322/caac.70043" TargetMode="External" /><Relationship Type="http://schemas.openxmlformats.org/officeDocument/2006/relationships/hyperlink" Id="rId119" Target="https://doi.org/10.3390/cells11091421" TargetMode="External" /><Relationship Type="http://schemas.openxmlformats.org/officeDocument/2006/relationships/hyperlink" Id="rId108" Target="https://doi.org/10.4137/CIN.S606" TargetMode="External" /><Relationship Type="http://schemas.openxmlformats.org/officeDocument/2006/relationships/hyperlink" Id="rId137" Target="https://portal.gdc.cancer.gov/projects/CPTAC-3" TargetMode="External" /><Relationship Type="http://schemas.openxmlformats.org/officeDocument/2006/relationships/hyperlink" Id="rId135" Target="https://portal.gdc.cancer.gov/projects/TCGA-PAAD" TargetMode="External" /><Relationship Type="http://schemas.openxmlformats.org/officeDocument/2006/relationships/hyperlink" Id="rId104" Target="https://proceedings.neurips.cc/paper/2012/hash/05311655a15b75fab86956663e1819cd-Abstract.html" TargetMode="External" /><Relationship Type="http://schemas.openxmlformats.org/officeDocument/2006/relationships/hyperlink" Id="rId141" Target="https://www.ebi.ac.uk/biostudies/arrayexpress/studies/E-MTAB-6134" TargetMode="External" /><Relationship Type="http://schemas.openxmlformats.org/officeDocument/2006/relationships/hyperlink" Id="rId139" Target="https://www.ebi.ac.uk/biostudies/arrayexpress/studies/E-MTAB-6830" TargetMode="External" /><Relationship Type="http://schemas.openxmlformats.org/officeDocument/2006/relationships/hyperlink" Id="rId145" Target="https://www.ncbi.nlm.nih.gov/geo/query/acc.cgi?acc=GSE36924" TargetMode="External" /><Relationship Type="http://schemas.openxmlformats.org/officeDocument/2006/relationships/hyperlink" Id="rId143"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1002/path.6011"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7" Target="https://doi.org/10.1016/j.cmpb.2023.107966" TargetMode="External" /><Relationship Type="http://schemas.openxmlformats.org/officeDocument/2006/relationships/hyperlink" Id="rId64" Target="https://doi.org/10.1016/j.xcrm.2026.102611" TargetMode="External" /><Relationship Type="http://schemas.openxmlformats.org/officeDocument/2006/relationships/hyperlink" Id="rId78" Target="https://doi.org/10.1038/44565" TargetMode="External" /><Relationship Type="http://schemas.openxmlformats.org/officeDocument/2006/relationships/hyperlink" Id="rId72" Target="https://doi.org/10.1038/nature16965" TargetMode="External" /><Relationship Type="http://schemas.openxmlformats.org/officeDocument/2006/relationships/hyperlink" Id="rId90" Target="https://doi.org/10.1038/ncomms9971" TargetMode="External" /><Relationship Type="http://schemas.openxmlformats.org/officeDocument/2006/relationships/hyperlink" Id="rId60" Target="https://doi.org/10.1038/ng.3398" TargetMode="External" /><Relationship Type="http://schemas.openxmlformats.org/officeDocument/2006/relationships/hyperlink" Id="rId58" Target="https://doi.org/10.1038/nm.2344" TargetMode="External" /><Relationship Type="http://schemas.openxmlformats.org/officeDocument/2006/relationships/hyperlink" Id="rId82" Target="https://doi.org/10.1038/s41467-019-12517-7" TargetMode="External" /><Relationship Type="http://schemas.openxmlformats.org/officeDocument/2006/relationships/hyperlink" Id="rId70" Target="https://doi.org/10.1038/s41467-023-36296-4" TargetMode="External" /><Relationship Type="http://schemas.openxmlformats.org/officeDocument/2006/relationships/hyperlink" Id="rId127" Target="https://doi.org/10.1038/s41587-019-0114-2" TargetMode="External" /><Relationship Type="http://schemas.openxmlformats.org/officeDocument/2006/relationships/hyperlink" Id="rId66" Target="https://doi.org/10.1038/s41587-019-0392-8" TargetMode="External" /><Relationship Type="http://schemas.openxmlformats.org/officeDocument/2006/relationships/hyperlink" Id="rId68" Target="https://doi.org/10.1038/s41588-022-01134-8" TargetMode="External" /><Relationship Type="http://schemas.openxmlformats.org/officeDocument/2006/relationships/hyperlink" Id="rId88" Target="https://doi.org/10.1038/s42003-023-04461-6" TargetMode="External" /><Relationship Type="http://schemas.openxmlformats.org/officeDocument/2006/relationships/hyperlink" Id="rId129" Target="https://doi.org/10.1038/s43018-022-00356-3" TargetMode="External" /><Relationship Type="http://schemas.openxmlformats.org/officeDocument/2006/relationships/hyperlink" Id="rId80" Target="https://doi.org/10.1073/pnas.0308531101" TargetMode="External" /><Relationship Type="http://schemas.openxmlformats.org/officeDocument/2006/relationships/hyperlink" Id="rId110" Target="https://doi.org/10.1093/bioinformatics/btad449" TargetMode="External" /><Relationship Type="http://schemas.openxmlformats.org/officeDocument/2006/relationships/hyperlink" Id="rId76" Target="https://doi.org/10.1093/nar/gkae267" TargetMode="External" /><Relationship Type="http://schemas.openxmlformats.org/officeDocument/2006/relationships/hyperlink" Id="rId96" Target="https://doi.org/10.1093/narcan/zcac030" TargetMode="External" /><Relationship Type="http://schemas.openxmlformats.org/officeDocument/2006/relationships/hyperlink" Id="rId125" Target="https://doi.org/10.1097/SLA.0000000000006416" TargetMode="External" /><Relationship Type="http://schemas.openxmlformats.org/officeDocument/2006/relationships/hyperlink" Id="rId106" Target="https://doi.org/10.1109/JPROC.2015.2494218" TargetMode="External" /><Relationship Type="http://schemas.openxmlformats.org/officeDocument/2006/relationships/hyperlink" Id="rId112" Target="https://doi.org/10.1136/gutjnl-2018-317706" TargetMode="External" /><Relationship Type="http://schemas.openxmlformats.org/officeDocument/2006/relationships/hyperlink" Id="rId93" Target="https://doi.org/10.1155/2008/764206" TargetMode="External" /><Relationship Type="http://schemas.openxmlformats.org/officeDocument/2006/relationships/hyperlink" Id="rId74" Target="https://doi.org/10.1158/1078-0432.CCR-17-2994" TargetMode="External" /><Relationship Type="http://schemas.openxmlformats.org/officeDocument/2006/relationships/hyperlink" Id="rId62" Target="https://doi.org/10.1158/1078-0432.CCR-19-1467" TargetMode="External" /><Relationship Type="http://schemas.openxmlformats.org/officeDocument/2006/relationships/hyperlink" Id="rId121" Target="https://doi.org/10.1158/1078-0432.CCR-20-2298" TargetMode="External" /><Relationship Type="http://schemas.openxmlformats.org/officeDocument/2006/relationships/hyperlink" Id="rId133" Target="https://doi.org/10.1186/1471-2105-11-367" TargetMode="External" /><Relationship Type="http://schemas.openxmlformats.org/officeDocument/2006/relationships/hyperlink" Id="rId131" Target="https://doi.org/10.1186/s12859-020-3427-8" TargetMode="External" /><Relationship Type="http://schemas.openxmlformats.org/officeDocument/2006/relationships/hyperlink" Id="rId86" Target="https://doi.org/10.1214/088342306000000682" TargetMode="External" /><Relationship Type="http://schemas.openxmlformats.org/officeDocument/2006/relationships/hyperlink" Id="rId84" Target="https://doi.org/10.1371/journal.pbio.0020108" TargetMode="External" /><Relationship Type="http://schemas.openxmlformats.org/officeDocument/2006/relationships/hyperlink" Id="rId98" Target="https://doi.org/10.18637/jss.v039.i05" TargetMode="External" /><Relationship Type="http://schemas.openxmlformats.org/officeDocument/2006/relationships/hyperlink" Id="rId56" Target="https://doi.org/10.3322/caac.70043" TargetMode="External" /><Relationship Type="http://schemas.openxmlformats.org/officeDocument/2006/relationships/hyperlink" Id="rId119" Target="https://doi.org/10.3390/cells11091421" TargetMode="External" /><Relationship Type="http://schemas.openxmlformats.org/officeDocument/2006/relationships/hyperlink" Id="rId108" Target="https://doi.org/10.4137/CIN.S606" TargetMode="External" /><Relationship Type="http://schemas.openxmlformats.org/officeDocument/2006/relationships/hyperlink" Id="rId137" Target="https://portal.gdc.cancer.gov/projects/CPTAC-3" TargetMode="External" /><Relationship Type="http://schemas.openxmlformats.org/officeDocument/2006/relationships/hyperlink" Id="rId135" Target="https://portal.gdc.cancer.gov/projects/TCGA-PAAD" TargetMode="External" /><Relationship Type="http://schemas.openxmlformats.org/officeDocument/2006/relationships/hyperlink" Id="rId104" Target="https://proceedings.neurips.cc/paper/2012/hash/05311655a15b75fab86956663e1819cd-Abstract.html" TargetMode="External" /><Relationship Type="http://schemas.openxmlformats.org/officeDocument/2006/relationships/hyperlink" Id="rId141" Target="https://www.ebi.ac.uk/biostudies/arrayexpress/studies/E-MTAB-6134" TargetMode="External" /><Relationship Type="http://schemas.openxmlformats.org/officeDocument/2006/relationships/hyperlink" Id="rId139" Target="https://www.ebi.ac.uk/biostudies/arrayexpress/studies/E-MTAB-6830" TargetMode="External" /><Relationship Type="http://schemas.openxmlformats.org/officeDocument/2006/relationships/hyperlink" Id="rId145" Target="https://www.ncbi.nlm.nih.gov/geo/query/acc.cgi?acc=GSE36924" TargetMode="External" /><Relationship Type="http://schemas.openxmlformats.org/officeDocument/2006/relationships/hyperlink" Id="rId143"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a survival-supervised matrix factorization, identifies a replicable tumor–stroma prognostic architecture in pancreatic cancer</dc:title>
  <dc:creator/>
  <cp:keywords>nonnegative matrix factorization, survival analysis, survival-supervised learning, tumor–stroma gene programs, pancreatic cancer</cp:keywords>
  <dcterms:created xsi:type="dcterms:W3CDTF">2026-09-06T16:00:25Z</dcterms:created>
  <dcterms:modified xsi:type="dcterms:W3CDTF">2026-09-06T16:00:25Z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and stromal biology, but transcriptomic programs are typically discovered without outcome information, so the programs dominating expression variation need not be the most relevant to survival. We developed DeSurv, a survival-supervised matrix factorization that incorporates outcome into gene-program estimation and fixes the gene weights for scoring new cohorts. In pooled TCGA and CPTAC cohorts, DeSurv recovered a three-program tumor–stroma architecture whose dominant survival-aligned direction (D1) linked classical tumor identity with restCAF-like stroma. The frozen representation transferred across five external datasets spanning four independent cohorts, where the combined risk score remained prognostic (HR per SD, 1.42; 95% CI, 1.26–1.59), including after PurIST and DeCAF adjustment. Unsupervised factorization matched on program number and tuning budget did not recover D1, supporting survival supervision rather than model size or computational effort. In known-truth simulations, DeSurv more accurately recovered prognostic genes when survival signal contributed little transcriptomic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