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the</w:t>
      </w:r>
      <w:r>
        <w:t xml:space="preserve"> </w:t>
      </w:r>
      <w:r>
        <w:t xml:space="preserve">ones</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the</w:t>
      </w:r>
      <w:r>
        <w:t xml:space="preserve"> </w:t>
      </w:r>
      <w:r>
        <w:t xml:space="preserve">gene</w:t>
      </w:r>
      <w:r>
        <w:t xml:space="preserve"> </w:t>
      </w:r>
      <w:r>
        <w:t xml:space="preserve">weights</w:t>
      </w:r>
      <w:r>
        <w:t xml:space="preserve"> </w:t>
      </w:r>
      <w:r>
        <w:t xml:space="preserve">for</w:t>
      </w:r>
      <w:r>
        <w:t xml:space="preserve"> </w:t>
      </w:r>
      <w:r>
        <w:t xml:space="preserve">scoring</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implicating</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tuning</w:t>
      </w:r>
      <w:r>
        <w:t xml:space="preserve"> </w:t>
      </w:r>
      <w:r>
        <w:t xml:space="preserve">effort.</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factorization at matched and higher rank (the number of programs the factorization extracts) and with conventional survival-supervised models (Supplementary Table [tab:architecture]). These comparisons distinguish the contribution of survival supervision from effects of model complexity and tuning. We then test the frozen programs across independent cohorts, determine whether the dominant survival-aligned direction is shared by other supervised approaches, and ask whether it retains prognostic information beyond established PDAC classifiers. Simulations in which the true underlying (latent) programs are known characterize when survival supervision improves recovery of prognostic structure.</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allowing outcome information to influence which programs are recovered rather than only selecting among programs after unsupervised factorization. After training, the gene weights are fixed so that the same learned programs can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the ranks examined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configuration (Fig. [fig:schema]b). In contrast, standard unsupervised NMF rank criteria based on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w:t>
      </w:r>
      <w:r>
        <w:t xml:space="preserve">gave conflicting rank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Lee multiplicative NMF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D1 program. Both methods recovered the activated-stroma and proCAF-like reference programs. They differed at the restraining end: among the displayed top-ranked genes, the restCAF and iCAF reference programs corresponded to a DeSurv program but to no standard NMF factor (Fig. [fig:pdac]a,b).</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Yet omitting D1 lowered the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the fitted survival contribution. Because D1 was estimated using these outcomes, these quantities show where the fitted model placed the survival signal rather than providing an independent test of that signal.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nevertheless reconstructed the analysis matrix only modestly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did not appear to explain this difference. We repeated the comparison with the matched-budget unsupervised control, an unsupervised model matched to DeSurv on rank, optimizer, tuning budget and consensus initialization procedure (starting values built from the solutions of many restarts). It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47157b7743b00cf5e9787dc0874e97056659c37"/>
    <w:p>
      <w:pPr>
        <w:pStyle w:val="Heading2"/>
      </w:pPr>
      <w:r>
        <w:t xml:space="preserve">Frozen programs retain prognostic relevance across independent PDAC cohorts and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yielding</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associated with survival either individually or in the combined analysis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showed greater variation across datasets (Fig. [fig:val]a). None of the three standard NMF factors at the same rank was associated with survival in the combined analysis (HRs 0.94–1.00; Fig. [fig:val]a, right).</w:t>
      </w:r>
    </w:p>
    <w:p>
      <w:pPr>
        <w:pStyle w:val="BodyText"/>
      </w:pPr>
      <w:r>
        <w:t xml:space="preserve">The trained DeSurv linear predictor, the weighted sum of the three program scores (oriented so that higher values indicate higher risk), combines only D1 and D3 because the elastic-net penalty set the D2 coefficient to exactly zero. It was associated with overall survival in the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indicated attenuation of this association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should be interpreted as a time-averaged summary rather than a constant multiplicative effect. Leave-one-dataset-out estimates were similar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Event-weighted discrimination across cohorts was moderate (C-index</w:t>
      </w:r>
      <w:r>
        <w:t xml:space="preserve"> </w:t>
      </w:r>
      <m:oMath>
        <m:r>
          <m:t>0.61</m:t>
        </m:r>
      </m:oMath>
      <w:r>
        <w:t xml:space="preserve">, 95% CI</w:t>
      </w:r>
      <w:r>
        <w:t xml:space="preserve"> </w:t>
      </w:r>
      <m:oMath>
        <m:r>
          <m:t>0.58</m:t>
        </m:r>
      </m:oMath>
      <w:r>
        <w:t xml:space="preserve">–</w:t>
      </w:r>
      <m:oMath>
        <m:r>
          <m:t>0.65</m:t>
        </m:r>
      </m:oMath>
      <w:r>
        <w:t xml:space="preserve">). In a sensitivity analysis with in-sample recalibration of the frozen score within each cohort (apparent rather than out-of-sample prediction error), the integrated Brier score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next asked whether comparable prognostic information could be recovered without survival-supervised factorization. At DeSurv’s rank, the matched-budget unsupervised control was not associated with survival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also represented a broader set of established PDAC programs.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Higher rank therefore broadened biological representation rather than repeatedly mapping additional factors to the same programs. Survival supervision was not required to recover prognostic signal, but DeSurv represented comparable prognostic information with three rather than seven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its Bayesian-optimization-selected rank (</w:t>
      </w:r>
      <m:oMath>
        <m:r>
          <m:t>k</m:t>
        </m:r>
        <m:r>
          <m:rPr>
            <m:sty m:val="p"/>
          </m:rPr>
          <m:t>=</m:t>
        </m:r>
        <m:r>
          <m:t>7</m:t>
        </m:r>
      </m:oMath>
      <w:r>
        <w:rPr>
          <w:iCs/>
          <w:i/>
        </w:rPr>
        <w:t xml:space="preserve">); both use the same unsupervised</w:t>
      </w:r>
      <w:r>
        <w:rPr>
          <w:iCs/>
          <w:i/>
        </w:rPr>
        <w:t xml:space="preserve"> </w:t>
      </w:r>
      <m:oMath>
        <m:r>
          <m:t>α</m:t>
        </m:r>
        <m:r>
          <m:rPr>
            <m:sty m:val="p"/>
          </m:rPr>
          <m:t>=</m:t>
        </m:r>
        <m:r>
          <m:t>0</m:t>
        </m:r>
      </m:oMath>
      <w:r>
        <w:rPr>
          <w:iCs/>
          <w:i/>
        </w:rPr>
        <w:t xml:space="preserve"> </w:t>
      </w:r>
      <w:r>
        <w:rPr>
          <w:iCs/>
          <w:i/>
        </w:rPr>
        <w:t xml:space="preserve">pipeline, consensus initialization and tuning budget as DeSurv (Supplementary Table [tab:tab-cindex-comparison]).</w:t>
      </w:r>
    </w:p>
    <w:p>
      <w:pPr>
        <w:pStyle w:val="BodyText"/>
      </w:pPr>
      <w:r>
        <w:t xml:space="preserve">To test transport beyond untreated disease, we projected the frozen programs without retraining into two treated PDAC cohorts. In the O’Kane/COMPASS cohort of metastatic disease,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56c124c528b5c9226025f2c58a5eb108e1d2148"/>
    <w:p>
      <w:pPr>
        <w:pStyle w:val="Heading2"/>
      </w:pPr>
      <w:r>
        <w:t xml:space="preserve">The D1 direction is shared across supervised methods and retains prognostic information beyond established PDAC classifiers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and DeCAF alone explained 19%. D1 nevertheless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containing additive PurIST and DeCAF terms improved model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These findings support overlap with established tumor-intrinsic and stromal classifications while showing that D1 retains prognostic information beyond those binary classifiers.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These analyses do not establish the cellular identity of the restCAF-like component of D1, which cannot be resolved from bulk expression alone (Supplementary Information, Stromal resolution: which reference programs are recovered from bulk). In Puleo, the largest validation cohort, the DeSurv linear predictor also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We next asked whether D1 was specific to the DeSurv optimizer. When fit as single-component models, three independent survival-supervised approaches (supervised principal components, Cox partial least squares and sparse Cox) produced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D1 therefore represents a survival-associated expression direction recovered across supervised approaches rather than an idiosyncrasy of DeSurv.</w:t>
      </w:r>
    </w:p>
    <w:p>
      <w:pPr>
        <w:pStyle w:val="BodyText"/>
      </w:pPr>
      <w:r>
        <w:t xml:space="preserve">We then asked what DeSurv adds beyond recovery of this shared prognostic direction. Independently tuned supervised principal components and penalized Cox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and captured the dominant D1-associated direction. Their selected genes, however, were enriched for basal-like tumor programs but not proCAF, restCAF, immune or exocrine programs, and their risk scores correlated only weakly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Supplementary Information). DeSurv therefore does not improve discrimination over these supervised models; rather, it places the shared prognostic direction within a fixed set of separately measurable tumor and stromal programs that can be applied unchanged to new cohorts.</w:t>
      </w:r>
    </w:p>
    <w:bookmarkEnd w:id="35"/>
    <w:bookmarkStart w:id="39" w:name="X9fbe0060a9b97df940ff96ad6b82ef7b6fd6bbb"/>
    <w:p>
      <w:pPr>
        <w:pStyle w:val="Heading2"/>
      </w:pPr>
      <w:r>
        <w:t xml:space="preserve">DeSurv recovers prognostic gene programs when survival signal is not variance-dominant</w:t>
      </w:r>
    </w:p>
    <w:p>
      <w:pPr>
        <w:pStyle w:val="FirstParagraph"/>
      </w:pPr>
      <w:r>
        <w:t xml:space="preserve">We used simulations with known latent structure to determine when survival supervision improves program recovery. In the primary scenario, the factor-specific genes driving survival contributed less transcriptomic variation than a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the three latent factors were otherwise exchangeable. DeSurv and its unsupervised limit (</w:t>
      </w:r>
      <m:oMath>
        <m:r>
          <m:t>α</m:t>
        </m:r>
        <m:r>
          <m:rPr>
            <m:sty m:val="p"/>
          </m:rPr>
          <m:t>=</m:t>
        </m:r>
        <m:r>
          <m:t>0</m:t>
        </m:r>
      </m:oMath>
      <w:r>
        <w:t xml:space="preserve">) were tuned using the same cross-validation procedure, providing a controlled comparison of factorization with and without survival supervision.</w:t>
      </w:r>
    </w:p>
    <w:p>
      <w:pPr>
        <w:pStyle w:val="BodyText"/>
      </w:pPr>
      <w:r>
        <w:t xml:space="preserve">Under this setting, DeSurv more accurately recovered the genes defining the true prognostic program, whereas unsupervised NMF was more strongly influenced by the variance-dominant background structure (Fig. [fig:sim]a,b). Across 100 replicates, the median proportion of the best-matching learned program’s selected genes that belonged to the true prognostic gene set was 0.50 for DeSurv versus 0.07 for unsupervised NMF;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This advantage depended on how strongly prognostic signal aligned with variance-dominant expression structure. It attenuated when the two partially overlapped and disappeared under the null, where neither method identified prognostic signal (Supplementary Fig. [fig:fig-sim-null-mixed]). In the mixed setting, the advantage was greatest for recovery of the factor-specific marker genes rather than the shared background genes that also carried survival signal,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survival signal is not variance-dominant.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scored unchanged in new cohorts. In PDAC, this identified a dominant survival-aligned program, D1, characterized by covariation of classical tumor and restCAF-like stromal programs, alongside separately resolved proCAF-like stromal and basal-like tumor programs. D1 was recovered de novo without subtype labels and remained prognostic after adjustment for the established PurIST and DeCAF classifications, so it is not reducible to them. Its classical tumor identity was supported by GATA6 RNA in situ hybridization. The trained programs then transferred without refitting across four independent external patient cohorts. DeSurv’s contribution was to place this replicable prognostic direction within a tumor–stroma architecture whose components can be examined separately. The advance is in how clinically relevant programs are discovered, not in how well they predict.</w:t>
      </w:r>
    </w:p>
    <w:p>
      <w:pPr>
        <w:pStyle w:val="BodyText"/>
      </w:pPr>
      <w:r>
        <w:t xml:space="preserve">The representational difference persisted at matched rank and tuning effort: the matched-budget unsupervised control, given DeSurv’s rank, optimizer, tuning budget and consensus initialization, did not recover D1, whereas the rank-optimized unsupervised control and conventional supervised predictors recovered comparable prognostic information in different representations. The former spanned a broader set of established programs across seven factors; the latter recovered a tumor-intrinsic axis without separately resolving the stromal programs. In simulations, where the latent programs are known, DeSurv more accurately recovered the genes defining the true prognostic program.</w:t>
      </w:r>
    </w:p>
    <w:p>
      <w:pPr>
        <w:pStyle w:val="BodyText"/>
      </w:pPr>
      <w:r>
        <w:t xml:space="preserve">This addresses a practical limitation of the conventional discovery sequence. When programs are learned without reference to outcome, their clinical relevance and correspondence across datasets must be established retrospectively through factor selection, biological annotation and cross-study matching. Because survival acts directly on the gene-program matrix</w:t>
      </w:r>
      <w:r>
        <w:t xml:space="preserve"> </w:t>
      </w:r>
      <m:oMath>
        <m:r>
          <m:t>W</m:t>
        </m:r>
      </m:oMath>
      <w:r>
        <w:t xml:space="preserve"> </w:t>
      </w:r>
      <w:r>
        <w:t xml:space="preserve">while the reconstruction objective requires those programs to continue representing the observed transcriptome, and because the gene weights are fixed once learned, DeSurv does not eliminate the need for external validation but makes it a direct test of programs already shaped by survival information and scored in new cohorts without re-estimating the factorization. Empirically, supervision selectively reorganized rather than replaced the reconstruction-driven representation: it retained the tumor and stromal structure carried by D3 and D2 while introducing a D1 program poorly reconstructable from the matched-rank NMF factors. The related CoxNMF and SurvNMF formulations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requires sample-side loadings (Methods; Supplementary Table [tab:architecture]), and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likewise learn sample representations rather than a fixed gene-program basis.</w:t>
      </w:r>
    </w:p>
    <w:p>
      <w:pPr>
        <w:pStyle w:val="BodyText"/>
      </w:pPr>
      <w:r>
        <w:t xml:space="preserve">Biologically, D1 represents the dominant survival-aligned program within the broader tumor–stroma architecture rather than the architecture itself. It captures coordinated cross-patient variation in classical tumor and restCAF-like stromal features. The additional D2 and D3 programs provide separately measurable stromal and tumor context around this direction, rather than necessarily representing independent components of the fitted risk score. This architecture is consistent with broader evidence for interactions between malignant lineage state and heterogeneous fibroblast and stromal programs</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is an additional source of uncertainty in unsupervised decomposition. In the PDAC training data, commonly used NMF criteria gave conflicting rank choices, and increasing rank progressively extended correspondence to additional established signatures across more factors. Together with the non-uniqueness of reconstruction-based factorization, this rank dependence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that non-uniqueness, and single DeSurv runs from different random starts recover appreciably different gene sets. What makes the reported decomposition reproducible is the consensus step, and independently seeded applications of the full procedure closely reproduce the reported decomposition (Supplementary Information, Stability of the recovered gene programs). Survival supervision instead provides an outcome-informed criterion for selecting among representations that may be similarly adequate under reconstruction alone.</w:t>
      </w:r>
    </w:p>
    <w:p>
      <w:pPr>
        <w:pStyle w:val="BodyText"/>
      </w:pPr>
      <w:r>
        <w:t xml:space="preserve">Our simulations clarify when this approach is most useful. When the genes defining the prognostic program contributed relatively little to overall transcriptomic variation, survival supervision improved their recovery; this advantage diminished as prognostic and variance-dominant structure overlapped and disappeared when no survival signal was present. Accurate program recovery matters beyond discrimination because the genes assigned to a program determine downstream pathway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which estimate cellular composition from external cell-state references; DeSurv instead learns survival-informed latent programs directly from bulk expression and does not assign them a priori to cellular compartments.</w:t>
      </w:r>
    </w:p>
    <w:p>
      <w:pPr>
        <w:pStyle w:val="BodyText"/>
      </w:pPr>
      <w:r>
        <w:t xml:space="preserve">Several limitations define the scope of these findings. DeSurv uses a proportional-hazards survival objective, and the validation cohorts showed a departure from proportional hazards (Results); the objective could be extended to accommodate non-proportional hazards or nonlinear survival relationships. The DeSurv formulation is not PDAC-specific, but it was evaluated only in PDAC, and whether its representational advantage generalizes across cancer types remains unknown. Testing it will require multi-cancer benchmarking against unsupervised decompositions and against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reported above are exploratory. Within the O’Kane/COMPASS cohort the individual treatment arms were too small to show a consistent treatment-specific survival pattern, whereas the prognostic association was retained in the better-powered arm-stratified analysis.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of tumor- and stroma-associated transcriptional programs, not cellular co-expression or spatial adjacency within individual tumors. The purity-adjustment, DeCAF-adjustment, cross-method recovery and GATA6 analyses above support D1 as a robust survival-associated bulk transcriptional program and independently support its classical tumor component, but they do not establish the cellular identity of its stromal component. Mapping these bulk programs onto specific cellular states is not a matter of projecting the same gene weights into single-cell or spatial data. Many program-defining genes are sparsely detected at single-cell resolution, so per-cell projection scores partly reflect detection depth rather than program activity, and spot-based spatial measurements mix the compartments the programs are meant to separate. Establishing the cellular correlates of these programs will therefore require clinically annotated single-cell and spatial cohorts together with scoring methods designed for sparse measurement.</w:t>
      </w:r>
    </w:p>
    <w:p>
      <w:pPr>
        <w:pStyle w:val="BodyText"/>
      </w:pPr>
      <w:r>
        <w:t xml:space="preserve">These results separate prognostic representation from prognostic discrimination. In PDAC, incorporating survival during factorization recovered a three-program tumor–stroma architecture that replicated across independent cohorts while retaining biological components that could be interrogated separately. More generally, DeSurv provides a framework for asking not only whether transcriptomic data predict outcome, but which decomposed biological programs are recovered when outcome information is incorporated into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2026-09-09T03:21:01Z</dcterms:created>
  <dcterms:modified xsi:type="dcterms:W3CDTF">2026-09-09T03:21:01Z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the ones most relevant to survival. We developed DeSurv, a survival-supervised matrix factorization that incorporates outcome into gene-program estimation and fixes the gene weights for scoring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(HR per SD, 1.42; 95% CI, 1.26–1.59), including after PurIST and DeCAF adjustment. Unsupervised factorization matched on program number and tuning budget did not recover D1, implicating survival supervision rather than model size or tuning effort.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