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stromal,</w:t>
      </w:r>
      <w:r>
        <w:t xml:space="preserve"> </w:t>
      </w:r>
      <w:r>
        <w:t xml:space="preserve">and</w:t>
      </w:r>
      <w:r>
        <w:t xml:space="preserve"> </w:t>
      </w:r>
      <w:r>
        <w:t xml:space="preserve">other</w:t>
      </w:r>
      <w:r>
        <w:t xml:space="preserve"> </w:t>
      </w:r>
      <w:r>
        <w:t xml:space="preserve">microenvironmental</w:t>
      </w:r>
      <w:r>
        <w:t xml:space="preserve"> </w:t>
      </w:r>
      <w:r>
        <w:t xml:space="preserve">biology.</w:t>
      </w:r>
      <w:r>
        <w:t xml:space="preserve"> </w:t>
      </w:r>
      <w:r>
        <w:t xml:space="preserve">Expression-driven</w:t>
      </w:r>
      <w:r>
        <w:t xml:space="preserve"> </w:t>
      </w:r>
      <w:r>
        <w:t xml:space="preserve">discovery</w:t>
      </w:r>
      <w:r>
        <w:t xml:space="preserve"> </w:t>
      </w:r>
      <w:r>
        <w:t xml:space="preserve">can</w:t>
      </w:r>
      <w:r>
        <w:t xml:space="preserve"> </w:t>
      </w:r>
      <w:r>
        <w:t xml:space="preserve">overlook</w:t>
      </w:r>
      <w:r>
        <w:t xml:space="preserve"> </w:t>
      </w:r>
      <w:r>
        <w:t xml:space="preserve">prognostically</w:t>
      </w:r>
      <w:r>
        <w:t xml:space="preserve"> </w:t>
      </w:r>
      <w:r>
        <w:t xml:space="preserve">relevant</w:t>
      </w:r>
      <w:r>
        <w:t xml:space="preserve"> </w:t>
      </w:r>
      <w:r>
        <w:t xml:space="preserve">programs</w:t>
      </w:r>
      <w:r>
        <w:t xml:space="preserve"> </w:t>
      </w:r>
      <w:r>
        <w:t xml:space="preserve">that</w:t>
      </w:r>
      <w:r>
        <w:t xml:space="preserve"> </w:t>
      </w:r>
      <w:r>
        <w:t xml:space="preserve">contribute</w:t>
      </w:r>
      <w:r>
        <w:t xml:space="preserve"> </w:t>
      </w:r>
      <w:r>
        <w:t xml:space="preserve">relatively</w:t>
      </w:r>
      <w:r>
        <w:t xml:space="preserve"> </w:t>
      </w:r>
      <w:r>
        <w:t xml:space="preserve">little</w:t>
      </w:r>
      <w:r>
        <w:t xml:space="preserve"> </w:t>
      </w:r>
      <w:r>
        <w:t xml:space="preserve">transcriptomic</w:t>
      </w:r>
      <w:r>
        <w:t xml:space="preserve"> </w:t>
      </w:r>
      <w:r>
        <w:t xml:space="preserve">variation.</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patient</w:t>
      </w:r>
      <w:r>
        <w:t xml:space="preserve"> </w:t>
      </w:r>
      <w:r>
        <w:t xml:space="preserve">outcomes</w:t>
      </w:r>
      <w:r>
        <w:t xml:space="preserve"> </w:t>
      </w:r>
      <w:r>
        <w:t xml:space="preserve">into</w:t>
      </w:r>
      <w:r>
        <w:t xml:space="preserve"> </w:t>
      </w:r>
      <w:r>
        <w:t xml:space="preserve">gene-program</w:t>
      </w:r>
      <w:r>
        <w:t xml:space="preserve"> </w:t>
      </w:r>
      <w:r>
        <w:t xml:space="preserve">discovery</w:t>
      </w:r>
      <w:r>
        <w:t xml:space="preserve"> </w:t>
      </w:r>
      <w:r>
        <w:t xml:space="preserve">and</w:t>
      </w:r>
      <w:r>
        <w:t xml:space="preserve"> </w:t>
      </w:r>
      <w:r>
        <w:t xml:space="preserve">freezes</w:t>
      </w:r>
      <w:r>
        <w:t xml:space="preserve"> </w:t>
      </w:r>
      <w:r>
        <w:t xml:space="preserve">gene</w:t>
      </w:r>
      <w:r>
        <w:t xml:space="preserve"> </w:t>
      </w:r>
      <w:r>
        <w:t xml:space="preserve">weights</w:t>
      </w:r>
      <w:r>
        <w:t xml:space="preserve"> </w:t>
      </w:r>
      <w:r>
        <w:t xml:space="preserve">for</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program</w:t>
      </w:r>
      <w:r>
        <w:t xml:space="preserve"> </w:t>
      </w:r>
      <w:r>
        <w:t xml:space="preserve">combined</w:t>
      </w:r>
      <w:r>
        <w:t xml:space="preserve"> </w:t>
      </w:r>
      <w:r>
        <w:t xml:space="preserve">classical-tumor</w:t>
      </w:r>
      <w:r>
        <w:t xml:space="preserve"> </w:t>
      </w:r>
      <w:r>
        <w:t xml:space="preserve">and</w:t>
      </w:r>
      <w:r>
        <w:t xml:space="preserve"> </w:t>
      </w:r>
      <w:r>
        <w:t xml:space="preserve">restCAF-like</w:t>
      </w:r>
      <w:r>
        <w:t xml:space="preserve"> </w:t>
      </w:r>
      <w:r>
        <w:t xml:space="preserve">stromal</w:t>
      </w:r>
      <w:r>
        <w:t xml:space="preserve"> </w:t>
      </w:r>
      <w:r>
        <w:t xml:space="preserve">features.</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the</w:t>
      </w:r>
      <w:r>
        <w:t xml:space="preserve"> </w:t>
      </w:r>
      <w:r>
        <w:t xml:space="preserve">frozen</w:t>
      </w:r>
      <w:r>
        <w:t xml:space="preserve"> </w:t>
      </w:r>
      <w:r>
        <w:t xml:space="preserve">risk</w:t>
      </w:r>
      <w:r>
        <w:t xml:space="preserve"> </w:t>
      </w:r>
      <w:r>
        <w:t xml:space="preserve">score</w:t>
      </w:r>
      <w:r>
        <w:t xml:space="preserve"> </w:t>
      </w:r>
      <w:r>
        <w:t xml:space="preserve">remained</w:t>
      </w:r>
      <w:r>
        <w:t xml:space="preserve"> </w:t>
      </w:r>
      <w:r>
        <w:t xml:space="preserve">prognostic</w:t>
      </w:r>
      <w:r>
        <w:t xml:space="preserve"> </w:t>
      </w:r>
      <w:r>
        <w:t xml:space="preserve">before</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and</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this</w:t>
      </w:r>
      <w:r>
        <w:t xml:space="preserve"> </w:t>
      </w:r>
      <w:r>
        <w:t xml:space="preserve">program;</w:t>
      </w:r>
      <w:r>
        <w:t xml:space="preserve"> </w:t>
      </w:r>
      <w:r>
        <w:t xml:space="preserve">a</w:t>
      </w:r>
      <w:r>
        <w:t xml:space="preserve"> </w:t>
      </w:r>
      <w:r>
        <w:t xml:space="preserve">rank-optimized</w:t>
      </w:r>
      <w:r>
        <w:t xml:space="preserve"> </w:t>
      </w:r>
      <w:r>
        <w:t xml:space="preserve">unsupervised</w:t>
      </w:r>
      <w:r>
        <w:t xml:space="preserve"> </w:t>
      </w:r>
      <w:r>
        <w:t xml:space="preserve">control</w:t>
      </w:r>
      <w:r>
        <w:t xml:space="preserve"> </w:t>
      </w:r>
      <w:r>
        <w:t xml:space="preserve">recovered</w:t>
      </w:r>
      <w:r>
        <w:t xml:space="preserve"> </w:t>
      </w:r>
      <w:r>
        <w:t xml:space="preserve">comparable</w:t>
      </w:r>
      <w:r>
        <w:t xml:space="preserve"> </w:t>
      </w:r>
      <w:r>
        <w:t xml:space="preserve">prognostic</w:t>
      </w:r>
      <w:r>
        <w:t xml:space="preserve"> </w:t>
      </w:r>
      <w:r>
        <w:t xml:space="preserve">information</w:t>
      </w:r>
      <w:r>
        <w:t xml:space="preserve"> </w:t>
      </w:r>
      <w:r>
        <w:t xml:space="preserve">across</w:t>
      </w:r>
      <w:r>
        <w:t xml:space="preserve"> </w:t>
      </w:r>
      <w:r>
        <w:t xml:space="preserve">seven</w:t>
      </w:r>
      <w:r>
        <w:t xml:space="preserve"> </w:t>
      </w:r>
      <w:r>
        <w:t xml:space="preserve">factors.</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underlying</w:t>
      </w:r>
      <w:r>
        <w:t xml:space="preserve"> </w:t>
      </w:r>
      <w:r>
        <w:t xml:space="preserve">structure,</w:t>
      </w:r>
      <w:r>
        <w:t xml:space="preserve"> </w:t>
      </w:r>
      <w:r>
        <w:t xml:space="preserve">DeSurv</w:t>
      </w:r>
      <w:r>
        <w:t xml:space="preserve"> </w:t>
      </w:r>
      <w:r>
        <w:t xml:space="preserve">recovered</w:t>
      </w:r>
      <w:r>
        <w:t xml:space="preserve"> </w:t>
      </w:r>
      <w:r>
        <w:t xml:space="preserve">prognostic</w:t>
      </w:r>
      <w:r>
        <w:t xml:space="preserve"> </w:t>
      </w:r>
      <w:r>
        <w:t xml:space="preserve">genes</w:t>
      </w:r>
      <w:r>
        <w:t xml:space="preserve"> </w:t>
      </w:r>
      <w:r>
        <w:t xml:space="preserve">more</w:t>
      </w:r>
      <w:r>
        <w:t xml:space="preserve"> </w:t>
      </w:r>
      <w:r>
        <w:t xml:space="preserve">accurately</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expression</w:t>
      </w:r>
      <w:r>
        <w:t xml:space="preserve"> </w:t>
      </w:r>
      <w:r>
        <w:t xml:space="preserve">variation.</w:t>
      </w:r>
      <w:r>
        <w:t xml:space="preserve"> </w:t>
      </w:r>
      <w:r>
        <w:t xml:space="preserve">Survival</w:t>
      </w:r>
      <w:r>
        <w:t xml:space="preserve"> </w:t>
      </w:r>
      <w:r>
        <w:t xml:space="preserve">supervision</w:t>
      </w:r>
      <w:r>
        <w:t xml:space="preserve"> </w:t>
      </w:r>
      <w:r>
        <w:t xml:space="preserve">therefore</w:t>
      </w:r>
      <w:r>
        <w:t xml:space="preserve"> </w:t>
      </w:r>
      <w:r>
        <w:t xml:space="preserve">offers</w:t>
      </w:r>
      <w:r>
        <w:t xml:space="preserve"> </w:t>
      </w:r>
      <w:r>
        <w:t xml:space="preserve">a</w:t>
      </w:r>
      <w:r>
        <w:t xml:space="preserve"> </w:t>
      </w:r>
      <w:r>
        <w:t xml:space="preserve">route</w:t>
      </w:r>
      <w:r>
        <w:t xml:space="preserve"> </w:t>
      </w:r>
      <w:r>
        <w:t xml:space="preserve">to</w:t>
      </w:r>
      <w:r>
        <w:t xml:space="preserve"> </w:t>
      </w:r>
      <w:r>
        <w:t xml:space="preserve">prognostically</w:t>
      </w:r>
      <w:r>
        <w:t xml:space="preserve"> </w:t>
      </w:r>
      <w:r>
        <w:t xml:space="preserve">relevant,</w:t>
      </w:r>
      <w:r>
        <w:t xml:space="preserve"> </w:t>
      </w:r>
      <w:r>
        <w:t xml:space="preserve">interpretable</w:t>
      </w:r>
      <w:r>
        <w:t xml:space="preserve"> </w:t>
      </w:r>
      <w:r>
        <w:t xml:space="preserve">programs.</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Its clinical heterogeneity reflects variation in both malignant cells and the surrounding microenvironment.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from single-cell-informed analyses,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Expression-defined programs can be evaluated against survival after discovery</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 Whether allowing survival to shape program definitions can identify a tumor–stroma program that provides prognostic information beyond established classifications remains unclear. Such programs could provide candidates for prognostic assays and trial stratification, while identifying genes and biological processes for further investigation. The question is not specific to PDAC, since in any tumor type the largest sources of expression variation need not be those most relevant to survival.</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defined as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these approaches have supported molecular subtype discovery and subsequent single-sample classification</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tumor- and stroma-specific expression</w:t>
      </w:r>
      <w:hyperlink w:anchor="ref-moffitt2015virtual">
        <w:r>
          <w:rPr>
            <w:rStyle w:val="Hyperlink"/>
            <w:vertAlign w:val="superscript"/>
          </w:rPr>
          <w:t xml:space="preserve">3</w:t>
        </w:r>
      </w:hyperlink>
      <w:r>
        <w:t xml:space="preserve">, and compartment-specific tumor–stroma characterization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When predefined signatures are applied unchanged to a bulk cohort, survival can be used to assess their prognostic relevance but does not alter their gene definitions during that application. The practical challenge is therefore not simply to resolve interpretable gene programs. It is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through a reconstruction-driven objective, minimizing reconstruction error, defined as the mismatch between the measured expression matrix and its approximation rebuilt from the programs. Such reconstruction-driven criteria favor patterns that capture prominent expression variation regardless of their relevance to patient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w:t>
      </w:r>
    </w:p>
    <w:p>
      <w:pPr>
        <w:pStyle w:val="BodyText"/>
      </w:pPr>
      <w:r>
        <w:t xml:space="preserve">Reconstruction alone also does not uniquely identify the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proposed unsupervised PDAC subtype taxonomies</w:t>
      </w:r>
      <w:hyperlink w:anchor="ref-lautizi2022pancreatic">
        <w:r>
          <w:rPr>
            <w:rStyle w:val="Hyperlink"/>
            <w:vertAlign w:val="superscript"/>
          </w:rPr>
          <w:t xml:space="preserve">22</w:t>
        </w:r>
      </w:hyperlink>
      <w:r>
        <w:t xml:space="preserve">. Establishing clinically relevant and transportable programs has involved extensive multi-study refinement: the basal-like/classical dichotomy developed over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 Survival information offers an additional criterion for shaping discovery, although it does not by itself resolve this non-uniqueness.</w:t>
      </w:r>
    </w:p>
    <w:p>
      <w:pPr>
        <w:pStyle w:val="BodyText"/>
      </w:pPr>
      <w:r>
        <w:t xml:space="preserve">Survival-supervised models such as penalized Cox regression and supervised principal components identify outcome-associated expression patterns, but do not explicitly separate those patterns into malignant and microenvironmental programs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PDAC subtypes and their single-sample classifiers, however, are defined at the program level</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moving clinical relevance from a post hoc criterion to one that shapes gene programs during discovery. Because the factorization is sensitive to initialization, solutions from many independent restarts are aggregated to initialize a final fit. The resulting gene weights are then held fixed, or frozen, so the same learned programs can be tested in external cohorts without refitting the representation.</w:t>
      </w:r>
    </w:p>
    <w:p>
      <w:pPr>
        <w:pStyle w:val="BodyText"/>
      </w:pPr>
      <w:r>
        <w:t xml:space="preserve">We evaluate DeSurv in PDAC by comparing the resulting representation with unsupervised NMF at matched and higher rank (the number of programs the factorization extracts) and with conventional survival models such as penalized Cox regression and supervised principal components (Supplementary Table [tab:architecture]). We then evaluate the clinical relevance of the frozen programs in independent cohorts and ask whether they retain prognostic information beyond established PDAC classifiers. Simulations in which the true underlying (latent) programs are known characterize the conditions under which survival supervision improves recovery of prognostic structure. Together, these analyses evaluate survival-guided program discovery in PDAC and examine its potential when prognostically relevant structure contributes relatively little expression variation.</w:t>
      </w:r>
    </w:p>
    <w:bookmarkStart w:id="41" w:name="results"/>
    <w:p>
      <w:pPr>
        <w:pStyle w:val="Heading1"/>
      </w:pPr>
      <w:r>
        <w:t xml:space="preserve">Results</w:t>
      </w:r>
    </w:p>
    <w:bookmarkStart w:id="23" w:name="X20ee7d05d1e1569da8d1832bf95c1184a6e3459"/>
    <w:p>
      <w:pPr>
        <w:pStyle w:val="Heading2"/>
      </w:pPr>
      <w:r>
        <w:t xml:space="preserve">DeSurv directly incorporates survival information into gene program discovery</w:t>
      </w:r>
    </w:p>
    <w:p>
      <w:pPr>
        <w:pStyle w:val="FirstParagraph"/>
      </w:pPr>
      <w:r>
        <w:t xml:space="preserve">DeSurv learns gene programs by balancing reconstruction of the tumor transcriptome with association to patient survival, so that outcome information shapes which programs are recovered rather than only which programs are selected after an unsupervised factorization. A supervision parameter</w:t>
      </w:r>
      <w:r>
        <w:t xml:space="preserve"> </w:t>
      </w:r>
      <m:oMath>
        <m:r>
          <m:t>α</m:t>
        </m:r>
      </m:oMath>
      <w:r>
        <w:t xml:space="preserve"> </w:t>
      </w:r>
      <w:r>
        <w:t xml:space="preserve">controls the strength of survival supervision, with</w:t>
      </w:r>
      <w:r>
        <w:t xml:space="preserve"> </w:t>
      </w:r>
      <m:oMath>
        <m:r>
          <m:t>α</m:t>
        </m:r>
        <m:r>
          <m:rPr>
            <m:sty m:val="p"/>
          </m:rPr>
          <m:t>=</m:t>
        </m:r>
        <m:r>
          <m:t>0</m:t>
        </m:r>
      </m:oMath>
      <w:r>
        <w:t xml:space="preserve"> </w:t>
      </w:r>
      <w:r>
        <w:t xml:space="preserve">leaving a purely reconstruction-driven factorization, and the rank</w:t>
      </w:r>
      <w:r>
        <w:t xml:space="preserve"> </w:t>
      </w:r>
      <m:oMath>
        <m:r>
          <m:t>k</m:t>
        </m:r>
      </m:oMath>
      <w:r>
        <w:t xml:space="preserve"> </w:t>
      </w:r>
      <w:r>
        <w:t xml:space="preserve">sets how many programs are extracted (Fig. [fig:schema]a; Methods). After training, the gene weights and the Cox coefficients are fixed, so the same learned programs and the trained risk score apply unchanged to new tumors without refitting the factorization.</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ranks (Supplementary Figs. [fig:fig-si-bo-tuning] and [fig:fig-cindex-by-k]). We therefore applied the one-standard-error rule, which takes the most parsimonious model within one standard error of the best, selecting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overall best configuration, which had rank</w:t>
      </w:r>
      <w:r>
        <w:t xml:space="preserve"> </w:t>
      </w:r>
      <m:oMath>
        <m:r>
          <m:t>k</m:t>
        </m:r>
        <m:r>
          <m:rPr>
            <m:sty m:val="p"/>
          </m:rPr>
          <m:t>=</m:t>
        </m:r>
        <m:r>
          <m:t>7</m:t>
        </m:r>
      </m:oMath>
      <w:r>
        <w:t xml:space="preserve"> </w:t>
      </w:r>
      <w:r>
        <w:t xml:space="preserve">(Fig. [fig:schema]b; Methods; Supplementary Information, Bayesian Optimization). The reported combination was therefore never itself evaluated. In contrast, standard unsupervised rank criteria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gave conflicting rank choices in the same data (Supplementary Fig. [fig:fig-nmf-diagnostics]). All model and hyperparameter selection was completed within the training cohorts.</w:t>
      </w:r>
    </w:p>
    <w:p>
      <w:pPr>
        <w:pStyle w:val="BodyText"/>
      </w:pPr>
      <w:r>
        <w:t xml:space="preserve">The final fit was initialized from a consensus of 100 random restarts (Methods). Individual restarts reached similar training concordance (median C-index 0.70, range 0.68–0.73) yet dispersed gene sets (median pairwise Jaccard of top-ranked genes 0.13 against 0.07 by chance), so the consensus step, not any single restart, defines the reported programs. Consensus fits from each half of 8 split-half partitions of that restart pool agreed closely with the reported basis (median gene-loading correlations 0.97–0.99, median top-ranked-gene Jaccard 0.73–0.88; Supplementary Information, Stability of the recovered gene programs). These partitions assess sensitivity to restart-pool composition within the same training data; they do not independently repeat the full discovery procedure.</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a815650fb79fa4af0033772bb01e5f5618d22bf"/>
    <w:p>
      <w:pPr>
        <w:pStyle w:val="Heading2"/>
      </w:pPr>
      <w:r>
        <w:t xml:space="preserve">Survival supervision changes which gene programs are recovered</w:t>
      </w:r>
    </w:p>
    <w:p>
      <w:pPr>
        <w:pStyle w:val="FirstParagraph"/>
      </w:pPr>
      <w:r>
        <w:t xml:space="preserve">To compare the recovered gene programs at the same rank, we fitted DeSurv and standard Lee multiplicative NMF with</w:t>
      </w:r>
      <w:r>
        <w:t xml:space="preserve"> </w:t>
      </w:r>
      <m:oMath>
        <m:r>
          <m:t>k</m:t>
        </m:r>
        <m:r>
          <m:rPr>
            <m:sty m:val="p"/>
          </m:rPr>
          <m:t>=</m:t>
        </m:r>
        <m:r>
          <m:t>3</m:t>
        </m:r>
      </m:oMath>
      <w:r>
        <w:t xml:space="preserve">. DeSurv resolved three distinct programs (D1–D3): D1, enriched for classical tumor and restCAF-like stromal signatures; D2, enriched for proCAF-like stroma; and D3, enriched for basal-like tumor programs (Fig. [fig:pdac]a). Together, these programs define a tumor–stroma architecture organized around the survival-aligned D1 direction. In the COMPASS trial cohort, D1 scores correlated with GATA6 RNA in situ hybridization, independently supporting the classical tumor component of D1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the unsupervised comparator, recovered a different set of programs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Both methods recovered the activated-stroma and proCAF-like reference programs but differed at the tumor-restraining end: among the displayed top-ranked genes, the restCAF and iCAF reference programs corresponded to a DeSurv program but to no standard NMF factor (Fig. [fig:pdac]a,b). These are bulk gene-program correspondences, not identifications of CAF cell states (Supplementary Information, Stromal resolution).</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31</w:t>
        </w:r>
      </w:hyperlink>
      <w:r>
        <w:t xml:space="preserve">), the smallest share among the three programs. However, in post-fit unpenalized Cox models of the three training-cohort scores projected over all analyzed genes, omitting D1 and refitting the Cox model using the remaining scores lowered the maximized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this conditional survival contribution. In the unsupervised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These conditional, nonadditive increments describe associations in the training data used for discovery and do not independently validate prognostic relevance. Thus,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gene-loading Spearman correlation over all analyzed genes; Fig. [fig:pdac]d). Consistently, D1’s gene weights were poorly reconstructed from the three NMF factors together (</w:t>
      </w:r>
      <m:oMath>
        <m:sSup>
          <m:e>
            <m:r>
              <m:t>R</m:t>
            </m:r>
          </m:e>
          <m:sup>
            <m:r>
              <m:t>2</m:t>
            </m:r>
          </m:sup>
        </m:sSup>
        <m:r>
          <m:rPr>
            <m:sty m:val="p"/>
          </m:rPr>
          <m:t>=</m:t>
        </m:r>
        <m:r>
          <m:t>0.09</m:t>
        </m:r>
      </m:oMath>
      <w:r>
        <w:t xml:space="preserve">; Supplementary Table [tab:projection-r2]). DeSurv reconstructed the analysis matrix less completely than matched-rank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w:t>
      </w:r>
    </w:p>
    <w:p>
      <w:pPr>
        <w:pStyle w:val="BodyText"/>
      </w:pPr>
      <w:r>
        <w:t xml:space="preserve">Tuning effort did not appear to explain this difference. We repeated the comparison with a matched-budget unsupervised control, which used DeSurv’s optimizer, gene filter, cross-validation folds, Bayesian-optimization budget and consensus initialization, with rank fixed at three,</w:t>
      </w:r>
      <w:r>
        <w:t xml:space="preserve"> </w:t>
      </w:r>
      <m:oMath>
        <m:r>
          <m:t>α</m:t>
        </m:r>
      </m:oMath>
      <w:r>
        <w:t xml:space="preserve"> </w:t>
      </w:r>
      <w:r>
        <w:t xml:space="preserve">fixed at zero and the remaining hyperparameters re-optimized (Methods). Survival therefore played no part in its factorization objective, although it still guided its tuning, including the gene support that enters consensus initialization. The control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These rows are correspondences between bulk gene programs and reference signatures, not direct identification of CAF cell states. (c) Per-factor reconstruction contribution (normalized Shapley share, summing to 100%) versus survival contribution, the decrease in the maximized unpenalized Cox partial log-likelihood when one factor is dropped from the three training-cohort scores projected over all analyzed genes and the Cox model is refitted using the remaining scores. These increments are conditional and nonadditive; D1 was estimated using these survival outcomes, so its increment locates the survival signal in the fitted model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545c29662618d20fbceafc892b81dc1672b6c59"/>
    <w:p>
      <w:pPr>
        <w:pStyle w:val="Heading2"/>
      </w:pPr>
      <w:r>
        <w:t xml:space="preserve">Frozen programs retain prognostic relevance across independent PDAC cohorts, with exploratory transport to treated disease</w:t>
      </w:r>
    </w:p>
    <w:p>
      <w:pPr>
        <w:pStyle w:val="FirstParagraph"/>
      </w:pPr>
      <w:r>
        <w:t xml:space="preserve">We next projected the frozen programs into five external validation datasets from four independent, non-metastatic, treatment-naive PDAC cohorts (Dijk, Moffitt, PACA-AU [array and RNA-seq], and Puleo; Supplementary Table [tab:cohorts]). Each tumor was scored by projecting its expression onto the trained programs over the union of their top-ranked genes (810 genes;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retaining the RNA-sequencing measurement for PACA-AU patients profiled on both platforms, and yielded</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with a statistically significant combined association in the dataset-stratified analysis (HR per within-dataset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while D2 was near-null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varied more across datasets; neither reached statistical significance individually or in combination (Fig. [fig:val]a). Nor did any of the three standard NMF factors at the same rank (HRs 0.94–1.00; Fig. [fig:val]a, right).</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dataset-stratified analysis (HR per pooled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and leave-one-dataset-out estimates were similar (HRs 1.34–1.45; Fig. [fig:val]a). Scaled Schoenfeld residuals indicated attenuation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it should be read as a time-averaged summary rather than a constant multiplicative effect.</w:t>
      </w:r>
    </w:p>
    <w:p>
      <w:pPr>
        <w:pStyle w:val="BodyText"/>
      </w:pPr>
      <w:r>
        <w:t xml:space="preserve">Allowing cohort-specific slopes did not significantly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each of the four cohorts), and the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In a sensitivity analysis recalibrating the frozen score in sample within each validation dataset (apparent rather than out-of-sample error), the integrated Brier score, an event-weighted summary over dataset-specific follow-up horizons,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t xml:space="preserve">We also projected the frozen programs, without retraining, into two treated PDAC cohorts. In the O’Kane/COMPASS cohort of metastatic disease (</w:t>
      </w:r>
      <m:oMath>
        <m:r>
          <m:t>n</m:t>
        </m:r>
        <m:r>
          <m:rPr>
            <m:sty m:val="p"/>
          </m:rPr>
          <m:t>=</m:t>
        </m:r>
        <m:r>
          <m:t>173</m:t>
        </m:r>
      </m:oMath>
      <w:r>
        <w:t xml:space="preserve">, 123 deaths),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these laser-capture microdissected profiles are epithelial-enriched, probing chiefly the tumor component of D1.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 a shift that may reflect cell composition, cellular state or both. Because treatment, stage and cohort were not independently varied, these analyses are exploratory and do not establish differential treatment benefit.</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dataset-stratified Cox on the de-duplicated patient-level data, with each program standardized within dataset and scored on the union top-gene support;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(lasso Cox and supervised PCA) with the three DeSurv programs (D1–D3) in the training data; supervised scores concentrate on D1 and are only weakly correlated with the D2 stromal program. These score correspondences do not establish recovery of identical gene programs.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pooled SD (95% CI),</w:t>
            </w:r>
            <w:r>
              <w:t xml:space="preserve"> </w:t>
            </w:r>
            <m:oMath>
              <m:r>
                <m:t>P</m:t>
              </m:r>
            </m:oMath>
          </w:p>
        </w:tc>
        <w:tc>
          <w:tcPr/>
          <w:p>
            <w:pPr>
              <w:pStyle w:val="Compact"/>
              <w:jc w:val="left"/>
            </w:pPr>
            <w:r>
              <w:t xml:space="preserve">Adjusted HR per pooled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pooled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the rank selected by the same one-standard-error rule applied to its own Bayesian-optimization results (</w:t>
      </w:r>
      <m:oMath>
        <m:r>
          <m:t>k</m:t>
        </m:r>
        <m:r>
          <m:rPr>
            <m:sty m:val="p"/>
          </m:rPr>
          <m:t>=</m:t>
        </m:r>
        <m:r>
          <m:t>7</m:t>
        </m:r>
      </m:oMath>
      <w:r>
        <w:rPr>
          <w:iCs/>
          <w:i/>
        </w:rPr>
        <w:t xml:space="preserve">); both use the same fitting pipeline, consensus procedure and outcome-based tuning budget as DeSurv, with</w:t>
      </w:r>
      <w:r>
        <w:rPr>
          <w:iCs/>
          <w:i/>
        </w:rPr>
        <w:t xml:space="preserve"> </w:t>
      </w:r>
      <m:oMath>
        <m:r>
          <m:t>α</m:t>
        </m:r>
      </m:oMath>
      <w:r>
        <w:rPr>
          <w:iCs/>
          <w:i/>
        </w:rPr>
        <w:t xml:space="preserve"> </w:t>
      </w:r>
      <w:r>
        <w:rPr>
          <w:iCs/>
          <w:i/>
        </w:rPr>
        <w:t xml:space="preserve">fixed at zero (Supplementary Table [tab:tab-cindex-comparison]). These are point estimates for the selected models, not tests of superiority and not a comparison of minimum ranks.</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scored from laser-capture microdissected, epithelial-enriched profiles;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4"/>
    <w:bookmarkStart w:id="35" w:name="X7fde2f7385271f1c6cf3a3491d058fdf04b2c4f"/>
    <w:p>
      <w:pPr>
        <w:pStyle w:val="Heading2"/>
      </w:pPr>
      <w:r>
        <w:t xml:space="preserve">D1 retains prognostic information beyond established PDAC classifications</w:t>
      </w:r>
    </w:p>
    <w:p>
      <w:pPr>
        <w:pStyle w:val="FirstParagraph"/>
      </w:pPr>
      <w:r>
        <w:t xml:space="preserve">We first asked whether D1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within-dataset variance in the continuous D1 score, and DeCAF alone explained 19%. D1 nevertheless remained associated with survival after adjustment for both classifiers (HR per within-dataset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dataset-stratified Cox model with additive PurIST and DeCAF terms improved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D1 therefore overlaps substantially with established tumor-intrinsic and stromal classifications while retaining prognostic information beyond those binary calls.</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adjustment for purity left the linear predictor’s survival association essentially unchanged (HR per SD: PACA-AU array, 1.44 versus 1.45; RNA-seq, 1.66 versus 1.65; Supplementary Table [tab:clinical-adjustment]). In Puleo, the largest validation cohort, the DeSurv linear predictor also remained prognostic after adjustment for sex and resection-margin status (HR per SD 1.33, 95% CI</w:t>
      </w:r>
      <w:r>
        <w:t xml:space="preserve"> </w:t>
      </w:r>
      <m:oMath>
        <m:r>
          <m:t>1.14</m:t>
        </m:r>
      </m:oMath>
      <w:r>
        <w:t xml:space="preserve">–</w:t>
      </w:r>
      <m:oMath>
        <m:r>
          <m:t>1.55</m:t>
        </m:r>
      </m:oMath>
      <w:r>
        <w:t xml:space="preserve">; Supplementary Table [tab:clinical-adjustment]). Within the PACA-AU datasets, these findings argue against measured tumor purity as the main explanation for the observed associations, although they do not establish the cellular identity of D1’s restCAF-like component (Supplementary Information, Stromal resolution: which reference programs are recovered from bulk).</w:t>
      </w:r>
    </w:p>
    <w:bookmarkEnd w:id="35"/>
    <w:bookmarkStart w:id="36" w:name="Xc685441adc07ef39d4fb33262bfe779f9f1a448"/>
    <w:p>
      <w:pPr>
        <w:pStyle w:val="Heading2"/>
      </w:pPr>
      <w:r>
        <w:t xml:space="preserve">Method comparisons distinguish survival prediction from gene program recovery</w:t>
      </w:r>
    </w:p>
    <w:p>
      <w:pPr>
        <w:pStyle w:val="FirstParagraph"/>
      </w:pPr>
      <w:r>
        <w:t xml:space="preserve">We next asked whether comparable prognostic information could be recovered without survival-supervised factorization. At DeSurv’s rank, the matched-budget unsupervised control did not show a statistically significant survival association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(the same pipeline at</w:t>
      </w:r>
      <w:r>
        <w:t xml:space="preserve"> </w:t>
      </w:r>
      <m:oMath>
        <m:r>
          <m:t>α</m:t>
        </m:r>
        <m:r>
          <m:rPr>
            <m:sty m:val="p"/>
          </m:rPr>
          <m:t>=</m:t>
        </m:r>
        <m:r>
          <m:t>0</m:t>
        </m:r>
      </m:oMath>
      <w:r>
        <w:t xml:space="preserve"> </w:t>
      </w:r>
      <w:r>
        <w:t xml:space="preserve">with rank selected by the same one-standard-error rule applied to its own Bayesian-optimization results,</w:t>
      </w:r>
      <w:r>
        <w:t xml:space="preserve"> </w:t>
      </w:r>
      <m:oMath>
        <m:r>
          <m:t>k</m:t>
        </m:r>
        <m:r>
          <m:rPr>
            <m:sty m:val="p"/>
          </m:rPr>
          <m:t>=</m:t>
        </m:r>
        <m:r>
          <m:t>7</m:t>
        </m:r>
      </m:oMath>
      <w:r>
        <w:t xml:space="preserve">) carried comparable external prognostic information (Table [tab:hr-adjusted]; Supplementary Table [tab:tab-cindex-comparison]).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indicating broader reference-program coverage with little repeated mapping in the seven-factor control. Seven is where the one-standard-error rule landed for the unsupervised search, not a general minimum rank for comparable prognostic information. Survival supervision was not required to obtain a prognostic signal, but it altered which programs were identified and how that signal was decomposed.</w:t>
      </w:r>
    </w:p>
    <w:p>
      <w:pPr>
        <w:pStyle w:val="BodyText"/>
      </w:pPr>
      <w:r>
        <w:t xml:space="preserve">We next asked whether D1 was specific to the DeSurv optimizer. We applied three other survival-supervised approaches to the training datasets (one supervised component each for supervised principal components and Cox partial least squares, one penalized fit for sparse Cox; Methods). All three produced patient scores strongly correlated with D1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whereas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This indicates a shared survival-associated direction in the patient scores, not that the three methods recover the same gene programs.</w:t>
      </w:r>
    </w:p>
    <w:p>
      <w:pPr>
        <w:pStyle w:val="BodyText"/>
      </w:pPr>
      <w:r>
        <w:t xml:space="preserve">We then asked what DeSurv adds beyond recovery of this shared prognostic direction. Independently tuned supervised principal components and lasso-penalized Cox regression had pooled external C-indices of</w:t>
      </w:r>
      <w:r>
        <w:t xml:space="preserve"> </w:t>
      </w:r>
      <m:oMath>
        <m:r>
          <m:t>0.60</m:t>
        </m:r>
      </m:oMath>
      <w:r>
        <w:t xml:space="preserve"> </w:t>
      </w:r>
      <w:r>
        <w:t xml:space="preserve">and</w:t>
      </w:r>
      <w:r>
        <w:t xml:space="preserve"> </w:t>
      </w:r>
      <m:oMath>
        <m:r>
          <m:t>0.60</m:t>
        </m:r>
      </m:oMath>
      <w:r>
        <w:t xml:space="preserve">, versus</w:t>
      </w:r>
      <w:r>
        <w:t xml:space="preserve"> </w:t>
      </w:r>
      <m:oMath>
        <m:r>
          <m:t>0.61</m:t>
        </m:r>
      </m:oMath>
      <w:r>
        <w:t xml:space="preserve"> </w:t>
      </w:r>
      <w:r>
        <w:t xml:space="preserve">for DeSurv. For this comparison, DeSurv used per-program gene supports and unpenalized Cox coefficients re-estimated on the training scores, rather than the union-support predictor used for primary external validation. The selected genes of the supervised predictors, however, were enriched for basal-like tumor programs in every cross-validation seed and for none of the stromal, immune or exocrine programs examined, and their risk scores correlated only weakly with the separately resolved proCAF-like D2 program (lasso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They nevertheless carried some stromal information, correlating with an external activated-stroma and proCAF signature at</w:t>
      </w:r>
      <w:r>
        <w:t xml:space="preserve"> </w:t>
      </w:r>
      <m:oMath>
        <m:d>
          <m:dPr>
            <m:begChr m:val="|"/>
            <m:endChr m:val="|"/>
            <m:sepChr m:val=""/>
            <m:grow/>
          </m:dPr>
          <m:e>
            <m:r>
              <m:t>r</m:t>
            </m:r>
          </m:e>
        </m:d>
        <m:r>
          <m:rPr>
            <m:sty m:val="p"/>
          </m:rPr>
          <m:t>=</m:t>
        </m:r>
        <m:r>
          <m:t>0.20</m:t>
        </m:r>
      </m:oMath>
      <w:r>
        <w:t xml:space="preserve"> </w:t>
      </w:r>
      <w:r>
        <w:t xml:space="preserve">and</w:t>
      </w:r>
      <w:r>
        <w:t xml:space="preserve"> </w:t>
      </w:r>
      <m:oMath>
        <m:r>
          <m:t>0.23</m:t>
        </m:r>
      </m:oMath>
      <w:r>
        <w:t xml:space="preserve">, against</w:t>
      </w:r>
      <w:r>
        <w:t xml:space="preserve"> </w:t>
      </w:r>
      <m:oMath>
        <m:r>
          <m:t>0.55</m:t>
        </m:r>
      </m:oMath>
      <w:r>
        <w:t xml:space="preserve"> </w:t>
      </w:r>
      <w:r>
        <w:t xml:space="preserve">for D2 (Supplementary Information). DeSurv places the shared prognostic direction within separately scored tumor and stromal programs and provides program-specific gene lists for biological investigation and future classifier development.</w:t>
      </w:r>
    </w:p>
    <w:bookmarkEnd w:id="36"/>
    <w:bookmarkStart w:id="40" w:name="X6689aa5313dac45210423b6867d0aa8d64ac134"/>
    <w:p>
      <w:pPr>
        <w:pStyle w:val="Heading2"/>
      </w:pPr>
      <w:r>
        <w:t xml:space="preserve">Survival supervision improves program recovery when prognostic signal contributes little expression variation</w:t>
      </w:r>
    </w:p>
    <w:p>
      <w:pPr>
        <w:pStyle w:val="FirstParagraph"/>
      </w:pPr>
      <w:r>
        <w:t xml:space="preserve">We used simulations with known latent structure to determine when survival supervision improves gene program recovery. Expression profiles were generated for</w:t>
      </w:r>
      <w:r>
        <w:t xml:space="preserve"> </w:t>
      </w:r>
      <m:oMath>
        <m:r>
          <m:t>p</m:t>
        </m:r>
        <m:r>
          <m:rPr>
            <m:sty m:val="p"/>
          </m:rPr>
          <m:t>=</m:t>
        </m:r>
        <m:r>
          <m:t>3</m:t>
        </m:r>
        <m:r>
          <m:rPr>
            <m:sty m:val="p"/>
          </m:rPr>
          <m:t>,</m:t>
        </m:r>
        <m:r>
          <m:t>000</m:t>
        </m:r>
      </m:oMath>
      <w:r>
        <w:t xml:space="preserve"> </w:t>
      </w:r>
      <w:r>
        <w:t xml:space="preserve">genes and</w:t>
      </w:r>
      <w:r>
        <w:t xml:space="preserve"> </w:t>
      </w:r>
      <m:oMath>
        <m:r>
          <m:t>n</m:t>
        </m:r>
        <m:r>
          <m:rPr>
            <m:sty m:val="p"/>
          </m:rPr>
          <m:t>=</m:t>
        </m:r>
        <m:r>
          <m:t>200</m:t>
        </m:r>
      </m:oMath>
      <w:r>
        <w:t xml:space="preserve"> </w:t>
      </w:r>
      <w:r>
        <w:t xml:space="preserve">samples from</w:t>
      </w:r>
      <w:r>
        <w:t xml:space="preserve"> </w:t>
      </w:r>
      <m:oMath>
        <m:r>
          <m:t>k</m:t>
        </m:r>
        <m:r>
          <m:rPr>
            <m:sty m:val="p"/>
          </m:rPr>
          <m:t>=</m:t>
        </m:r>
        <m:r>
          <m:t>3</m:t>
        </m:r>
      </m:oMath>
      <w:r>
        <w:t xml:space="preserve"> </w:t>
      </w:r>
      <w:r>
        <w:t xml:space="preserve">true programs, each with its own marker genes and all drawn from the same loading and activity distributions (Methods, Simulation studies). In the primary scenario, survival depended on the marker genes of one program only, and those genes contributed less transcriptomic variation than a shared background signal excluded from the survival-generating gene set. DeSurv and its unsupervised limit (</w:t>
      </w:r>
      <m:oMath>
        <m:r>
          <m:t>α</m:t>
        </m:r>
        <m:r>
          <m:rPr>
            <m:sty m:val="p"/>
          </m:rPr>
          <m:t>=</m:t>
        </m:r>
        <m:r>
          <m:t>0</m:t>
        </m:r>
      </m:oMath>
      <w:r>
        <w:t xml:space="preserve">) were tuned by the same cross-validation procedure, giving a controlled comparison with and without survival supervision.</w:t>
      </w:r>
    </w:p>
    <w:p>
      <w:pPr>
        <w:pStyle w:val="BodyText"/>
      </w:pPr>
      <w:r>
        <w:t xml:space="preserve">Under this setting, DeSurv more accurately recovered the genes defining the true prognostic program, whereas unsupervised NMF was more strongly influenced by the dominant background structure (Fig. [fig:sim]a,b). Across 100 simulated datasets, median matched-factor precision, the proportion of the best-matching learned program’s selected genes that belonged to the true prognostic gene set, was 0.50 for DeSurv versus 0.07 for unsupervised NMF. Global marker recall, the proportion of the true survival-driving marker genes appearing in the union of all learned programs’ top-ranked gene sets, was 0.26 versus 0.15 (Supplementary Information).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rank (</w:t>
      </w:r>
      <m:oMath>
        <m:r>
          <m:t>k</m:t>
        </m:r>
        <m:r>
          <m:rPr>
            <m:sty m:val="p"/>
          </m:rPr>
          <m:t>=</m:t>
        </m:r>
        <m:r>
          <m:t>3</m:t>
        </m:r>
      </m:oMath>
      <w:r>
        <w:t xml:space="preserve">) more frequently (Fig. [fig:sim]c).</w:t>
      </w:r>
    </w:p>
    <w:p>
      <w:pPr>
        <w:pStyle w:val="BodyText"/>
      </w:pPr>
      <w:r>
        <w:t xml:space="preserve">Performance depended on how prognostic signal aligned with expression structure. In the mixed setting, the benefit of supervision differed between recovery of program-specific markers and recovery of shared background genes included in the survival-generating set (Supplementary Fig. [fig:fig-sim-null-mixed]). Under the null, test-set concordance was near chance for both methods. There, the selected supervision strength dispersed across its admissible range rather than concentrating at zero (median</w:t>
      </w:r>
      <w:r>
        <w:t xml:space="preserve"> </w:t>
      </w:r>
      <m:oMath>
        <m:r>
          <m:t>α</m:t>
        </m:r>
        <m:r>
          <m:rPr>
            <m:sty m:val="p"/>
          </m:rPr>
          <m:t>=</m:t>
        </m:r>
        <m:r>
          <m:t>0.59</m:t>
        </m:r>
      </m:oMath>
      <w:r>
        <w:t xml:space="preserve">, interquartile range</w:t>
      </w:r>
      <w:r>
        <w:t xml:space="preserve"> </w:t>
      </w:r>
      <m:oMath>
        <m:r>
          <m:t>0.19</m:t>
        </m:r>
      </m:oMath>
      <w:r>
        <w:t xml:space="preserve">–</w:t>
      </w:r>
      <m:oMath>
        <m:r>
          <m:t>0.82</m:t>
        </m:r>
      </m:oMath>
      <w:r>
        <w:t xml:space="preserve"> </w:t>
      </w:r>
      <w:r>
        <w:t xml:space="preserve">across 100 simulated datasets), consistent with weak discrimination among supervision strengths when concordance is near chance.</w:t>
      </w:r>
    </w:p>
    <w:p>
      <w:pPr>
        <w:pStyle w:val="BodyText"/>
      </w:pPr>
      <w:r>
        <w:drawing>
          <wp:inline>
            <wp:extent cx="5334000" cy="4923692"/>
            <wp:effectExtent b="0" l="0" r="0" t="0"/>
            <wp:docPr descr="" title="" id="38" name="Picture"/>
            <a:graphic>
              <a:graphicData uri="http://schemas.openxmlformats.org/drawingml/2006/picture">
                <pic:pic>
                  <pic:nvPicPr>
                    <pic:cNvPr descr=".docx_media/figures_fig2_tcgacptac.png" id="39" name="Picture"/>
                    <pic:cNvPicPr>
                      <a:picLocks noChangeArrowheads="1" noChangeAspect="1"/>
                    </pic:cNvPicPr>
                  </pic:nvPicPr>
                  <pic:blipFill>
                    <a:blip r:embed="rId37"/>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prognostic signal contributes little expression variation. (a) Test-set concordance across 100 simulated datasets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medians 0.837 versus 0.724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medians 0.50 versus 0.07. The best-matching program is selected using the known simulated gene set; this evaluates recovery with access to ground truth. Global marker recall, which uses no matching, is reported in the Supplementary Information. In (a) and (b), boxes show median and interquartile range; whiskers extend to</w:t>
      </w:r>
      <w:r>
        <w:rPr>
          <w:iCs/>
          <w:i/>
        </w:rPr>
        <w:t xml:space="preserve"> </w:t>
      </w:r>
      <m:oMath>
        <m:r>
          <m:t>1.5</m:t>
        </m:r>
        <m:r>
          <m:rPr>
            <m:sty m:val="p"/>
          </m:rPr>
          <m:t>×</m:t>
        </m:r>
      </m:oMath>
      <w:r>
        <w:rPr>
          <w:iCs/>
          <w:i/>
        </w:rPr>
        <w:t xml:space="preserve">IQR; points are individual simulated datasets. (c) Distribution of selected ranks across simulated datasets for DeSurv versus unsupervised NMF. (d) The same matched-factor precision metric as in (b), computed for two signal regimes: a prognostic program whose genes carry low transcriptomic variance relative to the shared background excluded from the survival-generating gene set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the two approaches perform comparably (Table [tab:hr-adjusted]).</w:t>
      </w:r>
    </w:p>
    <w:bookmarkEnd w:id="40"/>
    <w:bookmarkEnd w:id="41"/>
    <w:bookmarkStart w:id="42" w:name="discussion"/>
    <w:p>
      <w:pPr>
        <w:pStyle w:val="Heading1"/>
      </w:pPr>
      <w:r>
        <w:t xml:space="preserve">Discussion</w:t>
      </w:r>
    </w:p>
    <w:p>
      <w:pPr>
        <w:pStyle w:val="FirstParagraph"/>
      </w:pPr>
      <w:r>
        <w:t xml:space="preserve">DeSurv allows patient survival to shape gene-program discovery, yielding a tumor–stroma architecture that connects prognostic information with interpretable malignant and stromal programs. The practical value lies in what that architecture yields, program-specific gene lists that can be compared with established classifications and investigated biologically across cohorts. In PDAC, the architecture comprised a dominant survival-aligned program, D1, characterized by coordinated cross-patient variation in classical tumor and restCAF-like stromal features, alongside separately resolved proCAF-like stromal and basal-like tumor programs. D1 remained prognostic after adjustment for the established PurIST and DeCAF classifications, and was supported on its classical tumor side by GATA6 RNA in situ hybridization. The frozen programs then transferred without refitting across four independent external patient cohorts.</w:t>
      </w:r>
    </w:p>
    <w:p>
      <w:pPr>
        <w:pStyle w:val="BodyText"/>
      </w:pPr>
      <w:r>
        <w:t xml:space="preserve">This difference in the recovered programs persisted when rank and tuning effort were matched. An unsupervised control at</w:t>
      </w:r>
      <w:r>
        <w:t xml:space="preserve"> </w:t>
      </w:r>
      <m:oMath>
        <m:r>
          <m:t>α</m:t>
        </m:r>
        <m:r>
          <m:rPr>
            <m:sty m:val="p"/>
          </m:rPr>
          <m:t>=</m:t>
        </m:r>
        <m:r>
          <m:t>0</m:t>
        </m:r>
      </m:oMath>
      <w:r>
        <w:t xml:space="preserve">, matched to DeSurv on rank, optimizer, tuning budget and consensus initialization and tuned on cross-validated concordance, did not recover D1. A rank-optimized unsupervised control recovered comparable prognostic information across a broader seven-factor representation, and conventional supervised predictors produced scores aligned with the dominant prognostic direction, correlating only weakly with the separately resolved proCAF-like program (Fig. [fig:val]b). These comparisons separate prognostic information from the representation in which that information is recovered.</w:t>
      </w:r>
    </w:p>
    <w:p>
      <w:pPr>
        <w:pStyle w:val="BodyText"/>
      </w:pPr>
      <w:r>
        <w:t xml:space="preserve">This distinction also clarifies the role of the frozen gene-program basis. When programs are learned without outcome information, their prognostic relevance is assessed after discovery.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held fixed, so external validation tests the same programs rather than a newly estimated representation. In CoxNMF and SurvNMF, the survival term depends on sample-side latent representations</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In DeSurv, it depends directly on projections through the gene-program matrix, and new samples are scored using fixed gene weights without an additional sample-loading estimation step (Supplementary Table [tab:architecture]). Empirically, supervision reorganized rather than replaced the reconstruction-driven structure. D2 and D3 corresponded closely to the major stromal and tumor factors recovered by standard NMF, whereas D1 was poorly reconstructable from those matched-rank factors.</w:t>
      </w:r>
    </w:p>
    <w:p>
      <w:pPr>
        <w:pStyle w:val="BodyText"/>
      </w:pPr>
      <w:r>
        <w:t xml:space="preserve">Program-level outputs are the practical product of this architecture, because the genes assigned to a program determine how it is interpreted and what is tested next. Previous PDAC studies illustrate how interpretable malignant and stromal programs can support biological characterization and the development of single-sample classifiers</w:t>
      </w:r>
      <w:hyperlink w:anchor="ref-moffitt2015virtual">
        <w:r>
          <w:rPr>
            <w:rStyle w:val="Hyperlink"/>
            <w:vertAlign w:val="superscript"/>
          </w:rPr>
          <w:t xml:space="preserve">3</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Program-specific gene lists connect measured scores to biological annotation and provide candidates for subsequent classifier development. DeSurv extends this line of work by allowing patient outcomes to influence the gene weights themselves, and D2 remains available as separately measurable proCAF-like stromal context although the fitted risk score combines D1 and D3. Such outputs supply candidate signatures and hypotheses for biological investigation and biomarker development, without yet establishing clinical utility or a treatment-selection rule.</w:t>
      </w:r>
    </w:p>
    <w:p>
      <w:pPr>
        <w:pStyle w:val="BodyText"/>
      </w:pPr>
      <w:r>
        <w:t xml:space="preserve">Rank choice and initialization can affect the recovered gene programs, and both were examined here. Standard NMF criteria gave conflicting rank choices in the PDAC training data, and increasing rank progressively broadened correspondence to established PDAC programs. The three-factor DeSurv solution and the seven-factor unsupervised control were selected by the same one-standard-error rule, and seven is the smallest rank within one standard error of the best configuration in the</w:t>
      </w:r>
      <w:r>
        <w:t xml:space="preserve"> </w:t>
      </w:r>
      <m:oMath>
        <m:r>
          <m:t>α</m:t>
        </m:r>
        <m:r>
          <m:rPr>
            <m:sty m:val="p"/>
          </m:rPr>
          <m:t>=</m:t>
        </m:r>
        <m:r>
          <m:t>0</m:t>
        </m:r>
      </m:oMath>
      <w:r>
        <w:t xml:space="preserve"> </w:t>
      </w:r>
      <w:r>
        <w:t xml:space="preserve">search, so the two differ in representation size rather than marking a minimum-rank requirement for either method. Survival supervision provides an outcome-informed criterion for shaping the representation, but it does not remove the non-uniqueness of matrix factorization, and individual DeSurv runs from different random starts recover appreciably different gene sets. Consensus fits built from disjoint halves of the same cached restart pool agreed closely with the reported basis (gene-loading correlation 0.97–0.99, top-270 Jaccard 0.73–0.88; Supplementary Information, Stability of the recovered gene programs). This supports stability to restart-pool composition within the training data, while leaving reproducibility under independent repetition, and the stability of the full consensus procedure under patient resampling, to be established.</w:t>
      </w:r>
    </w:p>
    <w:p>
      <w:pPr>
        <w:pStyle w:val="BodyText"/>
      </w:pPr>
      <w:r>
        <w:t xml:space="preserve">The simulations identify conditions under which survival information improves program recovery. In the primary setting, the marker genes defining the prognostic program contributed less expression variation than shared background genes excluded from the survival-generating gene set. DeSurv recovered those prognostic markers more accurately than its unsupervised limit. In the mixed setting, the benefit differed between program-specific markers and shared background genes, while test-set concordance was near chance for both methods under the null. These findings provide a controlled example of how survival supervision can prioritize prognostically relevant structure that contributes relatively little expression variation.</w:t>
      </w:r>
    </w:p>
    <w:p>
      <w:pPr>
        <w:pStyle w:val="BodyText"/>
      </w:pPr>
      <w:r>
        <w:t xml:space="preserve">Three statistical qualifications bound the prognostic findings. DeSurv uses a proportional-hazards objective, while the external validation data showed attenuation of the prognostic association over follow-up (Results), so the reported hazard ratios are time-averaged summaries and extensions could accommodate non-proportional hazards or nonlinear survival relationships. The integrated Brier analysis recalibrated the score’s scalar slope and baseline hazard within each validation dataset, so it describes apparent prediction error rather than out-of-sample prediction error (Supplementary Information, Proper-scoring sensitivity of the external validation). The pooled training objective was fitted without a cohort term; within-cohort analyses argued against simple encoding of training-cohort membership, though cohort influence on the learned representation remains possible (Supplementary Information, Cohort handling in the training objective).</w:t>
      </w:r>
    </w:p>
    <w:p>
      <w:pPr>
        <w:pStyle w:val="BodyText"/>
      </w:pPr>
      <w:r>
        <w:t xml:space="preserve">The question DeSurv addresses extends beyond PDAC. In any tumor type, the programs that dominate expression variation may differ from those most relevant to survival, so outcome information could help prioritize programs that reconstruction alone underweights. Testing generalizability will require multi-cancer evaluation of prognostic performance, program recovery and stability, with attention to cohort composition and event counts. Comparators should include unsupervised decompositions and strong penalized-regression baselines, which remain difficult to outperform consistently for out-of-sample prognosis</w:t>
      </w:r>
      <w:hyperlink w:anchor="ref-smith2020standard">
        <w:r>
          <w:rPr>
            <w:rStyle w:val="Hyperlink"/>
            <w:vertAlign w:val="superscript"/>
          </w:rPr>
          <w:t xml:space="preserve">34</w:t>
        </w:r>
      </w:hyperlink>
      <w:r>
        <w:t xml:space="preserve">. PDAC is the empirical demonstration presented here rather than evidence of pan-cancer validation.</w:t>
      </w:r>
    </w:p>
    <w:p>
      <w:pPr>
        <w:pStyle w:val="BodyText"/>
      </w:pPr>
      <w:r>
        <w:t xml:space="preserve">In treated cohorts the frozen scores remained informative in exploratory analyses. In O’Kane/COMPASS, D1 remained prognostic in an analysis stratified by treatment arm, although arm-level sample sizes limited assessment of variation in the association across treatments, and the epithelial-enriched profiles support transport of its tumor-associated component in particular. The increase in the projected D2 score after treatment in the Linehan cohort indicates a shift toward proCAF-associated bulk expression, which may reflect altered cellular composition, transcriptional state or both, and does not establish a treatment-induced change in fibroblast state. Whether these programs predict differential treatment benefit therefore remains unresolved and will require adequately powered, prespecified treatment-by-program interaction analyses in studies designed to support treatment comparisons.</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Within it, D1 is the dominant survival-aligned program rather than the architecture itself, and this organization is consistent with broader evidence that malignant lineage state and stromal composition vary together in PDAC</w:t>
      </w:r>
      <w:hyperlink w:anchor="ref-ogawa2020stroma">
        <w:r>
          <w:rPr>
            <w:rStyle w:val="Hyperlink"/>
            <w:vertAlign w:val="superscript"/>
          </w:rPr>
          <w:t xml:space="preserve">35</w:t>
        </w:r>
      </w:hyperlink>
      <w:r>
        <w:rPr>
          <w:vertAlign w:val="superscript"/>
        </w:rPr>
        <w:t xml:space="preserve">–</w:t>
      </w:r>
      <w:hyperlink w:anchor="ref-lee2024tumorcaf">
        <w:r>
          <w:rPr>
            <w:rStyle w:val="Hyperlink"/>
            <w:vertAlign w:val="superscript"/>
          </w:rPr>
          <w:t xml:space="preserve">37</w:t>
        </w:r>
      </w:hyperlink>
      <w:r>
        <w:t xml:space="preserve">. The restCAF-like and proCAF-like labels denote correspondence to reference signatures rather than direct resolution of single-cell CAF states. Adjustment for PurIST and DeCAF supports D1’s prognostic association beyond those classifiers, purity adjustment in the PACA-AU datasets leaves the risk score’s association essentially unchanged, and other supervised methods recover a related patient-score direction. GATA6 RNA in situ hybridization independently supports D1’s classical tumor component; these analyses do not establish the cellular identity of its stromal component. Single-cell or spatial profiling could clarify the cellular sources of these programs; linking those sources to prognosis would additionally require outcome-annotated cohorts and scoring methods appropriate for the measurement platform.</w:t>
      </w:r>
    </w:p>
    <w:p>
      <w:pPr>
        <w:pStyle w:val="BodyText"/>
      </w:pPr>
      <w:r>
        <w:t xml:space="preserve">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2"/>
    <w:bookmarkStart w:id="57" w:name="methods"/>
    <w:p>
      <w:pPr>
        <w:pStyle w:val="Heading1"/>
      </w:pPr>
      <w:r>
        <w:t xml:space="preserve">Methods</w:t>
      </w:r>
    </w:p>
    <w:bookmarkStart w:id="43"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 We use</w:t>
      </w:r>
      <w:r>
        <w:t xml:space="preserve"> </w:t>
      </w:r>
      <w:r>
        <w:rPr>
          <w:iCs/>
          <w:i/>
        </w:rPr>
        <w:t xml:space="preserve">factor</w:t>
      </w:r>
      <w:r>
        <w:t xml:space="preserve"> </w:t>
      </w:r>
      <w:r>
        <w:t xml:space="preserve">for a mathematical component and</w:t>
      </w:r>
      <w:r>
        <w:t xml:space="preserve"> </w:t>
      </w:r>
      <w:r>
        <w:rPr>
          <w:iCs/>
          <w:i/>
        </w:rPr>
        <w:t xml:space="preserve">program</w:t>
      </w:r>
      <w:r>
        <w:t xml:space="preserve"> </w:t>
      </w:r>
      <w:r>
        <w:t xml:space="preserve">for its biological interpretation, including for comparator methods.</w:t>
      </w:r>
      <w:r>
        <w:t xml:space="preserve"> </w:t>
      </w:r>
      <w:r>
        <w:t xml:space="preserve">“</w:t>
      </w:r>
      <w:r>
        <w:t xml:space="preserve">Unsupervised</w:t>
      </w:r>
      <w:r>
        <w:t xml:space="preserve">”</w:t>
      </w:r>
      <w:r>
        <w:t xml:space="preserve"> </w:t>
      </w:r>
      <w:r>
        <w:t xml:space="preserve">describes a factorization objective without a survival term; outcome-based tuning is stated separately.</w:t>
      </w:r>
    </w:p>
    <w:bookmarkEnd w:id="43"/>
    <w:bookmarkStart w:id="44"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Five quantities are tuned. The rank</w:t>
      </w:r>
      <w:r>
        <w:t xml:space="preserve"> </w:t>
      </w:r>
      <m:oMath>
        <m:r>
          <m:t>k</m:t>
        </m:r>
      </m:oMath>
      <w:r>
        <w:t xml:space="preserve"> </w:t>
      </w:r>
      <w:r>
        <w:t xml:space="preserve">is the number of programs;</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the two objectives;</w:t>
      </w:r>
      <w:r>
        <w:t xml:space="preserve"> </w:t>
      </w:r>
      <m:oMath>
        <m:r>
          <m:t>λ</m:t>
        </m:r>
      </m:oMath>
      <w:r>
        <w:t xml:space="preserve"> </w:t>
      </w:r>
      <w:r>
        <w:t xml:space="preserve">and</w:t>
      </w:r>
      <w:r>
        <w:t xml:space="preserve"> </w:t>
      </w:r>
      <m:oMath>
        <m:r>
          <m:t>ξ</m:t>
        </m:r>
      </m:oMath>
      <w:r>
        <w:t xml:space="preserve"> </w:t>
      </w:r>
      <w:r>
        <w:t xml:space="preserve">are the strength and elastic-net mixing of the Cox penalty; and</w:t>
      </w:r>
      <w:r>
        <w:t xml:space="preserve"> </w:t>
      </w:r>
      <m:oMath>
        <m:sSub>
          <m:e>
            <m:r>
              <m:t>n</m:t>
            </m:r>
          </m:e>
          <m:sub>
            <m:r>
              <m:rPr>
                <m:nor/>
                <m:sty m:val="p"/>
              </m:rPr>
              <m:t>top</m:t>
            </m:r>
          </m:sub>
        </m:sSub>
      </m:oMath>
      <w:r>
        <w:t xml:space="preserve"> </w:t>
      </w:r>
      <w:r>
        <w:t xml:space="preserve">determines each program’s top-gene set, whose union defines the scoring support. A sixth, the optional ridge penalty</w:t>
      </w:r>
      <w:r>
        <w:t xml:space="preserve"> </w:t>
      </w:r>
      <m:oMath>
        <m:sSub>
          <m:e>
            <m:r>
              <m:t>λ</m:t>
            </m:r>
          </m:e>
          <m:sub>
            <m:r>
              <m:t>H</m:t>
            </m:r>
          </m:sub>
        </m:sSub>
      </m:oMath>
      <w:r>
        <w:t xml:space="preserve"> </w:t>
      </w:r>
      <w:r>
        <w:t xml:space="preserve">on the loadings, was held at zero throughout.</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with components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e>
              <m:e>
                <m:r>
                  <m:rPr>
                    <m:sty m:val="p"/>
                  </m:rPr>
                  <m:t>=</m:t>
                </m:r>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r>
                  <m:rPr>
                    <m:sty m:val="p"/>
                  </m:rPr>
                  <m:t>,</m:t>
                </m:r>
              </m:e>
            </m:mr>
            <m:mr>
              <m:e>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e>
              <m:e>
                <m:r>
                  <m:rPr>
                    <m:sty m:val="p"/>
                  </m:rPr>
                  <m:t>=</m:t>
                </m:r>
                <m:f>
                  <m:fPr>
                    <m:type m:val="bar"/>
                  </m:fPr>
                  <m:num>
                    <m:r>
                      <m:t>2</m:t>
                    </m:r>
                  </m:num>
                  <m:den>
                    <m:sSub>
                      <m:e>
                        <m:r>
                          <m:t>n</m:t>
                        </m:r>
                      </m:e>
                      <m:sub>
                        <m:r>
                          <m:rPr>
                            <m:sty m:val="p"/>
                          </m:rPr>
                          <m:t>e</m:t>
                        </m:r>
                        <m:r>
                          <m:rPr>
                            <m:sty m:val="p"/>
                          </m:rPr>
                          <m:t>v</m:t>
                        </m:r>
                        <m:r>
                          <m:rPr>
                            <m:sty m:val="p"/>
                          </m:rPr>
                          <m:t>e</m:t>
                        </m:r>
                        <m:r>
                          <m:rPr>
                            <m:sty m:val="p"/>
                          </m:rPr>
                          <m:t>n</m:t>
                        </m:r>
                        <m:r>
                          <m:rPr>
                            <m:sty m:val="p"/>
                          </m:rPr>
                          <m:t>t</m:t>
                        </m:r>
                      </m:sub>
                    </m:sSub>
                  </m:den>
                </m:f>
                <m:r>
                  <m:t> </m:t>
                </m:r>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rPr>
            <m:sty m:val="p"/>
          </m:rPr>
          <m:t>ℓ</m:t>
        </m:r>
        <m:d>
          <m:dPr>
            <m:begChr m:val="("/>
            <m:endChr m:val=")"/>
            <m:sepChr m:val=""/>
            <m:grow/>
          </m:dPr>
          <m:e>
            <m:r>
              <m:t>W</m:t>
            </m:r>
            <m:r>
              <m:rPr>
                <m:sty m:val="p"/>
              </m:rPr>
              <m:t>,</m:t>
            </m:r>
            <m:r>
              <m:t>β</m:t>
            </m:r>
          </m:e>
        </m:d>
      </m:oMath>
      <w:r>
        <w:t xml:space="preserve"> </w:t>
      </w:r>
      <w:r>
        <w:t xml:space="preserve">is the Cox log-partial likelihood, the fit criterion of the Cox model, and</w:t>
      </w:r>
      <w:r>
        <w:t xml:space="preserve"> </w:t>
      </w:r>
      <m:oMath>
        <m:sSub>
          <m:e>
            <m:r>
              <m:t>n</m:t>
            </m:r>
          </m:e>
          <m:sub>
            <m:r>
              <m:rPr>
                <m:sty m:val="p"/>
              </m:rPr>
              <m:t>e</m:t>
            </m:r>
            <m:r>
              <m:rPr>
                <m:sty m:val="p"/>
              </m:rPr>
              <m:t>v</m:t>
            </m:r>
            <m:r>
              <m:rPr>
                <m:sty m:val="p"/>
              </m:rPr>
              <m:t>e</m:t>
            </m:r>
            <m:r>
              <m:rPr>
                <m:sty m:val="p"/>
              </m:rPr>
              <m:t>n</m:t>
            </m:r>
            <m:r>
              <m:rPr>
                <m:sty m:val="p"/>
              </m:rPr>
              <m:t>t</m:t>
            </m:r>
          </m:sub>
        </m:sSub>
      </m:oMath>
      <w:r>
        <w:t xml:space="preserve"> </w:t>
      </w:r>
      <w:r>
        <w:t xml:space="preserve">is the number of observed deaths. The elastic-net penalty acts on the standardized-score coefficients</w:t>
      </w:r>
      <w:r>
        <w:t xml:space="preserve"> </w:t>
      </w:r>
      <m:oMath>
        <m:r>
          <m:t>b</m:t>
        </m:r>
        <m:r>
          <m:rPr>
            <m:sty m:val="p"/>
          </m:rPr>
          <m:t>=</m:t>
        </m:r>
        <m:sSub>
          <m:e>
            <m:r>
              <m:t>D</m:t>
            </m:r>
          </m:e>
          <m:sub>
            <m:r>
              <m:t>Z</m:t>
            </m:r>
          </m:sub>
        </m:sSub>
        <m:r>
          <m:t>β</m:t>
        </m:r>
      </m:oMath>
      <w:r>
        <w:t xml:space="preserve">, where</w:t>
      </w:r>
      <w:r>
        <w:t xml:space="preserve"> </w:t>
      </w:r>
      <m:oMath>
        <m:sSub>
          <m:e>
            <m:r>
              <m:t>D</m:t>
            </m:r>
          </m:e>
          <m:sub>
            <m:r>
              <m:t>Z</m:t>
            </m:r>
          </m:sub>
        </m:sSub>
        <m:r>
          <m:rPr>
            <m:sty m:val="p"/>
          </m:rPr>
          <m:t>=</m:t>
        </m:r>
        <m:r>
          <m:rPr>
            <m:sty m:val="p"/>
          </m:rPr>
          <m:t>diag</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with</w:t>
      </w:r>
      <w:r>
        <w:t xml:space="preserve"> </w:t>
      </w:r>
      <m:oMath>
        <m:sSub>
          <m:e>
            <m:r>
              <m:t>Z</m:t>
            </m:r>
          </m:e>
          <m:sub>
            <m:r>
              <m:t>r</m:t>
            </m:r>
            <m:r>
              <m:rPr>
                <m:sty m:val="p"/>
              </m:rPr>
              <m:t>⋅</m:t>
            </m:r>
          </m:sub>
        </m:sSub>
      </m:oMath>
      <w:r>
        <w:t xml:space="preserve"> </w:t>
      </w:r>
      <w:r>
        <w:t xml:space="preserve">the</w:t>
      </w:r>
      <w:r>
        <w:t xml:space="preserve"> </w:t>
      </w:r>
      <m:oMath>
        <m:r>
          <m:t>r</m:t>
        </m:r>
      </m:oMath>
      <w:r>
        <w:t xml:space="preserve">th row of</w:t>
      </w:r>
      <w:r>
        <w:t xml:space="preserve"> </w:t>
      </w:r>
      <m:oMath>
        <m:r>
          <m:t>Z</m:t>
        </m:r>
      </m:oMath>
      <w:r>
        <w:t xml:space="preserve"> </w:t>
      </w:r>
      <w:r>
        <w:t xml:space="preserve">(the scores of factor</w:t>
      </w:r>
      <w:r>
        <w:t xml:space="preserve"> </w:t>
      </w:r>
      <m:oMath>
        <m:r>
          <m:t>r</m:t>
        </m:r>
      </m:oMath>
      <w:r>
        <w:t xml:space="preserve"> </w:t>
      </w:r>
      <w:r>
        <w:t xml:space="preserve">across samples) collects the standard deviations across samples of the</w:t>
      </w:r>
      <w:r>
        <w:t xml:space="preserve"> </w:t>
      </w:r>
      <m:oMath>
        <m:r>
          <m:t>k</m:t>
        </m:r>
      </m:oMath>
      <w:r>
        <w:t xml:space="preserve"> </w:t>
      </w:r>
      <w:r>
        <w:t xml:space="preserve">factor scores at the current</w:t>
      </w:r>
      <w:r>
        <w:t xml:space="preserve"> </w:t>
      </w:r>
      <m:oMath>
        <m:r>
          <m:t>W</m:t>
        </m:r>
      </m:oMath>
      <w:r>
        <w:t xml:space="preserve">. The inverse map</w:t>
      </w:r>
      <w:r>
        <w:t xml:space="preserve"> </w:t>
      </w:r>
      <m:oMath>
        <m:r>
          <m:t>β</m:t>
        </m:r>
        <m:r>
          <m:rPr>
            <m:sty m:val="p"/>
          </m:rPr>
          <m:t>=</m:t>
        </m:r>
        <m:sSubSup>
          <m:e>
            <m:r>
              <m:t>D</m:t>
            </m:r>
          </m:e>
          <m:sub>
            <m:r>
              <m:t>Z</m:t>
            </m:r>
          </m:sub>
          <m:sup>
            <m:r>
              <m:rPr>
                <m:sty m:val="p"/>
              </m:rPr>
              <m:t>−</m:t>
            </m:r>
            <m:r>
              <m:t>1</m:t>
            </m:r>
          </m:sup>
        </m:sSubSup>
        <m:r>
          <m:t>b</m:t>
        </m:r>
      </m:oMath>
      <w:r>
        <w:t xml:space="preserve"> </w:t>
      </w:r>
      <w:r>
        <w:t xml:space="preserve">is applied only on the retained, nondegenerate score rows; a row whose score standard deviation falls below the numerical floor given in Supplementary Information, Optimization Algorithm, is dropped and its coefficient set to zero. This is the objective the implementation evaluates and records. 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normalize the component losses before</w:t>
      </w:r>
      <w:r>
        <w:t xml:space="preserve"> </w:t>
      </w:r>
      <m:oMath>
        <m:r>
          <m:t>α</m:t>
        </m:r>
      </m:oMath>
      <w:r>
        <w:t xml:space="preserve"> </w:t>
      </w:r>
      <w:r>
        <w:t xml:space="preserve">sets their relative contribution (Supplementary Information, Model details).</w:t>
      </w:r>
    </w:p>
    <w:p>
      <w:pPr>
        <w:pStyle w:val="BodyText"/>
      </w:pPr>
      <w:r>
        <w:t xml:space="preserve">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38</w:t>
        </w:r>
      </w:hyperlink>
      <w:r>
        <w:t xml:space="preserve">; the entries of</w:t>
      </w:r>
      <w:r>
        <w:t xml:space="preserve"> </w:t>
      </w:r>
      <m:oMath>
        <m:r>
          <m:t>H</m:t>
        </m:r>
      </m:oMath>
      <w:r>
        <w:t xml:space="preserve"> </w:t>
      </w:r>
      <w:r>
        <w:t xml:space="preserve">are sample loadings on the learned programs, not estimated cell-type fractions.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therefore govern the post hoc Cox fit rather than entering the factorization objective.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bookmarkEnd w:id="44"/>
    <w:bookmarkStart w:id="45" w:name="optimization"/>
    <w:p>
      <w:pPr>
        <w:pStyle w:val="Heading2"/>
      </w:pPr>
      <w:r>
        <w:t xml:space="preserve">Optimization</w:t>
      </w:r>
    </w:p>
    <w:p>
      <w:pPr>
        <w:pStyle w:val="FirstParagraph"/>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Optimization Algorithm). The reconstruction term is minimized using multiplicative updates that preserve nonnegativity, and the supervision term enters the proposal for</w:t>
      </w:r>
      <w:r>
        <w:t xml:space="preserve"> </w:t>
      </w:r>
      <m:oMath>
        <m:r>
          <m:t>W</m:t>
        </m:r>
      </m:oMath>
      <w:r>
        <w:t xml:space="preserve"> </w:t>
      </w:r>
      <w:r>
        <w:t xml:space="preserve">as a Cox log-partial-likelihood derivative. The proposal rescales the weighted reconstruction and survival gradients using the norm-based factor defined in the Supplementary Information, subject to its numerical stabilizer and cap. It does not differentiate the</w:t>
      </w:r>
      <w:r>
        <w:t xml:space="preserve"> </w:t>
      </w:r>
      <m:oMath>
        <m:r>
          <m:t>W</m:t>
        </m:r>
      </m:oMath>
      <w:r>
        <w:t xml:space="preserve">-dependent penalty on the standardized-score coefficients and is therefore not the gradient of the full objective; each candidate is instead evaluated under the full objective by a backtracking line search. Every candidate</w:t>
      </w:r>
      <w:r>
        <w:t xml:space="preserve"> </w:t>
      </w:r>
      <m:oMath>
        <m:r>
          <m:t>W</m:t>
        </m:r>
      </m:oMath>
      <w:r>
        <w:t xml:space="preserve"> </w:t>
      </w:r>
      <w:r>
        <w:t xml:space="preserve">is first normalized to unit-Euclidean-norm columns, with</w:t>
      </w:r>
      <w:r>
        <w:t xml:space="preserve"> </w:t>
      </w:r>
      <m:oMath>
        <m:r>
          <m:t>H</m:t>
        </m:r>
      </m:oMath>
      <w:r>
        <w:t xml:space="preserve"> </w:t>
      </w:r>
      <w:r>
        <w:t xml:space="preserve">and</w:t>
      </w:r>
      <w:r>
        <w:t xml:space="preserve"> </w:t>
      </w:r>
      <m:oMath>
        <m:r>
          <m:t>β</m:t>
        </m:r>
      </m:oMath>
      <w:r>
        <w:t xml:space="preserve"> </w:t>
      </w:r>
      <w:r>
        <w:t xml:space="preserve">rescaled by the same constants, so that</w:t>
      </w:r>
      <w:r>
        <w:t xml:space="preserve"> </w:t>
      </w:r>
      <m:oMath>
        <m:r>
          <m:t>W</m:t>
        </m:r>
        <m:r>
          <m:t>H</m:t>
        </m:r>
      </m:oMath>
      <w:r>
        <w:t xml:space="preserve">, the linear predictor and</w:t>
      </w:r>
      <w:r>
        <w:t xml:space="preserve"> </w:t>
      </w:r>
      <m:oMath>
        <m:r>
          <m:t>b</m:t>
        </m:r>
        <m:r>
          <m:rPr>
            <m:sty m:val="p"/>
          </m:rPr>
          <m:t>=</m:t>
        </m:r>
        <m:sSub>
          <m:e>
            <m:r>
              <m:t>D</m:t>
            </m:r>
          </m:e>
          <m:sub>
            <m:r>
              <m:t>Z</m:t>
            </m:r>
          </m:sub>
        </m:sSub>
        <m:r>
          <m:t>β</m:t>
        </m:r>
      </m:oMath>
      <w:r>
        <w:t xml:space="preserve"> </w:t>
      </w:r>
      <w:r>
        <w:t xml:space="preserve">are all preserved; with the optional ridge penalties on</w:t>
      </w:r>
      <w:r>
        <w:t xml:space="preserve"> </w:t>
      </w:r>
      <m:oMath>
        <m:r>
          <m:t>W</m:t>
        </m:r>
      </m:oMath>
      <w:r>
        <w:t xml:space="preserve"> </w:t>
      </w:r>
      <w:r>
        <w:t xml:space="preserve">and</w:t>
      </w:r>
      <w:r>
        <w:t xml:space="preserve"> </w:t>
      </w:r>
      <m:oMath>
        <m:r>
          <m:t>H</m:t>
        </m:r>
      </m:oMath>
      <w:r>
        <w:t xml:space="preserve"> </w:t>
      </w:r>
      <w:r>
        <w:t xml:space="preserve">both zero (</w:t>
      </w:r>
      <m:oMath>
        <m:sSub>
          <m:e>
            <m:r>
              <m:t>λ</m:t>
            </m:r>
          </m:e>
          <m:sub>
            <m:r>
              <m:t>W</m:t>
            </m:r>
          </m:sub>
        </m:sSub>
        <m:r>
          <m:rPr>
            <m:sty m:val="p"/>
          </m:rPr>
          <m:t>=</m:t>
        </m:r>
        <m:sSub>
          <m:e>
            <m:r>
              <m:t>λ</m:t>
            </m:r>
          </m:e>
          <m:sub>
            <m:r>
              <m:t>H</m:t>
            </m:r>
          </m:sub>
        </m:sSub>
        <m:r>
          <m:rPr>
            <m:sty m:val="p"/>
          </m:rPr>
          <m:t>=</m:t>
        </m:r>
        <m:r>
          <m:t>0</m:t>
        </m:r>
      </m:oMath>
      <w:r>
        <w:t xml:space="preserve">), as in the reported fits, the normalization alone leaves the displayed objective unchanged.</w:t>
      </w:r>
    </w:p>
    <w:p>
      <w:pPr>
        <w:pStyle w:val="BodyText"/>
      </w:pPr>
      <m:oMath>
        <m:r>
          <m:t>β</m:t>
        </m:r>
      </m:oMath>
      <w:r>
        <w:t xml:space="preserve"> </w:t>
      </w:r>
      <w:r>
        <w:t xml:space="preserve">is then updated by Coxnet-style cyclic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 starting from the current raw coefficients after the normalization step and using the current</w:t>
      </w:r>
      <w:r>
        <w:t xml:space="preserve"> </w:t>
      </w:r>
      <m:oMath>
        <m:sSub>
          <m:e>
            <m:r>
              <m:t>D</m:t>
            </m:r>
          </m:e>
          <m:sub>
            <m:r>
              <m:t>Z</m:t>
            </m:r>
          </m:sub>
        </m:sSub>
      </m:oMath>
      <w:r>
        <w:t xml:space="preserve">. The scores are centered as well as standardized, which shifts the linear predictor by a common additive constant that cancels from the Cox partial likelihood. The coordinate descent weights its quadratic approximation of the partial likelihood by</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rather than the</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of the objective while penalizing</w:t>
      </w:r>
      <w:r>
        <w:t xml:space="preserve"> </w:t>
      </w:r>
      <m:oMath>
        <m:r>
          <m:t>b</m:t>
        </m:r>
      </m:oMath>
      <w:r>
        <w:t xml:space="preserve">, so within that parameterization the effective penalty is</w:t>
      </w:r>
      <w:r>
        <w:t xml:space="preserve"> </w:t>
      </w:r>
      <m:oMath>
        <m:r>
          <m:t>2</m:t>
        </m:r>
        <m:r>
          <m:t>λ</m:t>
        </m:r>
      </m:oMath>
      <w:r>
        <w:t xml:space="preserve">. Its proposal is accepted only if the evaluated objective does not increase (equivalently, since</w:t>
      </w:r>
      <w:r>
        <w:t xml:space="preserve"> </w:t>
      </w:r>
      <m:oMath>
        <m:r>
          <m:t>W</m:t>
        </m:r>
      </m:oMath>
      <w:r>
        <w:t xml:space="preserve"> </w:t>
      </w:r>
      <w:r>
        <w:t xml:space="preserve">and</w:t>
      </w:r>
      <w:r>
        <w:t xml:space="preserve"> </w:t>
      </w:r>
      <m:oMath>
        <m:r>
          <m:t>H</m:t>
        </m:r>
      </m:oMath>
      <w:r>
        <w:t xml:space="preserve"> </w:t>
      </w:r>
      <w:r>
        <w:t xml:space="preserve">are fixed, only if the penalized survival loss does not increase), which makes the</w:t>
      </w:r>
      <w:r>
        <w:t xml:space="preserve"> </w:t>
      </w:r>
      <m:oMath>
        <m:r>
          <m:t>β</m:t>
        </m:r>
      </m:oMath>
      <w:r>
        <w:t xml:space="preserve"> </w:t>
      </w:r>
      <w:r>
        <w:t xml:space="preserve">update non-increasing in that objective without establishing convergence to a conditional or joint optimum, and</w:t>
      </w:r>
      <w:r>
        <w:t xml:space="preserve"> </w:t>
      </w:r>
      <m:oMath>
        <m:r>
          <m:t>β</m:t>
        </m:r>
      </m:oMath>
      <w:r>
        <w:t xml:space="preserve"> </w:t>
      </w:r>
      <w:r>
        <w:t xml:space="preserve">is refit on the converged</w:t>
      </w:r>
      <w:r>
        <w:t xml:space="preserve"> </w:t>
      </w:r>
      <m:oMath>
        <m:r>
          <m:t>W</m:t>
        </m:r>
      </m:oMath>
      <w:r>
        <w:t xml:space="preserve"> </w:t>
      </w:r>
      <w:r>
        <w:t xml:space="preserve">at the end. The</w:t>
      </w:r>
      <w:r>
        <w:t xml:space="preserve"> </w:t>
      </w:r>
      <m:oMath>
        <m:r>
          <m:t>β</m:t>
        </m:r>
      </m:oMath>
      <w:r>
        <w:t xml:space="preserve"> </w:t>
      </w:r>
      <w:r>
        <w:t xml:space="preserve">block is therefore an approximate rather than exact conditional minimizer. Convergence of the outer loop is assessed by the change in</w:t>
      </w:r>
      <w:r>
        <w:t xml:space="preserve"> </w:t>
      </w:r>
      <m:oMath>
        <m:r>
          <m:t>W</m:t>
        </m:r>
      </m:oMath>
      <w:r>
        <w:t xml:space="preserve"> </w:t>
      </w:r>
      <w:r>
        <w:t xml:space="preserve">and</w:t>
      </w:r>
      <w:r>
        <w:t xml:space="preserve"> </w:t>
      </w:r>
      <m:oMath>
        <m:r>
          <m:t>H</m:t>
        </m:r>
      </m:oMath>
      <w:r>
        <w:t xml:space="preserve"> </w:t>
      </w:r>
      <w:r>
        <w:t xml:space="preserve">between successive iterations, not by the change in the objective. Iteration stops when the cosine change of both</w:t>
      </w:r>
      <w:r>
        <w:t xml:space="preserve"> </w:t>
      </w:r>
      <m:oMath>
        <m:r>
          <m:t>W</m:t>
        </m:r>
      </m:oMath>
      <w:r>
        <w:t xml:space="preserve"> </w:t>
      </w:r>
      <w:r>
        <w:t xml:space="preserve">and</w:t>
      </w:r>
      <w:r>
        <w:t xml:space="preserve"> </w:t>
      </w:r>
      <m:oMath>
        <m:r>
          <m:t>H</m:t>
        </m:r>
      </m:oMath>
      <w:r>
        <w:t xml:space="preserve"> </w:t>
      </w:r>
      <w:r>
        <w:t xml:space="preserve">falls below</w:t>
      </w:r>
      <w:r>
        <w:t xml:space="preserve"> </w:t>
      </w:r>
      <m:oMath>
        <m:sSup>
          <m:e>
            <m:r>
              <m:t>10</m:t>
            </m:r>
          </m:e>
          <m:sup>
            <m:r>
              <m:rPr>
                <m:sty m:val="p"/>
              </m:rPr>
              <m:t>−</m:t>
            </m:r>
            <m:r>
              <m:t>7</m:t>
            </m:r>
          </m:sup>
        </m:sSup>
      </m:oMath>
      <w:r>
        <w:t xml:space="preserve"> </w:t>
      </w:r>
      <w:r>
        <w:t xml:space="preserve">for the restart and final fits, and below</w:t>
      </w:r>
      <w:r>
        <w:t xml:space="preserve"> </w:t>
      </w:r>
      <m:oMath>
        <m:sSup>
          <m:e>
            <m:r>
              <m:t>10</m:t>
            </m:r>
          </m:e>
          <m:sup>
            <m:r>
              <m:rPr>
                <m:sty m:val="p"/>
              </m:rPr>
              <m:t>−</m:t>
            </m:r>
            <m:r>
              <m:t>5</m:t>
            </m:r>
          </m:sup>
        </m:sSup>
      </m:oMath>
      <w:r>
        <w:t xml:space="preserve"> </w:t>
      </w:r>
      <w:r>
        <w:t xml:space="preserve">for the cross-validation fits inside the hyperparameter search, or after 4,000 iterations; cosine change is defined in Supplementary Information, Optimization Algorithm. The reported fits were produced by this implementation; the nominal tuning parameters are reported together with the implemented scaling and standardization conventions.</w:t>
      </w:r>
    </w:p>
    <w:p>
      <w:pPr>
        <w:pStyle w:val="BodyText"/>
      </w:pPr>
      <w:r>
        <w:t xml:space="preserve">Because the implemented algorithm combines normalization, gradient rescaling and a Coxnet approximation, we assessed optimization behavior empirically rather than relying on a formal convergence guarantee. Across 100 independent random initializations of the reported PDAC model, every run terminated on the stopping criterion rather than the iteration cap, and none failed numerically (median 38 iterations, range 17–233; Supplementary Information, Empirical optimization stability). The recorded outer-loop objective decreased monotonically. Monotone decrease together with the cosine stopping rule is what these runs establish, and they are checks on the optimizer rather than on which programs it recovers. Closed-form update equations are given in Supplementary Information, Model details and Optimization Algorithm, and Bayesian-optimization control parameters in Bayesian Optimization.</w:t>
      </w:r>
    </w:p>
    <w:bookmarkEnd w:id="45"/>
    <w:bookmarkStart w:id="46"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objective was the mean 5-fold cross-validated C-index, with folds constructed separately within each training cohort and stratified by event status under a fixed seed (123). Each configuration was evaluated from 30 random initializations at the cross-validation stopping tolerance</w:t>
      </w:r>
      <w:r>
        <w:t xml:space="preserve"> </w:t>
      </w:r>
      <m:oMath>
        <m:sSup>
          <m:e>
            <m:r>
              <m:t>10</m:t>
            </m:r>
          </m:e>
          <m:sup>
            <m:r>
              <m:rPr>
                <m:sty m:val="p"/>
              </m:rPr>
              <m:t>−</m:t>
            </m:r>
            <m:r>
              <m:t>5</m:t>
            </m:r>
          </m:sup>
        </m:sSup>
      </m:oMath>
      <w:r>
        <w:t xml:space="preserve">, and its C-index averaged over initializations and folds. The search used an initial design of 50 evaluations followed by 100 Gaussian-process-guided evaluations; search bounds, acquisition settings and parameter transformations are given in Supplementary Information, Bayesian Optimization.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best observed configuration’s mean, and the smallest rank whose retained configuration met the threshold was selected; the remaining hyperparameters were those of the best observed configuration (Supplementary Information, Bayesian Optimization). The best observed configuration had mean cross-validated C-index 0.655 (fold-level SE 0.011) at</w:t>
      </w:r>
      <w:r>
        <w:t xml:space="preserve"> </w:t>
      </w:r>
      <m:oMath>
        <m:r>
          <m:t>k</m:t>
        </m:r>
        <m:r>
          <m:rPr>
            <m:sty m:val="p"/>
          </m:rPr>
          <m:t>=</m:t>
        </m:r>
        <m:r>
          <m:t>7</m:t>
        </m:r>
      </m:oMath>
      <w:r>
        <w:t xml:space="preserve">, giving a threshold of 0.644, and the best configuration observed at</w:t>
      </w:r>
      <w:r>
        <w:t xml:space="preserve"> </w:t>
      </w:r>
      <m:oMath>
        <m:r>
          <m:t>k</m:t>
        </m:r>
        <m:r>
          <m:rPr>
            <m:sty m:val="p"/>
          </m:rPr>
          <m:t>=</m:t>
        </m:r>
        <m:r>
          <m:t>3</m:t>
        </m:r>
      </m:oMath>
      <w:r>
        <w:t xml:space="preserve"> </w:t>
      </w:r>
      <w:r>
        <w:t xml:space="preserve">reached 0.646 and was therefore eligible. All model selection was performed entirely within the training data using cross-validation; no validation cohort data were used during any stage of tuning, and out-of-sample generalization was assessed only on the external validation cohorts. The consensus initialization described next was used only for the final model and is not reproduced within each fold.</w:t>
      </w:r>
    </w:p>
    <w:p>
      <w:pPr>
        <w:pStyle w:val="BodyText"/>
      </w:pPr>
      <w:r>
        <w:t xml:space="preserve">Because this rule combined</w:t>
      </w:r>
      <w:r>
        <w:t xml:space="preserve"> </w:t>
      </w:r>
      <m:oMath>
        <m:r>
          <m:t>k</m:t>
        </m:r>
        <m:r>
          <m:rPr>
            <m:sty m:val="p"/>
          </m:rPr>
          <m:t>=</m:t>
        </m:r>
        <m:r>
          <m:t>3</m:t>
        </m:r>
      </m:oMath>
      <w:r>
        <w:t xml:space="preserve"> </w:t>
      </w:r>
      <w:r>
        <w:t xml:space="preserve">with the non-rank hyperparameters of the best observed configuration, a configuration not itself evaluated in the search, we ran a sensitivity check on rank selection using the same training data and selected non-rank hyperparameters. That check is an exhaustive grid over ranks</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t>
      </w:r>
      <w:r>
        <w:t xml:space="preserve">and supervision strengths</w:t>
      </w:r>
      <w:r>
        <w:t xml:space="preserve"> </w:t>
      </w:r>
      <m:oMath>
        <m:r>
          <m:t>α</m:t>
        </m:r>
      </m:oMath>
      <w:r>
        <w:t xml:space="preserve">, 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the retained values, and is restricted throughout to</w:t>
      </w:r>
      <w:r>
        <w:t xml:space="preserve"> </w:t>
      </w:r>
      <m:oMath>
        <m:sSub>
          <m:e>
            <m:r>
              <m:t>n</m:t>
            </m:r>
          </m:e>
          <m:sub>
            <m:r>
              <m:rPr>
                <m:nor/>
                <m:sty m:val="p"/>
              </m:rPr>
              <m:t>top</m:t>
            </m:r>
          </m:sub>
        </m:sSub>
        <m:r>
          <m:rPr>
            <m:sty m:val="p"/>
          </m:rPr>
          <m:t>=</m:t>
        </m:r>
        <m:r>
          <m:t>270</m:t>
        </m:r>
      </m:oMath>
      <w:r>
        <w:t xml:space="preserve">. Applying the same one-standard-error rule to that grid also selects</w:t>
      </w:r>
      <w:r>
        <w:t xml:space="preserve"> </w:t>
      </w:r>
      <m:oMath>
        <m:r>
          <m:t>k</m:t>
        </m:r>
        <m:r>
          <m:rPr>
            <m:sty m:val="p"/>
          </m:rPr>
          <m:t>=</m:t>
        </m:r>
        <m:r>
          <m:t>3</m:t>
        </m:r>
      </m:oMath>
      <w:r>
        <w:t xml:space="preserve">. Within its</w:t>
      </w:r>
      <w:r>
        <w:t xml:space="preserve"> </w:t>
      </w:r>
      <m:oMath>
        <m:r>
          <m:t>k</m:t>
        </m:r>
        <m:r>
          <m:rPr>
            <m:sty m:val="p"/>
          </m:rPr>
          <m:t>=</m:t>
        </m:r>
        <m:r>
          <m:t>3</m:t>
        </m:r>
      </m:oMath>
      <w:r>
        <w:t xml:space="preserve"> </w:t>
      </w:r>
      <w:r>
        <w:t xml:space="preserve">slice, the nearest evaluated supervision level,</w:t>
      </w:r>
      <w:r>
        <w:t xml:space="preserve"> </w:t>
      </w:r>
      <m:oMath>
        <m:r>
          <m:t>α</m:t>
        </m:r>
        <m:r>
          <m:rPr>
            <m:sty m:val="p"/>
          </m:rPr>
          <m:t>=</m:t>
        </m:r>
        <m:r>
          <m:t>0.35</m:t>
        </m:r>
      </m:oMath>
      <w:r>
        <w:t xml:space="preserve">, gave a mean cross-validated C-index of 0.656 (SE 0.010). That value clears the Bayesian-optimization threshold of 0.644 but not the grid’s own one-standard-error threshold of 0.662, which is set by the grid’s best rank,</w:t>
      </w:r>
      <w:r>
        <w:t xml:space="preserve"> </w:t>
      </w:r>
      <m:oMath>
        <m:r>
          <m:t>k</m:t>
        </m:r>
        <m:r>
          <m:rPr>
            <m:sty m:val="p"/>
          </m:rPr>
          <m:t>=</m:t>
        </m:r>
        <m:r>
          <m:t>9</m:t>
        </m:r>
      </m:oMath>
      <w:r>
        <w:t xml:space="preserve"> </w:t>
      </w:r>
      <w:r>
        <w:t xml:space="preserve">(Supplementary Information, Bayesian Optimization and Cross-validated C-index across factorization rank). That grid point is a sensitivity check at a nearby</w:t>
      </w:r>
      <w:r>
        <w:t xml:space="preserve"> </w:t>
      </w:r>
      <m:oMath>
        <m:r>
          <m:t>α</m:t>
        </m:r>
      </m:oMath>
      <w:r>
        <w:t xml:space="preserve">, not the cross-validated performance of the final configuration itself.</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On the sensitivity grid,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 best observed configuration. Reference-program correspondence and the GATA6 comparison support biological interpretation of the selected programs; they do not establish a uniquely correct rank.</w:t>
      </w:r>
    </w:p>
    <w:bookmarkEnd w:id="46"/>
    <w:bookmarkStart w:id="47" w:name="Xbdce6b91f711f953a81a9683ed715f043d727c7"/>
    <w:p>
      <w:pPr>
        <w:pStyle w:val="Heading2"/>
      </w:pPr>
      <w:r>
        <w:t xml:space="preserve">Consensus initialization and program stability</w:t>
      </w:r>
    </w:p>
    <w:p>
      <w:pPr>
        <w:pStyle w:val="FirstParagraph"/>
      </w:pPr>
      <w:r>
        <w:t xml:space="preserve">At the selected hyperparameters, 100 fits from independent random initializations were aggregated into a gene-by-gene co-occurrence matrix, recording how often each pair of genes appeared together among the top genes of the same program, ranked by factor specificity. Genes reaching a top set in fewer than 30 of the runs were treated as inactive and excluded; the remaining genes were partitioned into</w:t>
      </w:r>
      <w:r>
        <w:t xml:space="preserve"> </w:t>
      </w:r>
      <m:oMath>
        <m:r>
          <m:t>k</m:t>
        </m:r>
      </m:oMath>
      <w:r>
        <w:t xml:space="preserve"> </w:t>
      </w:r>
      <w:r>
        <w:t xml:space="preserve">groups by average-linkage hierarchical clustering, each cluster defining one column of the initialization</w:t>
      </w:r>
      <w:r>
        <w:t xml:space="preserve"> </w:t>
      </w:r>
      <m:oMath>
        <m:sSub>
          <m:e>
            <m:r>
              <m:t>W</m:t>
            </m:r>
          </m:e>
          <m:sub>
            <m:r>
              <m:t>0</m:t>
            </m:r>
          </m:sub>
        </m:sSub>
      </m:oMath>
      <w:r>
        <w:t xml:space="preserve">, with inactive and otherwise empty entries set to a small positive floor. The loadings were initialized by nonnegative least squares given</w:t>
      </w:r>
      <w:r>
        <w:t xml:space="preserve"> </w:t>
      </w:r>
      <m:oMath>
        <m:sSub>
          <m:e>
            <m:r>
              <m:t>W</m:t>
            </m:r>
          </m:e>
          <m:sub>
            <m:r>
              <m:t>0</m:t>
            </m:r>
          </m:sub>
        </m:sSub>
      </m:oMath>
      <w:r>
        <w:t xml:space="preserve">, and the initial Cox coefficients were set to zero; the final model was then fit once from that initialization. Because the consensus is built from gene-by-gene co-occurrence, it is invariant to factor-label permutation and requires no alignment of labels across runs (Supplementary Information, Consensus initialization for the final model).</w:t>
      </w:r>
    </w:p>
    <w:p>
      <w:pPr>
        <w:pStyle w:val="BodyText"/>
      </w:pPr>
      <w:r>
        <w:t xml:space="preserve">We assessed program stability by partitioning the cached restart pool into disjoint halves and constructing a consensus initialization and final fit from each half. Across 8 random splits, median agreement with the reported basis was 0.97–0.99 for gene-loading correlations and 0.73–0.88 for top-ranked-gene Jaccard overlap across the three programs. These comparisons assess sensitivity to restart-pool composition within the training data, rather than independent repetition of the full procedure (Supplementary Information, Stability of the recovered gene programs). That section also reports stability under patient subsampling, a separate and weaker property.</w:t>
      </w:r>
    </w:p>
    <w:bookmarkEnd w:id="47"/>
    <w:bookmarkStart w:id="48" w:name="frozen-gene-program-and-risk-scoring"/>
    <w:p>
      <w:pPr>
        <w:pStyle w:val="Heading2"/>
      </w:pPr>
      <w:r>
        <w:t xml:space="preserve">Frozen gene-program and risk scoring</w:t>
      </w:r>
    </w:p>
    <w:p>
      <w:pPr>
        <w:pStyle w:val="FirstParagraph"/>
      </w:pPr>
      <w:r>
        <w:t xml:space="preserve">Scoring uses a truncated copy of the fitted basis. Within each program the genes were ranked by factor specificity (Supplementary Information, Gene Program Correlation Analysis) and the top</w:t>
      </w:r>
      <w:r>
        <w:t xml:space="preserve"> </w:t>
      </w:r>
      <m:oMath>
        <m:sSub>
          <m:e>
            <m:r>
              <m:t>n</m:t>
            </m:r>
          </m:e>
          <m:sub>
            <m:r>
              <m:rPr>
                <m:nor/>
                <m:sty m:val="p"/>
              </m:rPr>
              <m:t>top</m:t>
            </m:r>
          </m:sub>
        </m:sSub>
        <m:r>
          <m:rPr>
            <m:sty m:val="p"/>
          </m:rPr>
          <m:t>=</m:t>
        </m:r>
        <m:r>
          <m:t>270</m:t>
        </m:r>
      </m:oMath>
      <w:r>
        <w:t xml:space="preserve"> </w:t>
      </w:r>
      <w:r>
        <w:t xml:space="preserve">retained; the gene support for scoring is the union of the</w:t>
      </w:r>
      <w:r>
        <w:t xml:space="preserve"> </w:t>
      </w:r>
      <m:oMath>
        <m:r>
          <m:t>k</m:t>
        </m:r>
      </m:oMath>
      <w:r>
        <w:t xml:space="preserve"> </w:t>
      </w:r>
      <w:r>
        <w:t xml:space="preserve">programs’ top sets, giving the truncated matrix</w:t>
      </w:r>
      <w:r>
        <w:t xml:space="preserve"> </w:t>
      </w:r>
      <m:oMath>
        <m:acc>
          <m:accPr>
            <m:chr m:val="̃"/>
          </m:accPr>
          <m:e>
            <m:r>
              <m:t>W</m:t>
            </m:r>
          </m:e>
        </m:acc>
      </m:oMath>
      <w:r>
        <w:t xml:space="preserve"> </w:t>
      </w:r>
      <w:r>
        <w:t xml:space="preserve">that was held fixed for every validation and treated cohort. All columns retain their weights on the same union of gene rows, and truncated columns are not renormalized. This union construction defines the primary external-validation scores, including the headline, leave-one-dataset-out and classifier-adjusted risk-score analyses, and it is the construction that cross-validation evaluated when selecting</w:t>
      </w:r>
      <w:r>
        <w:t xml:space="preserve"> </w:t>
      </w:r>
      <m:oMath>
        <m:sSub>
          <m:e>
            <m:r>
              <m:t>n</m:t>
            </m:r>
          </m:e>
          <m:sub>
            <m:r>
              <m:rPr>
                <m:nor/>
                <m:sty m:val="p"/>
              </m:rPr>
              <m:t>top</m:t>
            </m:r>
          </m:sub>
        </m:sSub>
      </m:oMath>
      <w:r>
        <w:t xml:space="preserve">. Genes outside the union still shape the factorization but do not enter the linear predictor. Other analyses use explicitly identified scoring constructions, namely full-support scores for the training-data contribution analysis and for the frozen-axis comparator analysis, and per-program masks for the tuned supervised-comparator analysis and for the Supplementary Information analyses that identify them. Both supervised-comparator constructions, the one on the full shared support and the one on per-program masks, also refit unpenalized Cox coefficients on the training scores. Treated-cohort preprocessing and missing-gene handling are described separately below.</w:t>
      </w:r>
    </w:p>
    <w:p>
      <w:pPr>
        <w:pStyle w:val="BodyText"/>
      </w:pPr>
      <w:r>
        <w:t xml:space="preserve">Factor-level scores retain all</w:t>
      </w:r>
      <w:r>
        <w:t xml:space="preserve"> </w:t>
      </w:r>
      <m:oMath>
        <m:r>
          <m:t>k</m:t>
        </m:r>
      </m:oMath>
      <w:r>
        <w:t xml:space="preserve"> </w:t>
      </w:r>
      <w:r>
        <w:t xml:space="preserve">columns of the truncated basis,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the risk score is</w:t>
      </w:r>
      <w:r>
        <w:t xml:space="preserve"> </w:t>
      </w:r>
      <m:oMath>
        <m:r>
          <m:t>η</m:t>
        </m:r>
        <m:r>
          <m:rPr>
            <m:sty m:val="p"/>
          </m:rPr>
          <m:t>=</m:t>
        </m:r>
        <m:sSup>
          <m:e>
            <m:r>
              <m:t>Z</m:t>
            </m:r>
          </m:e>
          <m:sup>
            <m:r>
              <m:rPr>
                <m:sty m:val="p"/>
              </m:rPr>
              <m:t>⊤</m:t>
            </m:r>
          </m:sup>
        </m:sSup>
        <m:r>
          <m:t>β</m:t>
        </m:r>
      </m:oMath>
      <w:r>
        <w:t xml:space="preserve">.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which changes the resulting scalar risk score only by a positive multiplicative constant. The normalization applies to the collapsed score rather than to individual columns of</w:t>
      </w:r>
      <w:r>
        <w:t xml:space="preserve"> </w:t>
      </w:r>
      <m:oMath>
        <m:r>
          <m:t>W</m:t>
        </m:r>
      </m:oMath>
      <w:r>
        <w:t xml:space="preserve">. Here, projection denotes multiplication by the fixed truncated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because truncation does not renormalize the columns, these scores are not orthogonal geometric projections. During model fitting,</w:t>
      </w:r>
      <w:r>
        <w:t xml:space="preserve"> </w:t>
      </w:r>
      <m:oMath>
        <m:r>
          <m:t>β</m:t>
        </m:r>
      </m:oMath>
      <w:r>
        <w:t xml:space="preserve"> </w:t>
      </w:r>
      <w:r>
        <w:t xml:space="preserve">was estimated from the full-support scores</w:t>
      </w:r>
      <w:r>
        <w:t xml:space="preserve"> </w:t>
      </w:r>
      <m:oMath>
        <m:sSup>
          <m:e>
            <m:r>
              <m:t>W</m:t>
            </m:r>
          </m:e>
          <m:sup>
            <m:r>
              <m:rPr>
                <m:sty m:val="p"/>
              </m:rPr>
              <m:t>⊤</m:t>
            </m:r>
          </m:sup>
        </m:sSup>
        <m:r>
          <m:t>X</m:t>
        </m:r>
      </m:oMath>
      <w:r>
        <w:t xml:space="preserve"> </w:t>
      </w:r>
      <w:r>
        <w:t xml:space="preserve">over all analyzed genes. For external scoring, the fitted</w:t>
      </w:r>
      <w:r>
        <w:t xml:space="preserve"> </w:t>
      </w:r>
      <m:oMath>
        <m:r>
          <m:t>β</m:t>
        </m:r>
      </m:oMath>
      <w:r>
        <w:t xml:space="preserve"> </w:t>
      </w:r>
      <w:r>
        <w:t xml:space="preserve">was carried forward unchanged and applied to scores computed on the union support</w:t>
      </w:r>
      <w:r>
        <w:t xml:space="preserve"> </w:t>
      </w:r>
      <m:oMath>
        <m:acc>
          <m:accPr>
            <m:chr m:val="̃"/>
          </m:accPr>
          <m:e>
            <m:r>
              <m:t>W</m:t>
            </m:r>
          </m:e>
        </m:acc>
      </m:oMath>
      <w:r>
        <w:t xml:space="preserve">;</w:t>
      </w:r>
      <w:r>
        <w:t xml:space="preserve"> </w:t>
      </w:r>
      <m:oMath>
        <m:r>
          <m:t>β</m:t>
        </m:r>
      </m:oMath>
      <w:r>
        <w:t xml:space="preserve"> </w:t>
      </w:r>
      <w:r>
        <w:t xml:space="preserve">was not refit after truncation. The elastic-net penalty set the D2 coefficient to exactly zero, so the frozen risk score is a weighted combination of D1 and D3.</w:t>
      </w:r>
    </w:p>
    <w:bookmarkEnd w:id="48"/>
    <w:bookmarkStart w:id="49" w:name="unsupervised-and-supervised-comparators"/>
    <w:p>
      <w:pPr>
        <w:pStyle w:val="Heading2"/>
      </w:pPr>
      <w:r>
        <w:t xml:space="preserve">Unsupervised and supervised comparators</w:t>
      </w:r>
    </w:p>
    <w:p>
      <w:pPr>
        <w:pStyle w:val="FirstParagraph"/>
      </w:pPr>
      <w:r>
        <w:t xml:space="preserve">The matched-rank comparator shown in the figure is Lee multiplicative NMF (</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 thirty with the lowest reconstruction residual, followed by a post hoc Cox fit on its factor scores), which does not receive DeSurv’s consensus initialization or hyperparameter tuning. We therefore also fit a matched-budget unsupervised control, an unsupervised factorization control with outcome-based hyperparameter tuning. At</w:t>
      </w:r>
      <w:r>
        <w:t xml:space="preserve"> </w:t>
      </w:r>
      <m:oMath>
        <m:r>
          <m:t>α</m:t>
        </m:r>
        <m:r>
          <m:rPr>
            <m:sty m:val="p"/>
          </m:rPr>
          <m:t>=</m:t>
        </m:r>
        <m:r>
          <m:t>0</m:t>
        </m:r>
      </m:oMath>
      <w:r>
        <w:t xml:space="preserve"> </w:t>
      </w:r>
      <w:r>
        <w:t xml:space="preserve">survival does not enter the factorization objective, but cross-validated survival performance still tunes the remaining hyperparameters and</w:t>
      </w:r>
      <w:r>
        <w:t xml:space="preserve"> </w:t>
      </w:r>
      <m:oMath>
        <m:sSub>
          <m:e>
            <m:r>
              <m:t>n</m:t>
            </m:r>
          </m:e>
          <m:sub>
            <m:r>
              <m:rPr>
                <m:nor/>
                <m:sty m:val="p"/>
              </m:rPr>
              <m:t>top</m:t>
            </m:r>
          </m:sub>
        </m:sSub>
      </m:oMath>
      <w:r>
        <w:t xml:space="preserve">.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matched to the supervised search on optimizer, search budget, gene filter, cross-validation folds, consensus procedure and stopping settings. The selected model was then fit by the same 100-restart consensus procedure. This control isolates removal of survival supervision at the pipeline level, with the remaining hyperparameters re-optimized rather than held numerically fixed. A second, rank-optimized control let Bayesian optimization choose the rank at</w:t>
      </w:r>
      <w:r>
        <w:t xml:space="preserve"> </w:t>
      </w:r>
      <m:oMath>
        <m:r>
          <m:t>α</m:t>
        </m:r>
        <m:r>
          <m:rPr>
            <m:sty m:val="p"/>
          </m:rPr>
          <m:t>=</m:t>
        </m:r>
        <m:r>
          <m:t>0</m:t>
        </m:r>
      </m:oMath>
      <w:r>
        <w:t xml:space="preserve"> </w:t>
      </w:r>
      <w:r>
        <w:t xml:space="preserve">as well, and the same one-standard-error rule applied to those results selected</w:t>
      </w:r>
      <w:r>
        <w:t xml:space="preserve"> </w:t>
      </w:r>
      <m:oMath>
        <m:r>
          <m:t>k</m:t>
        </m:r>
        <m:r>
          <m:rPr>
            <m:sty m:val="p"/>
          </m:rPr>
          <m:t>=</m:t>
        </m:r>
        <m:r>
          <m:t>7</m:t>
        </m:r>
      </m:oMath>
      <w:r>
        <w:t xml:space="preserve"> </w:t>
      </w:r>
      <w:r>
        <w:t xml:space="preserve">(Supplementary Information, Factor structure of the rank-optimized unsupervised control).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All three controls are reported in Supplementary Information, Matched-budget unsupervised control at the same rank.</w:t>
      </w:r>
    </w:p>
    <w:p>
      <w:pPr>
        <w:pStyle w:val="BodyText"/>
      </w:pPr>
      <w:r>
        <w:t xml:space="preserve">The primary factorization comparison used a common number of top genes per program when constructing each model’s scoring union. Total union size can still differ with rank and overlap among programs. Both unsupervised controls were therefore scored externally at the supervised model’s</w:t>
      </w:r>
      <w:r>
        <w:t xml:space="preserve"> </w:t>
      </w:r>
      <m:oMath>
        <m:sSub>
          <m:e>
            <m:r>
              <m:t>n</m:t>
            </m:r>
          </m:e>
          <m:sub>
            <m:r>
              <m:rPr>
                <m:nor/>
                <m:sty m:val="p"/>
              </m:rPr>
              <m:t>top</m:t>
            </m:r>
          </m:sub>
        </m:sSub>
        <m:r>
          <m:rPr>
            <m:sty m:val="p"/>
          </m:rPr>
          <m:t>=</m:t>
        </m:r>
        <m:r>
          <m:t>270</m:t>
        </m:r>
      </m:oMath>
      <w:r>
        <w:t xml:space="preserve"> </w:t>
      </w:r>
      <w:r>
        <w:t xml:space="preserve">rather than at their own tuning-selected values, which were 299 for the matched-rank control and 187 for the rank-optimized control. Scoring the matched-rank control at its own selected value instead changes no per-dataset C-index by more than 0.007 (Supplementary Information, Matched-budget unsupervised control at the same rank).</w:t>
      </w:r>
    </w:p>
    <w:p>
      <w:pPr>
        <w:pStyle w:val="BodyText"/>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12 resampling seeds, sparse Cox selected a median of 14 genes, range 9–33, and supervised principal components 39, range 5–222), and both were tuned by their standard method-specific cross-validation rather than a budget matched to DeSurv. For this comparison DeSurv’s program scores used per-program top-</w:t>
      </w:r>
      <m:oMath>
        <m:sSub>
          <m:e>
            <m:r>
              <m:t>n</m:t>
            </m:r>
          </m:e>
          <m:sub>
            <m:r>
              <m:rPr>
                <m:nor/>
                <m:sty m:val="p"/>
              </m:rPr>
              <m:t>top</m:t>
            </m:r>
          </m:sub>
        </m:sSub>
      </m:oMath>
      <w:r>
        <w:t xml:space="preserve"> </w:t>
      </w:r>
      <w:r>
        <w:t xml:space="preserve">masks rather than the union support, and the Cox weights combining the three program scores were re-estimated without penalty on the training scores, so that all three methods enter as training-fitted linear scores. The comparison evaluates method-specific representations and predictive performance, without matching tuning budgets. A separate exploratory comparison used restricted supervised principal components, Cox partial least squares and a single sparse Cox fit (Supplementary Information, The D1 axis is not specific to DeSurv).</w:t>
      </w:r>
    </w:p>
    <w:p>
      <w:pPr>
        <w:pStyle w:val="BodyText"/>
      </w:pPr>
      <w:r>
        <w:t xml:space="preserve">No matched-budget control was run for these supervised comparators, as was done for the unsupervised arm. Correspondence between each supervised risk score and the DeSurv programs D1–D3 was quantified in the training cohort using absolute Pearson correlation. Additional analyses of selected-gene enrichment and compartment attribution are described in the Supplementary Information.</w:t>
      </w:r>
    </w:p>
    <w:bookmarkEnd w:id="49"/>
    <w:bookmarkStart w:id="50" w:name="Xd3d239ff07d74f694934d7759f77f1b836e1757"/>
    <w:p>
      <w:pPr>
        <w:pStyle w:val="Heading2"/>
      </w:pPr>
      <w:r>
        <w:t xml:space="preserve">Biological correspondence and factor contributions</w:t>
      </w:r>
    </w:p>
    <w:p>
      <w:pPr>
        <w:pStyle w:val="FirstParagraph"/>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Two per-factor contribution measures are reported alongside this correspondence. Reconstruction shares are exact Shapley values over subsets of the fixed rank-one factor contributions, computed without refitting the factorization, and each subset’s value is its reconstruction gain relative to the zero-factor reconstruction; the shares are normalized to sum to 100%. The separately reported centered</w:t>
      </w:r>
      <w:r>
        <w:t xml:space="preserve"> </w:t>
      </w:r>
      <m:oMath>
        <m:sSup>
          <m:e>
            <m:r>
              <m:t>R</m:t>
            </m:r>
          </m:e>
          <m:sup>
            <m:r>
              <m:t>2</m:t>
            </m:r>
          </m:sup>
        </m:sSup>
      </m:oMath>
      <w:r>
        <w:t xml:space="preserve"> </w:t>
      </w:r>
      <w:r>
        <w:t xml:space="preserve">instead takes the grand mean of the analysis matrix as its reference. Reconstruction gain and centered</w:t>
      </w:r>
      <w:r>
        <w:t xml:space="preserve"> </w:t>
      </w:r>
      <m:oMath>
        <m:sSup>
          <m:e>
            <m:r>
              <m:t>R</m:t>
            </m:r>
          </m:e>
          <m:sup>
            <m:r>
              <m:t>2</m:t>
            </m:r>
          </m:sup>
        </m:sSup>
      </m:oMath>
      <w:r>
        <w:t xml:space="preserve"> </w:t>
      </w:r>
      <w:r>
        <w:t xml:space="preserve">describe different aspects of reconstruction and should not be interpreted as interchangeable measures. Survival contributions are the loss in maximized unpenalized Cox partial log-likelihood between a model on all factor scores and a model refitted after omitting one factor, computed from full-support training scores; these conditional increments are nonadditive and are not changes in the trained penalized DeSurv predictor. Because the programs were estimated from the same training outcomes, both measures are descriptive rather than independent tests of prognosis (Supplementary Information, Reconstruction and Survival Contribution per Factor).</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50"/>
    <w:bookmarkStart w:id="51" w:name="Xc6cdaaedd08fffd54565f906bd3987bb8958945"/>
    <w:p>
      <w:pPr>
        <w:pStyle w:val="Heading2"/>
      </w:pPr>
      <w:r>
        <w:t xml:space="preserve">External validation and survival analysis</w:t>
      </w:r>
    </w:p>
    <w:p>
      <w:pPr>
        <w:pStyle w:val="FirstParagraph"/>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Analyses combining validation datasets represented each patient once and used Cox models stratified by dataset, so that each dataset carries its own baseline hazard. PurIST and DeCAF calls entered only as fixed adjustment covariates and were never inputs to the factorization or to tuning. For a fixed fitted predictor and scoring support, the manuscript uses the following reporting scalings. Primary risk-score hazard ratios, comprising the headline estimate, the covariate-adjusted estimates and the leave-one-dataset-out estimates, are expressed per standard deviation of the linear predictor over the pooled de-duplicated validation set. The per-factor forest estimates and the D1 classifier-adjustment analysis instead standardize each score within validation dataset, whereas the between-cohort slope analysis standardizes within patient cohort, so hazard ratios under these scalings are not interchangeable. Within a given cohort or dataset, centering and positive rescaling of a fixed score leave its C-index unchanged. Discrimination was summarized as the event-weighted mean of the four cohort C-indices, so no concordance pair spans two cohorts, with percentile confidence intervals from 1,000 bootstrap resamples of patients drawn within cohort (seed 1); resampling preserves cohort membership. Cohort-specific slopes were compared with a common slope by likelihood-ratio test, and proportional hazards were assessed from scaled Schoenfeld residuals. Because the association attenuated over follow-up, the pooled hazard ratio is a time-averaged summary.</w:t>
      </w:r>
    </w:p>
    <w:p>
      <w:pPr>
        <w:pStyle w:val="BodyText"/>
      </w:pPr>
      <w:r>
        <w:t xml:space="preserve">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computed by recalibrating only the frozen score’s scalar slope and baseline hazard within each validation dataset and integrating to the 80th percentile of that dataset’s event times. These are apparent, in-sample recalibrated values rather than out-of-sample prediction error, and because each validation dataset is integrated over its own horizon the pooled figure is a descriptive event-weighted summary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DeSurv scores new samples by multiplication with the fixed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without using their survival outcomes.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a new sample needs loadings of its own. SurvNMF documents such a step, obtaining them for held-out samples by a constrained least-squares fit; that step holds the gene basis fixed and needs neither relearning of the basis nor validation survival outcomes, so it is an additional fitting step at transfer rather than a leak. CoxNMF’s published description does not specify a new-sample scoring procedure (Supplementary Table [tab:architecture]). Sample-side supervision can nonetheless influence the basis indirectly, through the alternating reconstruction updates. External survival outcomes were used to estimate associations and evaluate performance, including the separately described recalibration analysis, rather than to learn or tune the primary programs or risk score. Further training and validation details appear in Supplementary Information, Part I.</w:t>
      </w:r>
    </w:p>
    <w:bookmarkEnd w:id="51"/>
    <w:bookmarkStart w:id="52"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background that is excluded from the survival-generating gene set, a null scenario with no survival signal, and a mixed scenario where prognostic and variance-dominant signals partially overlap.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signal excluded from the survival-generating gene set is the shared background block, which loads on every factor, so the factor-specific marker genes that carry survival contribute less of the total expression variation than that block. Because the background genes load on the same latent activities as the markers, their expression remains correlated with the linear predictor;</w:t>
      </w:r>
      <w:r>
        <w:t xml:space="preserve"> </w:t>
      </w:r>
      <w:r>
        <w:t xml:space="preserve">“</w:t>
      </w:r>
      <w:r>
        <w:t xml:space="preserve">background</w:t>
      </w:r>
      <w:r>
        <w:t xml:space="preserve">”</w:t>
      </w:r>
      <w:r>
        <w:t xml:space="preserve"> </w:t>
      </w:r>
      <w:r>
        <w:t xml:space="preserve">here denotes exclusion from the survival-generating gene set, not statistical independence of outcome. The expression matrix actually analyzed was not the noise-free product</w:t>
      </w:r>
      <w:r>
        <w:t xml:space="preserve"> </w:t>
      </w:r>
      <m:oMath>
        <m:r>
          <m:t>W</m:t>
        </m:r>
        <m:r>
          <m:t>H</m:t>
        </m:r>
      </m:oMath>
      <w:r>
        <w:t xml:space="preserve">: a per-gene baseline drawn as</w:t>
      </w:r>
      <w:r>
        <w:t xml:space="preserve"> </w:t>
      </w:r>
      <m:oMath>
        <m:r>
          <m:rPr>
            <m:sty m:val="p"/>
            <m:scr m:val="script"/>
          </m:rPr>
          <m:t>N</m:t>
        </m:r>
        <m:d>
          <m:dPr>
            <m:begChr m:val="("/>
            <m:endChr m:val=")"/>
            <m:sepChr m:val=""/>
            <m:grow/>
          </m:dPr>
          <m:e>
            <m:r>
              <m:t>3</m:t>
            </m:r>
            <m:r>
              <m:rPr>
                <m:sty m:val="p"/>
              </m:rPr>
              <m:t>,</m:t>
            </m:r>
            <m:r>
              <m:t>1</m:t>
            </m:r>
          </m:e>
        </m:d>
      </m:oMath>
      <w:r>
        <w:t xml:space="preserve"> </w:t>
      </w:r>
      <w:r>
        <w:t xml:space="preserve">was added to every row, independent Gaussian noise with standard deviation</w:t>
      </w:r>
      <w:r>
        <w:t xml:space="preserve"> </w:t>
      </w:r>
      <m:oMath>
        <m:r>
          <m:t>0.01</m:t>
        </m:r>
      </m:oMath>
      <w:r>
        <w:t xml:space="preserve"> </w:t>
      </w:r>
      <w:r>
        <w:t xml:space="preserve">was added to every entry, and negative values were clipped to zero.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which otherwise used the same baseline hazard parameter and censoring rate as the prognostic scenario. The mixed scenario differs from the prognostic scenario only in its survival gene set, 300 genes per column of the survival-generating weight matrix</w:t>
      </w:r>
      <w:r>
        <w:t xml:space="preserve"> </w:t>
      </w:r>
      <m:oMath>
        <m:sSup>
          <m:e>
            <m:r>
              <m:t>W</m:t>
            </m:r>
          </m:e>
          <m:sup>
            <m:r>
              <m:rPr>
                <m:sty m:val="p"/>
              </m:rPr>
              <m:t>*</m:t>
            </m:r>
          </m:sup>
        </m:sSup>
      </m:oMath>
      <w:r>
        <w:t xml:space="preserve">, comprising the 150 markers of that factor and 150 randomly sampled background genes, which creates partial overlap between the prognostic signal and the variance-dominant background.</w:t>
      </w:r>
    </w:p>
    <w:p>
      <w:pPr>
        <w:pStyle w:val="BodyText"/>
      </w:pPr>
      <w:r>
        <w:t xml:space="preserve">Survival times were generated from an exponential distribution, from the noise-free expression only. Let</w:t>
      </w:r>
      <w:r>
        <w:t xml:space="preserve"> </w:t>
      </w:r>
      <m:oMath>
        <m:sSub>
          <m:e>
            <m:r>
              <m:t>X</m:t>
            </m:r>
          </m:e>
          <m:sub>
            <m:r>
              <m:t>0</m:t>
            </m:r>
          </m:sub>
        </m:sSub>
        <m:r>
          <m:rPr>
            <m:sty m:val="p"/>
          </m:rPr>
          <m:t>=</m:t>
        </m:r>
        <m:r>
          <m:t>W</m:t>
        </m:r>
        <m:r>
          <m:t>H</m:t>
        </m:r>
      </m:oMath>
      <w:r>
        <w:t xml:space="preserve"> </w:t>
      </w:r>
      <w:r>
        <w:t xml:space="preserve">denote that noise-free matrix and</w:t>
      </w:r>
      <w:r>
        <w:t xml:space="preserve"> </w:t>
      </w:r>
      <m:oMath>
        <m:sSup>
          <m:e>
            <m:r>
              <m:t>W</m:t>
            </m:r>
          </m:e>
          <m:sup>
            <m:r>
              <m:rPr>
                <m:sty m:val="p"/>
              </m:rPr>
              <m:t>*</m:t>
            </m:r>
          </m:sup>
        </m:sSup>
      </m:oMath>
      <w:r>
        <w:t xml:space="preserve"> </w:t>
      </w:r>
      <w:r>
        <w:t xml:space="preserve">the survival-generating weight matrix, a masked copy of the column-normalized</w:t>
      </w:r>
      <w:r>
        <w:t xml:space="preserve"> </w:t>
      </w:r>
      <m:oMath>
        <m:r>
          <m:t>W</m:t>
        </m:r>
      </m:oMath>
      <w:r>
        <w:t xml:space="preserve"> </w:t>
      </w:r>
      <w:r>
        <w:t xml:space="preserve">that retains, in each column, only the loadings of that factor’s survival-generating genes and is zero elsewhere: the 150 markers of that factor in the prognostic and null scenarios, and 150 markers plus 150 background genes in the mixed scenario. The raw generating scores were</w:t>
      </w:r>
      <w:r>
        <w:t xml:space="preserve"> </w:t>
      </w:r>
      <m:oMath>
        <m:sSub>
          <m:e>
            <m:r>
              <m:t>Z</m:t>
            </m:r>
          </m:e>
          <m:sub>
            <m:r>
              <m:rPr>
                <m:nor/>
                <m:sty m:val="p"/>
              </m:rPr>
              <m:t>raw</m:t>
            </m:r>
          </m:sub>
        </m:sSub>
        <m:r>
          <m:rPr>
            <m:sty m:val="p"/>
          </m:rPr>
          <m:t>=</m:t>
        </m:r>
        <m:sSubSup>
          <m:e>
            <m:r>
              <m:t>X</m:t>
            </m:r>
          </m:e>
          <m:sub>
            <m:r>
              <m:t>0</m:t>
            </m:r>
          </m:sub>
          <m:sup>
            <m:r>
              <m:rPr>
                <m:sty m:val="p"/>
              </m:rPr>
              <m:t>⊤</m:t>
            </m:r>
          </m:sup>
        </m:sSubSup>
        <m:sSup>
          <m:e>
            <m:r>
              <m:t>W</m:t>
            </m:r>
          </m:e>
          <m:sup>
            <m:r>
              <m:rPr>
                <m:sty m:val="p"/>
              </m:rPr>
              <m:t>*</m:t>
            </m:r>
          </m:sup>
        </m:sSup>
        <m:r>
          <m:rPr>
            <m:sty m:val="p"/>
          </m:rPr>
          <m:t>∈</m:t>
        </m:r>
        <m:sSup>
          <m:e>
            <m:r>
              <m:rPr>
                <m:sty m:val="p"/>
                <m:scr m:val="double-struck"/>
              </m:rPr>
              <m:t>R</m:t>
            </m:r>
          </m:e>
          <m:sup>
            <m:r>
              <m:t>n</m:t>
            </m:r>
            <m:r>
              <m:rPr>
                <m:sty m:val="p"/>
              </m:rPr>
              <m:t>×</m:t>
            </m:r>
            <m:r>
              <m:t>k</m:t>
            </m:r>
          </m:sup>
        </m:sSup>
      </m:oMath>
      <w:r>
        <w:t xml:space="preserve">, written here as the transpose of the model-section convention</w:t>
      </w:r>
      <w:r>
        <w:t xml:space="preserve"> </w:t>
      </w:r>
      <m:oMath>
        <m:r>
          <m:t>Z</m:t>
        </m:r>
        <m:r>
          <m:rPr>
            <m:sty m:val="p"/>
          </m:rPr>
          <m:t>=</m:t>
        </m:r>
        <m:sSup>
          <m:e>
            <m:r>
              <m:t>W</m:t>
            </m:r>
          </m:e>
          <m:sup>
            <m:r>
              <m:rPr>
                <m:sty m:val="p"/>
              </m:rPr>
              <m:t>⊤</m:t>
            </m:r>
          </m:sup>
        </m:sSup>
        <m:r>
          <m:t>X</m:t>
        </m:r>
      </m:oMath>
      <w:r>
        <w:t xml:space="preserve"> </w:t>
      </w:r>
      <w:r>
        <w:t xml:space="preserve">so that rows index samples, and</w:t>
      </w:r>
      <w:r>
        <w:t xml:space="preserve"> </w:t>
      </w:r>
      <m:oMath>
        <m:sSub>
          <m:e>
            <m:r>
              <m:t>Z</m:t>
            </m:r>
          </m:e>
          <m:sub>
            <m:r>
              <m:rPr>
                <m:nor/>
                <m:sty m:val="p"/>
              </m:rPr>
              <m:t>true</m:t>
            </m:r>
          </m:sub>
        </m:sSub>
      </m:oMath>
      <w:r>
        <w:t xml:space="preserve"> </w:t>
      </w:r>
      <w:r>
        <w:t xml:space="preserve">denotes their column-wise standardization across all</w:t>
      </w:r>
      <w:r>
        <w:t xml:space="preserve"> </w:t>
      </w:r>
      <m:oMath>
        <m:r>
          <m:t>n</m:t>
        </m:r>
        <m:r>
          <m:rPr>
            <m:sty m:val="p"/>
          </m:rPr>
          <m:t>=</m:t>
        </m:r>
        <m:r>
          <m:t>200</m:t>
        </m:r>
      </m:oMath>
      <w:r>
        <w:t xml:space="preserve"> </w:t>
      </w:r>
      <w:r>
        <w:t xml:space="preserve">samples, applied before the 70/30 train/test split; the linear predictor was</w:t>
      </w:r>
      <w:r>
        <w:t xml:space="preserve"> </w:t>
      </w:r>
      <m:oMath>
        <m:r>
          <m:t>η</m:t>
        </m:r>
        <m:r>
          <m:rPr>
            <m:sty m:val="p"/>
          </m:rPr>
          <m:t>=</m:t>
        </m:r>
        <m:sSub>
          <m:e>
            <m:r>
              <m:t>Z</m:t>
            </m:r>
          </m:e>
          <m:sub>
            <m:r>
              <m:rPr>
                <m:nor/>
                <m:sty m:val="p"/>
              </m:rPr>
              <m:t>true</m:t>
            </m:r>
          </m:sub>
        </m:sSub>
        <m:r>
          <m:t>β</m:t>
        </m:r>
      </m:oMath>
      <w:r>
        <w:t xml:space="preserve">, so with</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only factor 1 contributes;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DeSurv incorporated survival during factorization, whereas its unsupervised limit used a post hoc Cox model on projected scores; both pipelines were tuned by Bayesian optimization using cross-validated concordance. Performance was summarized across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52"/>
    <w:bookmarkStart w:id="53" w:name="pdac-datasets-and-preprocessing"/>
    <w:p>
      <w:pPr>
        <w:pStyle w:val="Heading2"/>
      </w:pPr>
      <w:r>
        <w:t xml:space="preserve">PDAC datasets and preprocessing</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PDAC Datasets;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in descending order of mean expression and of variance, and the 3,000 genes with the smallest sum of the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The training Cox objective was fit to the pooled TCGA and CPTAC samples without a cohort term; cross-validation folds were constructed within cohort with stratification by event status. Both training cohorts are RNA-seq, were rank transformed within sample, and had similar event rates (52% in TCGA-PAAD and 50% in CPTAC; Supplementary Table [tab:cohorts]); all validation analyses stratify by dataset, and a descriptive check against cohort-driven association is given in the Supplementary Information (Cohort handling in the training objective). More details about the datasets can be found in Supplementary Information, PDAC Datasets.</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53"/>
    <w:bookmarkStart w:id="54"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cohort-specific estimates and complete-case sample sizes are reported there.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54"/>
    <w:bookmarkStart w:id="55"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Projection used the frozen union support without any retraining: expression was rank transformed within sample over the genes each cohort shares with the trained gene-program namespace, support genes absent from a cohort were omitted from that cohort’s projection rather than imputed (805 of the support genes were measured in the COMPASS data), and the resulting program scores were standardized within each treated cohort before analysis.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55"/>
    <w:bookmarkStart w:id="56"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6"/>
    <w:bookmarkEnd w:id="57"/>
    <w:bookmarkStart w:id="58"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39</w:t>
        </w:r>
      </w:hyperlink>
      <w:r>
        <w:t xml:space="preserve"> </w:t>
      </w:r>
      <w:r>
        <w:t xml:space="preserve">and CPTAC-3</w:t>
      </w:r>
      <w:hyperlink w:anchor="ref-data_cptac3">
        <w:r>
          <w:rPr>
            <w:rStyle w:val="Hyperlink"/>
            <w:vertAlign w:val="superscript"/>
          </w:rPr>
          <w:t xml:space="preserve">40</w:t>
        </w:r>
      </w:hyperlink>
      <w:r>
        <w:t xml:space="preserve">. Validation cohorts were obtained from ArrayExpress (Dijk, E-MTAB-6830</w:t>
      </w:r>
      <w:hyperlink w:anchor="ref-data_dijk_emtab6830">
        <w:r>
          <w:rPr>
            <w:rStyle w:val="Hyperlink"/>
            <w:vertAlign w:val="superscript"/>
          </w:rPr>
          <w:t xml:space="preserve">41</w:t>
        </w:r>
      </w:hyperlink>
      <w:r>
        <w:t xml:space="preserve">; Puleo, E-MTAB-6134</w:t>
      </w:r>
      <w:hyperlink w:anchor="ref-data_puleo_emtab6134">
        <w:r>
          <w:rPr>
            <w:rStyle w:val="Hyperlink"/>
            <w:vertAlign w:val="superscript"/>
          </w:rPr>
          <w:t xml:space="preserve">42</w:t>
        </w:r>
      </w:hyperlink>
      <w:r>
        <w:t xml:space="preserve">), the Gene Expression Omnibus (GEO; Moffitt, GSE71729</w:t>
      </w:r>
      <w:hyperlink w:anchor="ref-data_moffitt_gse71729">
        <w:r>
          <w:rPr>
            <w:rStyle w:val="Hyperlink"/>
            <w:vertAlign w:val="superscript"/>
          </w:rPr>
          <w:t xml:space="preserve">43</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44</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8"/>
    <w:bookmarkStart w:id="61"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38</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59">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60">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61"/>
    <w:bookmarkStart w:id="62"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62"/>
    <w:bookmarkStart w:id="63"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63"/>
    <w:bookmarkStart w:id="64"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64"/>
    <w:bookmarkStart w:id="149" w:name="references"/>
    <w:p>
      <w:pPr>
        <w:pStyle w:val="Heading1"/>
      </w:pPr>
      <w:r>
        <w:t xml:space="preserve">References</w:t>
      </w:r>
    </w:p>
    <w:bookmarkStart w:id="148" w:name="refs"/>
    <w:bookmarkStart w:id="66" w:name="ref-siegel2026cancer"/>
    <w:p>
      <w:pPr>
        <w:pStyle w:val="Bibliography"/>
      </w:pPr>
      <w:r>
        <w:t xml:space="preserve">1.</w:t>
      </w:r>
      <w:r>
        <w:t xml:space="preserve"> </w:t>
      </w:r>
      <w:r>
        <w:t xml:space="preserve">	</w:t>
      </w:r>
      <w:r>
        <w:t xml:space="preserve">Siegel, R. L., Kratzer, T. B., Wagle, N. S., Sung, H. &amp; Jemal, A.</w:t>
      </w:r>
      <w:r>
        <w:t xml:space="preserve"> </w:t>
      </w:r>
      <w:hyperlink r:id="rId65">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6"/>
    <w:bookmarkStart w:id="68"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7">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8"/>
    <w:bookmarkStart w:id="70"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69">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70"/>
    <w:bookmarkStart w:id="72"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71">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72"/>
    <w:bookmarkStart w:id="74"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73">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74"/>
    <w:bookmarkStart w:id="76"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75">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6"/>
    <w:bookmarkStart w:id="78"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7">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8"/>
    <w:bookmarkStart w:id="80"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79">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80"/>
    <w:bookmarkStart w:id="82"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81">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82"/>
    <w:bookmarkStart w:id="84"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83">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84"/>
    <w:bookmarkStart w:id="86" w:name="ref-nguyen2024fourteen"/>
    <w:p>
      <w:pPr>
        <w:pStyle w:val="Bibliography"/>
      </w:pPr>
      <w:r>
        <w:t xml:space="preserve">11.</w:t>
      </w:r>
      <w:r>
        <w:t xml:space="preserve"> </w:t>
      </w:r>
      <w:r>
        <w:t xml:space="preserve">	</w:t>
      </w:r>
      <w:r>
        <w:t xml:space="preserve">Nguyen, H., Nguyen, H., Tran, D., Draghici, S. &amp; Nguyen, T.</w:t>
      </w:r>
      <w:r>
        <w:t xml:space="preserve"> </w:t>
      </w:r>
      <w:hyperlink r:id="rId85">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6"/>
    <w:bookmarkStart w:id="88" w:name="ref-lee1999learning"/>
    <w:p>
      <w:pPr>
        <w:pStyle w:val="Bibliography"/>
      </w:pPr>
      <w:r>
        <w:t xml:space="preserve">12.</w:t>
      </w:r>
      <w:r>
        <w:t xml:space="preserve"> </w:t>
      </w:r>
      <w:r>
        <w:t xml:space="preserve">	</w:t>
      </w:r>
      <w:r>
        <w:t xml:space="preserve">Lee, D. D. &amp; Seung, H. S.</w:t>
      </w:r>
      <w:r>
        <w:t xml:space="preserve"> </w:t>
      </w:r>
      <w:hyperlink r:id="rId87">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8"/>
    <w:bookmarkStart w:id="90" w:name="ref-brunet2004metagenes"/>
    <w:p>
      <w:pPr>
        <w:pStyle w:val="Bibliography"/>
      </w:pPr>
      <w:r>
        <w:t xml:space="preserve">13.</w:t>
      </w:r>
      <w:r>
        <w:t xml:space="preserve"> </w:t>
      </w:r>
      <w:r>
        <w:t xml:space="preserve">	</w:t>
      </w:r>
      <w:r>
        <w:t xml:space="preserve">Brunet, J.-P., Tamayo, P., Golub, T. R. &amp; Mesirov, J. P.</w:t>
      </w:r>
      <w:r>
        <w:t xml:space="preserve"> </w:t>
      </w:r>
      <w:hyperlink r:id="rId89">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0"/>
    <w:bookmarkStart w:id="92" w:name="ref-peng2019novo"/>
    <w:p>
      <w:pPr>
        <w:pStyle w:val="Bibliography"/>
      </w:pPr>
      <w:r>
        <w:t xml:space="preserve">14.</w:t>
      </w:r>
      <w:r>
        <w:t xml:space="preserve"> </w:t>
      </w:r>
      <w:r>
        <w:t xml:space="preserve">	</w:t>
      </w:r>
      <w:r>
        <w:t xml:space="preserve">Peng, X. L., Moffitt, R. A., Torphy, R. J., Volmar, K. E. &amp; Yeh, J. J.</w:t>
      </w:r>
      <w:r>
        <w:t xml:space="preserve"> </w:t>
      </w:r>
      <w:hyperlink r:id="rId91">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92"/>
    <w:bookmarkStart w:id="94" w:name="ref-bair2004semi"/>
    <w:p>
      <w:pPr>
        <w:pStyle w:val="Bibliography"/>
      </w:pPr>
      <w:r>
        <w:t xml:space="preserve">15.</w:t>
      </w:r>
      <w:r>
        <w:t xml:space="preserve"> </w:t>
      </w:r>
      <w:r>
        <w:t xml:space="preserve">	</w:t>
      </w:r>
      <w:r>
        <w:t xml:space="preserve">Bair, E. &amp; Tibshirani, R.</w:t>
      </w:r>
      <w:r>
        <w:t xml:space="preserve"> </w:t>
      </w:r>
      <w:hyperlink r:id="rId93">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94"/>
    <w:bookmarkStart w:id="96" w:name="ref-cook2007fisher"/>
    <w:p>
      <w:pPr>
        <w:pStyle w:val="Bibliography"/>
      </w:pPr>
      <w:r>
        <w:t xml:space="preserve">16.</w:t>
      </w:r>
      <w:r>
        <w:t xml:space="preserve"> </w:t>
      </w:r>
      <w:r>
        <w:t xml:space="preserve">	</w:t>
      </w:r>
      <w:r>
        <w:t xml:space="preserve">Cook, R. D.</w:t>
      </w:r>
      <w:r>
        <w:t xml:space="preserve"> </w:t>
      </w:r>
      <w:hyperlink r:id="rId95">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6"/>
    <w:bookmarkStart w:id="98"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7">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8"/>
    <w:bookmarkStart w:id="100" w:name="ref-aran2015systematic"/>
    <w:p>
      <w:pPr>
        <w:pStyle w:val="Bibliography"/>
      </w:pPr>
      <w:r>
        <w:t xml:space="preserve">18.</w:t>
      </w:r>
      <w:r>
        <w:t xml:space="preserve"> </w:t>
      </w:r>
      <w:r>
        <w:t xml:space="preserve">	</w:t>
      </w:r>
      <w:r>
        <w:t xml:space="preserve">Aran, D., Sirota, M. &amp; Butte, A. J.</w:t>
      </w:r>
      <w:r>
        <w:t xml:space="preserve"> </w:t>
      </w:r>
      <w:hyperlink r:id="rId99">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100"/>
    <w:bookmarkStart w:id="101"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101"/>
    <w:bookmarkStart w:id="103"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102">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103"/>
    <w:bookmarkStart w:id="104"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104"/>
    <w:bookmarkStart w:id="106"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105">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6"/>
    <w:bookmarkStart w:id="108"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7">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8"/>
    <w:bookmarkStart w:id="110"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09">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10"/>
    <w:bookmarkStart w:id="112"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11">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12"/>
    <w:bookmarkStart w:id="114" w:name="ref-snoek2012practical"/>
    <w:p>
      <w:pPr>
        <w:pStyle w:val="Bibliography"/>
      </w:pPr>
      <w:r>
        <w:t xml:space="preserve">26.</w:t>
      </w:r>
      <w:r>
        <w:t xml:space="preserve"> </w:t>
      </w:r>
      <w:r>
        <w:t xml:space="preserve">	</w:t>
      </w:r>
      <w:r>
        <w:t xml:space="preserve">Snoek, J., Larochelle, H. &amp; Adams, R. P.</w:t>
      </w:r>
      <w:r>
        <w:t xml:space="preserve"> </w:t>
      </w:r>
      <w:hyperlink r:id="rId113">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14"/>
    <w:bookmarkStart w:id="116"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15">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6"/>
    <w:bookmarkStart w:id="118" w:name="ref-frigyesi2008nmf"/>
    <w:p>
      <w:pPr>
        <w:pStyle w:val="Bibliography"/>
      </w:pPr>
      <w:r>
        <w:t xml:space="preserve">28.</w:t>
      </w:r>
      <w:r>
        <w:t xml:space="preserve"> </w:t>
      </w:r>
      <w:r>
        <w:t xml:space="preserve">	</w:t>
      </w:r>
      <w:r>
        <w:t xml:space="preserve">Frigyesi, A. &amp; Höglund, M.</w:t>
      </w:r>
      <w:r>
        <w:t xml:space="preserve"> </w:t>
      </w:r>
      <w:hyperlink r:id="rId117">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8"/>
    <w:bookmarkStart w:id="120"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19">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0"/>
    <w:bookmarkStart w:id="122"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21">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2"/>
    <w:bookmarkStart w:id="123"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3"/>
    <w:bookmarkStart w:id="124"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24"/>
    <w:bookmarkStart w:id="125"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25"/>
    <w:bookmarkStart w:id="127" w:name="ref-smith2020standard"/>
    <w:p>
      <w:pPr>
        <w:pStyle w:val="Bibliography"/>
      </w:pPr>
      <w:r>
        <w:t xml:space="preserve">34.</w:t>
      </w:r>
      <w:r>
        <w:t xml:space="preserve"> </w:t>
      </w:r>
      <w:r>
        <w:t xml:space="preserve">	</w:t>
      </w:r>
      <w:r>
        <w:t xml:space="preserve">Smith, A. M.</w:t>
      </w:r>
      <w:r>
        <w:t xml:space="preserve"> </w:t>
      </w:r>
      <w:r>
        <w:rPr>
          <w:iCs/>
          <w:i/>
        </w:rPr>
        <w:t xml:space="preserve">et al.</w:t>
      </w:r>
      <w:r>
        <w:t xml:space="preserve"> </w:t>
      </w:r>
      <w:hyperlink r:id="rId126">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27"/>
    <w:bookmarkStart w:id="129" w:name="ref-ogawa2020stroma"/>
    <w:p>
      <w:pPr>
        <w:pStyle w:val="Bibliography"/>
      </w:pPr>
      <w:r>
        <w:t xml:space="preserve">35.</w:t>
      </w:r>
      <w:r>
        <w:t xml:space="preserve"> </w:t>
      </w:r>
      <w:r>
        <w:t xml:space="preserve">	</w:t>
      </w:r>
      <w:r>
        <w:t xml:space="preserve">Ogawa, Y.</w:t>
      </w:r>
      <w:r>
        <w:t xml:space="preserve"> </w:t>
      </w:r>
      <w:r>
        <w:rPr>
          <w:iCs/>
          <w:i/>
        </w:rPr>
        <w:t xml:space="preserve">et al.</w:t>
      </w:r>
      <w:r>
        <w:t xml:space="preserve"> </w:t>
      </w:r>
      <w:hyperlink r:id="rId128">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9"/>
    <w:bookmarkStart w:id="131" w:name="ref-neuzillet2022periostin"/>
    <w:p>
      <w:pPr>
        <w:pStyle w:val="Bibliography"/>
      </w:pPr>
      <w:r>
        <w:t xml:space="preserve">36.</w:t>
      </w:r>
      <w:r>
        <w:t xml:space="preserve"> </w:t>
      </w:r>
      <w:r>
        <w:t xml:space="preserve">	</w:t>
      </w:r>
      <w:r>
        <w:t xml:space="preserve">Neuzillet, C.</w:t>
      </w:r>
      <w:r>
        <w:t xml:space="preserve"> </w:t>
      </w:r>
      <w:r>
        <w:rPr>
          <w:iCs/>
          <w:i/>
        </w:rPr>
        <w:t xml:space="preserve">et al.</w:t>
      </w:r>
      <w:r>
        <w:t xml:space="preserve"> </w:t>
      </w:r>
      <w:hyperlink r:id="rId130">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31"/>
    <w:bookmarkStart w:id="133" w:name="ref-lee2024tumorcaf"/>
    <w:p>
      <w:pPr>
        <w:pStyle w:val="Bibliography"/>
      </w:pPr>
      <w:r>
        <w:t xml:space="preserve">37.</w:t>
      </w:r>
      <w:r>
        <w:t xml:space="preserve"> </w:t>
      </w:r>
      <w:r>
        <w:t xml:space="preserve">	</w:t>
      </w:r>
      <w:r>
        <w:t xml:space="preserve">Lee, J. J.</w:t>
      </w:r>
      <w:r>
        <w:t xml:space="preserve"> </w:t>
      </w:r>
      <w:r>
        <w:rPr>
          <w:iCs/>
          <w:i/>
        </w:rPr>
        <w:t xml:space="preserve">et al.</w:t>
      </w:r>
      <w:r>
        <w:t xml:space="preserve"> </w:t>
      </w:r>
      <w:hyperlink r:id="rId132">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33"/>
    <w:bookmarkStart w:id="135" w:name="ref-gaujoux2010flexible"/>
    <w:p>
      <w:pPr>
        <w:pStyle w:val="Bibliography"/>
      </w:pPr>
      <w:r>
        <w:t xml:space="preserve">38.</w:t>
      </w:r>
      <w:r>
        <w:t xml:space="preserve"> </w:t>
      </w:r>
      <w:r>
        <w:t xml:space="preserve">	</w:t>
      </w:r>
      <w:r>
        <w:t xml:space="preserve">Gaujoux, R. &amp; Seoighe, C.</w:t>
      </w:r>
      <w:r>
        <w:t xml:space="preserve"> </w:t>
      </w:r>
      <w:hyperlink r:id="rId134">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5"/>
    <w:bookmarkStart w:id="137" w:name="ref-data_tcga_paad"/>
    <w:p>
      <w:pPr>
        <w:pStyle w:val="Bibliography"/>
      </w:pPr>
      <w:r>
        <w:t xml:space="preserve">39.</w:t>
      </w:r>
      <w:r>
        <w:t xml:space="preserve"> </w:t>
      </w:r>
      <w:r>
        <w:t xml:space="preserve">	</w:t>
      </w:r>
      <w:r>
        <w:t xml:space="preserve">The Cancer Genome Atlas Research Network.</w:t>
      </w:r>
      <w:r>
        <w:t xml:space="preserve"> </w:t>
      </w:r>
      <w:hyperlink r:id="rId136">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7"/>
    <w:bookmarkStart w:id="139" w:name="ref-data_cptac3"/>
    <w:p>
      <w:pPr>
        <w:pStyle w:val="Bibliography"/>
      </w:pPr>
      <w:r>
        <w:t xml:space="preserve">40.</w:t>
      </w:r>
      <w:r>
        <w:t xml:space="preserve"> </w:t>
      </w:r>
      <w:r>
        <w:t xml:space="preserve">	</w:t>
      </w:r>
      <w:r>
        <w:t xml:space="preserve">National Cancer Institute Clinical Proteomic Tumor Analysis Consortium.</w:t>
      </w:r>
      <w:r>
        <w:t xml:space="preserve"> </w:t>
      </w:r>
      <w:hyperlink r:id="rId138">
        <w:r>
          <w:rPr>
            <w:rStyle w:val="Hyperlink"/>
          </w:rPr>
          <w:t xml:space="preserve">Data from CPTAC-3 pancreatic ductal adenocarcinoma cohort</w:t>
        </w:r>
      </w:hyperlink>
      <w:r>
        <w:t xml:space="preserve">. (2019).</w:t>
      </w:r>
    </w:p>
    <w:bookmarkEnd w:id="139"/>
    <w:bookmarkStart w:id="141" w:name="ref-data_dijk_emtab6830"/>
    <w:p>
      <w:pPr>
        <w:pStyle w:val="Bibliography"/>
      </w:pPr>
      <w:r>
        <w:t xml:space="preserve">41.</w:t>
      </w:r>
      <w:r>
        <w:t xml:space="preserve"> </w:t>
      </w:r>
      <w:r>
        <w:t xml:space="preserve">	</w:t>
      </w:r>
      <w:r>
        <w:t xml:space="preserve">Dijk, F.</w:t>
      </w:r>
      <w:r>
        <w:t xml:space="preserve"> </w:t>
      </w:r>
      <w:r>
        <w:rPr>
          <w:iCs/>
          <w:i/>
        </w:rPr>
        <w:t xml:space="preserve">et al.</w:t>
      </w:r>
      <w:r>
        <w:t xml:space="preserve"> </w:t>
      </w:r>
      <w:hyperlink r:id="rId140">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1"/>
    <w:bookmarkStart w:id="143" w:name="ref-data_puleo_emtab6134"/>
    <w:p>
      <w:pPr>
        <w:pStyle w:val="Bibliography"/>
      </w:pPr>
      <w:r>
        <w:t xml:space="preserve">42.</w:t>
      </w:r>
      <w:r>
        <w:t xml:space="preserve"> </w:t>
      </w:r>
      <w:r>
        <w:t xml:space="preserve">	</w:t>
      </w:r>
      <w:r>
        <w:t xml:space="preserve">Puleo, F.</w:t>
      </w:r>
      <w:r>
        <w:t xml:space="preserve"> </w:t>
      </w:r>
      <w:r>
        <w:rPr>
          <w:iCs/>
          <w:i/>
        </w:rPr>
        <w:t xml:space="preserve">et al.</w:t>
      </w:r>
      <w:r>
        <w:t xml:space="preserve"> </w:t>
      </w:r>
      <w:hyperlink r:id="rId142">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3"/>
    <w:bookmarkStart w:id="145" w:name="ref-data_moffitt_gse71729"/>
    <w:p>
      <w:pPr>
        <w:pStyle w:val="Bibliography"/>
      </w:pPr>
      <w:r>
        <w:t xml:space="preserve">43.</w:t>
      </w:r>
      <w:r>
        <w:t xml:space="preserve"> </w:t>
      </w:r>
      <w:r>
        <w:t xml:space="preserve">	</w:t>
      </w:r>
      <w:r>
        <w:t xml:space="preserve">Moffitt, R. A.</w:t>
      </w:r>
      <w:r>
        <w:t xml:space="preserve"> </w:t>
      </w:r>
      <w:r>
        <w:rPr>
          <w:iCs/>
          <w:i/>
        </w:rPr>
        <w:t xml:space="preserve">et al.</w:t>
      </w:r>
      <w:r>
        <w:t xml:space="preserve"> </w:t>
      </w:r>
      <w:hyperlink r:id="rId144">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5"/>
    <w:bookmarkStart w:id="147" w:name="ref-data_paca_au_egas"/>
    <w:p>
      <w:pPr>
        <w:pStyle w:val="Bibliography"/>
      </w:pPr>
      <w:r>
        <w:t xml:space="preserve">44.</w:t>
      </w:r>
      <w:r>
        <w:t xml:space="preserve"> </w:t>
      </w:r>
      <w:r>
        <w:t xml:space="preserve">	</w:t>
      </w:r>
      <w:r>
        <w:t xml:space="preserve">Australian Pancreatic Cancer Genome Initiative &amp; International Cancer Genome Consortium.</w:t>
      </w:r>
      <w:r>
        <w:t xml:space="preserve"> </w:t>
      </w:r>
      <w:hyperlink r:id="rId146">
        <w:r>
          <w:rPr>
            <w:rStyle w:val="Hyperlink"/>
          </w:rPr>
          <w:t xml:space="preserve">Pancreatic cancer (PACA-AU) cohort: Array and RNA-sequencing data</w:t>
        </w:r>
      </w:hyperlink>
      <w:r>
        <w:t xml:space="preserve">. (2016).</w:t>
      </w:r>
    </w:p>
    <w:bookmarkEnd w:id="147"/>
    <w:bookmarkEnd w:id="148"/>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30" Target="https://doi.org/10.1002/path.6011" TargetMode="External" /><Relationship Type="http://schemas.openxmlformats.org/officeDocument/2006/relationships/hyperlink" Id="rId109" Target="https://doi.org/10.1016/j.ccell.2017.07.007" TargetMode="External" /><Relationship Type="http://schemas.openxmlformats.org/officeDocument/2006/relationships/hyperlink" Id="rId111" Target="https://doi.org/10.1016/j.cell.2021.08.023" TargetMode="External" /><Relationship Type="http://schemas.openxmlformats.org/officeDocument/2006/relationships/hyperlink" Id="rId73" Target="https://doi.org/10.1016/j.xcrm.2026.102611" TargetMode="External" /><Relationship Type="http://schemas.openxmlformats.org/officeDocument/2006/relationships/hyperlink" Id="rId87" Target="https://doi.org/10.1038/44565" TargetMode="External" /><Relationship Type="http://schemas.openxmlformats.org/officeDocument/2006/relationships/hyperlink" Id="rId81" Target="https://doi.org/10.1038/nature16965" TargetMode="External" /><Relationship Type="http://schemas.openxmlformats.org/officeDocument/2006/relationships/hyperlink" Id="rId99" Target="https://doi.org/10.1038/ncomms9971" TargetMode="External" /><Relationship Type="http://schemas.openxmlformats.org/officeDocument/2006/relationships/hyperlink" Id="rId69" Target="https://doi.org/10.1038/ng.3398" TargetMode="External" /><Relationship Type="http://schemas.openxmlformats.org/officeDocument/2006/relationships/hyperlink" Id="rId67" Target="https://doi.org/10.1038/nm.2344" TargetMode="External" /><Relationship Type="http://schemas.openxmlformats.org/officeDocument/2006/relationships/hyperlink" Id="rId91" Target="https://doi.org/10.1038/s41467-019-12517-7" TargetMode="External" /><Relationship Type="http://schemas.openxmlformats.org/officeDocument/2006/relationships/hyperlink" Id="rId79" Target="https://doi.org/10.1038/s41467-023-36296-4" TargetMode="External" /><Relationship Type="http://schemas.openxmlformats.org/officeDocument/2006/relationships/hyperlink" Id="rId75" Target="https://doi.org/10.1038/s41587-019-0392-8" TargetMode="External" /><Relationship Type="http://schemas.openxmlformats.org/officeDocument/2006/relationships/hyperlink" Id="rId77" Target="https://doi.org/10.1038/s41588-022-01134-8" TargetMode="External" /><Relationship Type="http://schemas.openxmlformats.org/officeDocument/2006/relationships/hyperlink" Id="rId97" Target="https://doi.org/10.1038/s42003-023-04461-6" TargetMode="External" /><Relationship Type="http://schemas.openxmlformats.org/officeDocument/2006/relationships/hyperlink" Id="rId89" Target="https://doi.org/10.1073/pnas.0308531101" TargetMode="External" /><Relationship Type="http://schemas.openxmlformats.org/officeDocument/2006/relationships/hyperlink" Id="rId119" Target="https://doi.org/10.1093/bioinformatics/btad449" TargetMode="External" /><Relationship Type="http://schemas.openxmlformats.org/officeDocument/2006/relationships/hyperlink" Id="rId85" Target="https://doi.org/10.1093/nar/gkae267" TargetMode="External" /><Relationship Type="http://schemas.openxmlformats.org/officeDocument/2006/relationships/hyperlink" Id="rId105" Target="https://doi.org/10.1093/narcan/zcac030" TargetMode="External" /><Relationship Type="http://schemas.openxmlformats.org/officeDocument/2006/relationships/hyperlink" Id="rId132" Target="https://doi.org/10.1097/SLA.0000000000006416" TargetMode="External" /><Relationship Type="http://schemas.openxmlformats.org/officeDocument/2006/relationships/hyperlink" Id="rId115" Target="https://doi.org/10.1109/JPROC.2015.2494218" TargetMode="External" /><Relationship Type="http://schemas.openxmlformats.org/officeDocument/2006/relationships/hyperlink" Id="rId121" Target="https://doi.org/10.1136/gutjnl-2018-317706" TargetMode="External" /><Relationship Type="http://schemas.openxmlformats.org/officeDocument/2006/relationships/hyperlink" Id="rId102" Target="https://doi.org/10.1155/2008/764206" TargetMode="External" /><Relationship Type="http://schemas.openxmlformats.org/officeDocument/2006/relationships/hyperlink" Id="rId83" Target="https://doi.org/10.1158/1078-0432.CCR-17-2994" TargetMode="External" /><Relationship Type="http://schemas.openxmlformats.org/officeDocument/2006/relationships/hyperlink" Id="rId71" Target="https://doi.org/10.1158/1078-0432.CCR-19-1467" TargetMode="External" /><Relationship Type="http://schemas.openxmlformats.org/officeDocument/2006/relationships/hyperlink" Id="rId128" Target="https://doi.org/10.1158/1078-0432.CCR-20-2298" TargetMode="External" /><Relationship Type="http://schemas.openxmlformats.org/officeDocument/2006/relationships/hyperlink" Id="rId134" Target="https://doi.org/10.1186/1471-2105-11-367" TargetMode="External" /><Relationship Type="http://schemas.openxmlformats.org/officeDocument/2006/relationships/hyperlink" Id="rId126" Target="https://doi.org/10.1186/s12859-020-3427-8" TargetMode="External" /><Relationship Type="http://schemas.openxmlformats.org/officeDocument/2006/relationships/hyperlink" Id="rId95" Target="https://doi.org/10.1214/088342306000000682" TargetMode="External" /><Relationship Type="http://schemas.openxmlformats.org/officeDocument/2006/relationships/hyperlink" Id="rId93" Target="https://doi.org/10.1371/journal.pbio.0020108" TargetMode="External" /><Relationship Type="http://schemas.openxmlformats.org/officeDocument/2006/relationships/hyperlink" Id="rId107" Target="https://doi.org/10.18637/jss.v039.i05" TargetMode="External" /><Relationship Type="http://schemas.openxmlformats.org/officeDocument/2006/relationships/hyperlink" Id="rId65" Target="https://doi.org/10.3322/caac.70043" TargetMode="External" /><Relationship Type="http://schemas.openxmlformats.org/officeDocument/2006/relationships/hyperlink" Id="rId117" Target="https://doi.org/10.4137/CIN.S606" TargetMode="External" /><Relationship Type="http://schemas.openxmlformats.org/officeDocument/2006/relationships/hyperlink" Id="rId59" Target="https://github.com/rashidlab/DeSurv" TargetMode="External" /><Relationship Type="http://schemas.openxmlformats.org/officeDocument/2006/relationships/hyperlink" Id="rId60" Target="https://github.com/rashidlab/DeSurv-paper" TargetMode="External" /><Relationship Type="http://schemas.openxmlformats.org/officeDocument/2006/relationships/hyperlink" Id="rId138" Target="https://portal.gdc.cancer.gov/projects/CPTAC-3" TargetMode="External" /><Relationship Type="http://schemas.openxmlformats.org/officeDocument/2006/relationships/hyperlink" Id="rId136" Target="https://portal.gdc.cancer.gov/projects/TCGA-PAAD" TargetMode="External" /><Relationship Type="http://schemas.openxmlformats.org/officeDocument/2006/relationships/hyperlink" Id="rId113" Target="https://proceedings.neurips.cc/paper/2012/hash/05311655a15b75fab86956663e1819cd-Abstract.html" TargetMode="External" /><Relationship Type="http://schemas.openxmlformats.org/officeDocument/2006/relationships/hyperlink" Id="rId142" Target="https://www.ebi.ac.uk/biostudies/arrayexpress/studies/E-MTAB-6134" TargetMode="External" /><Relationship Type="http://schemas.openxmlformats.org/officeDocument/2006/relationships/hyperlink" Id="rId140" Target="https://www.ebi.ac.uk/biostudies/arrayexpress/studies/E-MTAB-6830" TargetMode="External" /><Relationship Type="http://schemas.openxmlformats.org/officeDocument/2006/relationships/hyperlink" Id="rId146" Target="https://www.ncbi.nlm.nih.gov/geo/query/acc.cgi?acc=GSE36924" TargetMode="External" /><Relationship Type="http://schemas.openxmlformats.org/officeDocument/2006/relationships/hyperlink" Id="rId144"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30" Target="https://doi.org/10.1002/path.6011" TargetMode="External" /><Relationship Type="http://schemas.openxmlformats.org/officeDocument/2006/relationships/hyperlink" Id="rId109" Target="https://doi.org/10.1016/j.ccell.2017.07.007" TargetMode="External" /><Relationship Type="http://schemas.openxmlformats.org/officeDocument/2006/relationships/hyperlink" Id="rId111" Target="https://doi.org/10.1016/j.cell.2021.08.023" TargetMode="External" /><Relationship Type="http://schemas.openxmlformats.org/officeDocument/2006/relationships/hyperlink" Id="rId73" Target="https://doi.org/10.1016/j.xcrm.2026.102611" TargetMode="External" /><Relationship Type="http://schemas.openxmlformats.org/officeDocument/2006/relationships/hyperlink" Id="rId87" Target="https://doi.org/10.1038/44565" TargetMode="External" /><Relationship Type="http://schemas.openxmlformats.org/officeDocument/2006/relationships/hyperlink" Id="rId81" Target="https://doi.org/10.1038/nature16965" TargetMode="External" /><Relationship Type="http://schemas.openxmlformats.org/officeDocument/2006/relationships/hyperlink" Id="rId99" Target="https://doi.org/10.1038/ncomms9971" TargetMode="External" /><Relationship Type="http://schemas.openxmlformats.org/officeDocument/2006/relationships/hyperlink" Id="rId69" Target="https://doi.org/10.1038/ng.3398" TargetMode="External" /><Relationship Type="http://schemas.openxmlformats.org/officeDocument/2006/relationships/hyperlink" Id="rId67" Target="https://doi.org/10.1038/nm.2344" TargetMode="External" /><Relationship Type="http://schemas.openxmlformats.org/officeDocument/2006/relationships/hyperlink" Id="rId91" Target="https://doi.org/10.1038/s41467-019-12517-7" TargetMode="External" /><Relationship Type="http://schemas.openxmlformats.org/officeDocument/2006/relationships/hyperlink" Id="rId79" Target="https://doi.org/10.1038/s41467-023-36296-4" TargetMode="External" /><Relationship Type="http://schemas.openxmlformats.org/officeDocument/2006/relationships/hyperlink" Id="rId75" Target="https://doi.org/10.1038/s41587-019-0392-8" TargetMode="External" /><Relationship Type="http://schemas.openxmlformats.org/officeDocument/2006/relationships/hyperlink" Id="rId77" Target="https://doi.org/10.1038/s41588-022-01134-8" TargetMode="External" /><Relationship Type="http://schemas.openxmlformats.org/officeDocument/2006/relationships/hyperlink" Id="rId97" Target="https://doi.org/10.1038/s42003-023-04461-6" TargetMode="External" /><Relationship Type="http://schemas.openxmlformats.org/officeDocument/2006/relationships/hyperlink" Id="rId89" Target="https://doi.org/10.1073/pnas.0308531101" TargetMode="External" /><Relationship Type="http://schemas.openxmlformats.org/officeDocument/2006/relationships/hyperlink" Id="rId119" Target="https://doi.org/10.1093/bioinformatics/btad449" TargetMode="External" /><Relationship Type="http://schemas.openxmlformats.org/officeDocument/2006/relationships/hyperlink" Id="rId85" Target="https://doi.org/10.1093/nar/gkae267" TargetMode="External" /><Relationship Type="http://schemas.openxmlformats.org/officeDocument/2006/relationships/hyperlink" Id="rId105" Target="https://doi.org/10.1093/narcan/zcac030" TargetMode="External" /><Relationship Type="http://schemas.openxmlformats.org/officeDocument/2006/relationships/hyperlink" Id="rId132" Target="https://doi.org/10.1097/SLA.0000000000006416" TargetMode="External" /><Relationship Type="http://schemas.openxmlformats.org/officeDocument/2006/relationships/hyperlink" Id="rId115" Target="https://doi.org/10.1109/JPROC.2015.2494218" TargetMode="External" /><Relationship Type="http://schemas.openxmlformats.org/officeDocument/2006/relationships/hyperlink" Id="rId121" Target="https://doi.org/10.1136/gutjnl-2018-317706" TargetMode="External" /><Relationship Type="http://schemas.openxmlformats.org/officeDocument/2006/relationships/hyperlink" Id="rId102" Target="https://doi.org/10.1155/2008/764206" TargetMode="External" /><Relationship Type="http://schemas.openxmlformats.org/officeDocument/2006/relationships/hyperlink" Id="rId83" Target="https://doi.org/10.1158/1078-0432.CCR-17-2994" TargetMode="External" /><Relationship Type="http://schemas.openxmlformats.org/officeDocument/2006/relationships/hyperlink" Id="rId71" Target="https://doi.org/10.1158/1078-0432.CCR-19-1467" TargetMode="External" /><Relationship Type="http://schemas.openxmlformats.org/officeDocument/2006/relationships/hyperlink" Id="rId128" Target="https://doi.org/10.1158/1078-0432.CCR-20-2298" TargetMode="External" /><Relationship Type="http://schemas.openxmlformats.org/officeDocument/2006/relationships/hyperlink" Id="rId134" Target="https://doi.org/10.1186/1471-2105-11-367" TargetMode="External" /><Relationship Type="http://schemas.openxmlformats.org/officeDocument/2006/relationships/hyperlink" Id="rId126" Target="https://doi.org/10.1186/s12859-020-3427-8" TargetMode="External" /><Relationship Type="http://schemas.openxmlformats.org/officeDocument/2006/relationships/hyperlink" Id="rId95" Target="https://doi.org/10.1214/088342306000000682" TargetMode="External" /><Relationship Type="http://schemas.openxmlformats.org/officeDocument/2006/relationships/hyperlink" Id="rId93" Target="https://doi.org/10.1371/journal.pbio.0020108" TargetMode="External" /><Relationship Type="http://schemas.openxmlformats.org/officeDocument/2006/relationships/hyperlink" Id="rId107" Target="https://doi.org/10.18637/jss.v039.i05" TargetMode="External" /><Relationship Type="http://schemas.openxmlformats.org/officeDocument/2006/relationships/hyperlink" Id="rId65" Target="https://doi.org/10.3322/caac.70043" TargetMode="External" /><Relationship Type="http://schemas.openxmlformats.org/officeDocument/2006/relationships/hyperlink" Id="rId117" Target="https://doi.org/10.4137/CIN.S606" TargetMode="External" /><Relationship Type="http://schemas.openxmlformats.org/officeDocument/2006/relationships/hyperlink" Id="rId59" Target="https://github.com/rashidlab/DeSurv" TargetMode="External" /><Relationship Type="http://schemas.openxmlformats.org/officeDocument/2006/relationships/hyperlink" Id="rId60" Target="https://github.com/rashidlab/DeSurv-paper" TargetMode="External" /><Relationship Type="http://schemas.openxmlformats.org/officeDocument/2006/relationships/hyperlink" Id="rId138" Target="https://portal.gdc.cancer.gov/projects/CPTAC-3" TargetMode="External" /><Relationship Type="http://schemas.openxmlformats.org/officeDocument/2006/relationships/hyperlink" Id="rId136" Target="https://portal.gdc.cancer.gov/projects/TCGA-PAAD" TargetMode="External" /><Relationship Type="http://schemas.openxmlformats.org/officeDocument/2006/relationships/hyperlink" Id="rId113" Target="https://proceedings.neurips.cc/paper/2012/hash/05311655a15b75fab86956663e1819cd-Abstract.html" TargetMode="External" /><Relationship Type="http://schemas.openxmlformats.org/officeDocument/2006/relationships/hyperlink" Id="rId142" Target="https://www.ebi.ac.uk/biostudies/arrayexpress/studies/E-MTAB-6134" TargetMode="External" /><Relationship Type="http://schemas.openxmlformats.org/officeDocument/2006/relationships/hyperlink" Id="rId140" Target="https://www.ebi.ac.uk/biostudies/arrayexpress/studies/E-MTAB-6830" TargetMode="External" /><Relationship Type="http://schemas.openxmlformats.org/officeDocument/2006/relationships/hyperlink" Id="rId146" Target="https://www.ncbi.nlm.nih.gov/geo/query/acc.cgi?acc=GSE36924" TargetMode="External" /><Relationship Type="http://schemas.openxmlformats.org/officeDocument/2006/relationships/hyperlink" Id="rId144"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replicable tumor–stroma prognostic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2026-09-14T01:54:32Z</dcterms:created>
  <dcterms:modified xsi:type="dcterms:W3CDTF">2026-09-14T01:54:32Z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stromal, and other microenvironmental biology. Expression-driven discovery can overlook prognostically relevant programs that contribute relatively little transcriptomic variation. We developed DeSurv, a survival-supervised matrix factorization that incorporates patient outcomes into gene-program discovery and freezes gene weights for new cohorts. In pooled TCGA and CPTAC cohorts, DeSurv recovered a three-program tumor–stroma architecture whose dominant survival-aligned program combined classical-tumor and restCAF-like stromal features. Applied without refitting to five external datasets, the frozen risk score remained prognostic before (HR per SD, 1.42; 95% CI, 1.26–1.59) and after PurIST and DeCAF adjustment. Unsupervised factorization matched on program number and tuning budget did not recover this program; a rank-optimized unsupervised control recovered comparable prognostic information across seven factors. In simulations with known underlying structure, DeSurv recovered prognostic genes more accurately when survival signal contributed little expression variation. Survival supervision therefore offers a route to prognostically relevant, interpretable programs.</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