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factor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β</m:t>
        </m:r>
      </m:oMath>
      <w:r>
        <w:t xml:space="preserve"> </w:t>
      </w:r>
      <w:r>
        <w:t xml:space="preserve">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whose monotone descent the algorithm enforces.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Both the recorded objective and the</w:t>
      </w:r>
      <w:r>
        <w:t xml:space="preserve"> </w:t>
      </w:r>
      <w:r>
        <w:t xml:space="preserve">acceptance test use</w:t>
      </w:r>
      <w:r>
        <w:t xml:space="preserve"> </w:t>
      </w:r>
      <m:oMath>
        <m:r>
          <m:rPr>
            <m:sty m:val="p"/>
            <m:scr m:val="script"/>
          </m:rPr>
          <m:t>L</m:t>
        </m:r>
      </m:oMath>
      <w:r>
        <w:t xml:space="preserve"> </w:t>
      </w:r>
      <w:r>
        <w:t xml:space="preserve">as defined above, so monotone descent of</w:t>
      </w:r>
      <w:r>
        <w:t xml:space="preserve"> </w:t>
      </w:r>
      <m:oMath>
        <m:r>
          <m:rPr>
            <m:sty m:val="p"/>
            <m:scr m:val="script"/>
          </m:rPr>
          <m:t>L</m:t>
        </m:r>
      </m:oMath>
      <w:r>
        <w:t xml:space="preserve"> </w:t>
      </w:r>
      <w:r>
        <w:t xml:space="preserve">is preserved, and the reported fits are exactly those produced by</w:t>
      </w:r>
      <w:r>
        <w:t xml:space="preserve"> </w:t>
      </w:r>
      <w:r>
        <w:t xml:space="preserve">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and the update for</w:t>
      </w:r>
      <w:r>
        <w:t xml:space="preserve"> </w:t>
      </w:r>
      <m:oMath>
        <m:r>
          <m:t>W</m:t>
        </m:r>
      </m:oMath>
      <w:r>
        <w:t xml:space="preserve"> </w:t>
      </w:r>
      <w:r>
        <w:t xml:space="preserve">in Equation [eqn:W_update] combines them as</w:t>
      </w:r>
      <w:r>
        <w:t xml:space="preserve"> </w:t>
      </w:r>
      <w:r>
        <w:t xml:space="preserve">[</w:t>
      </w:r>
      <w:r>
        <w:t xml:space="preserve"> </w:t>
      </w:r>
      <w:r>
        <w:t xml:space="preserve">(1-\alpha) \nabla_W \mathcal{L}</w:t>
      </w:r>
      <w:r>
        <w:rPr>
          <w:iCs/>
          <w:i/>
        </w:rPr>
        <w:t xml:space="preserve">{\mathrm{NMF}}(W,H) - \alpha\nabla_W \mathcal{L}</w:t>
      </w:r>
      <w:r>
        <w:t xml:space="preserve">{\mathrm{Cox}}(W,\beta),</w:t>
      </w:r>
      <w:r>
        <w:t xml:space="preserve"> </w:t>
      </w:r>
      <w:r>
        <w:t xml:space="preserve">]</w:t>
      </w:r>
      <w:r>
        <w:t xml:space="preserve"> </w:t>
      </w:r>
      <w:r>
        <w:t xml:space="preserve">so the gene-program definitions are shaped directly by their association with survival. This combination is the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factor-specificity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factor</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Lee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(see Methods).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2026-09-14T01:54:32Z</dcterms:created>
  <dcterms:modified xsi:type="dcterms:W3CDTF">2026-09-14T01:54:32Z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