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and</w:t>
      </w:r>
      <w:r>
        <w:t xml:space="preserve"> </w:t>
      </w:r>
      <w:r>
        <w:t xml:space="preserve">stromal</w:t>
      </w:r>
      <w:r>
        <w:t xml:space="preserve"> </w:t>
      </w:r>
      <w:r>
        <w:t xml:space="preserve">biology,</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patient</w:t>
      </w:r>
      <w:r>
        <w:t xml:space="preserve"> </w:t>
      </w:r>
      <w:r>
        <w:t xml:space="preserve">outcomes.</w:t>
      </w:r>
      <w:r>
        <w:t xml:space="preserve"> </w:t>
      </w:r>
      <w:r>
        <w:t xml:space="preserve">The</w:t>
      </w:r>
      <w:r>
        <w:t xml:space="preserve"> </w:t>
      </w:r>
      <w:r>
        <w:t xml:space="preserve">programs</w:t>
      </w:r>
      <w:r>
        <w:t xml:space="preserve"> </w:t>
      </w:r>
      <w:r>
        <w:t xml:space="preserve">dominating</w:t>
      </w:r>
      <w:r>
        <w:t xml:space="preserve"> </w:t>
      </w:r>
      <w:r>
        <w:t xml:space="preserve">expression</w:t>
      </w:r>
      <w:r>
        <w:t xml:space="preserve"> </w:t>
      </w:r>
      <w:r>
        <w:t xml:space="preserve">variation</w:t>
      </w:r>
      <w:r>
        <w:t xml:space="preserve"> </w:t>
      </w:r>
      <w:r>
        <w:t xml:space="preserve">are</w:t>
      </w:r>
      <w:r>
        <w:t xml:space="preserve"> </w:t>
      </w:r>
      <w:r>
        <w:t xml:space="preserve">therefore</w:t>
      </w:r>
      <w:r>
        <w:t xml:space="preserve"> </w:t>
      </w:r>
      <w:r>
        <w:t xml:space="preserve">not</w:t>
      </w:r>
      <w:r>
        <w:t xml:space="preserve"> </w:t>
      </w:r>
      <w:r>
        <w:t xml:space="preserve">necessarily</w:t>
      </w:r>
      <w:r>
        <w:t xml:space="preserve"> </w:t>
      </w:r>
      <w:r>
        <w:t xml:space="preserve">those</w:t>
      </w:r>
      <w:r>
        <w:t xml:space="preserve"> </w:t>
      </w:r>
      <w:r>
        <w:t xml:space="preserve">most</w:t>
      </w:r>
      <w:r>
        <w:t xml:space="preserve"> </w:t>
      </w:r>
      <w:r>
        <w:t xml:space="preserve">relevant</w:t>
      </w:r>
      <w:r>
        <w:t xml:space="preserve"> </w:t>
      </w:r>
      <w:r>
        <w:t xml:space="preserve">to</w:t>
      </w:r>
      <w:r>
        <w:t xml:space="preserve"> </w:t>
      </w:r>
      <w:r>
        <w:t xml:space="preserve">survival.</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fixes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frozen</w:t>
      </w:r>
      <w:r>
        <w:t xml:space="preserve"> </w:t>
      </w:r>
      <w:r>
        <w:t xml:space="preserve">representation</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across</w:t>
      </w:r>
      <w:r>
        <w:t xml:space="preserve"> </w:t>
      </w:r>
      <w:r>
        <w:t xml:space="preserve">a</w:t>
      </w:r>
      <w:r>
        <w:t xml:space="preserve"> </w:t>
      </w:r>
      <w:r>
        <w:t xml:space="preserve">broader</w:t>
      </w:r>
      <w:r>
        <w:t xml:space="preserve"> </w:t>
      </w:r>
      <w:r>
        <w:t xml:space="preserve">seven-factor</w:t>
      </w:r>
      <w:r>
        <w:t xml:space="preserve"> </w:t>
      </w:r>
      <w:r>
        <w:t xml:space="preserve">representation.</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more</w:t>
      </w:r>
      <w:r>
        <w:t xml:space="preserve"> </w:t>
      </w:r>
      <w:r>
        <w:t xml:space="preserve">accurately</w:t>
      </w:r>
      <w:r>
        <w:t xml:space="preserve"> </w:t>
      </w:r>
      <w:r>
        <w:t xml:space="preserve">recovered</w:t>
      </w:r>
      <w:r>
        <w:t xml:space="preserve"> </w:t>
      </w:r>
      <w:r>
        <w:t xml:space="preserve">prognostic</w:t>
      </w:r>
      <w:r>
        <w:t xml:space="preserve"> </w:t>
      </w:r>
      <w:r>
        <w:t xml:space="preserve">genes</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transcriptomic</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It remains unclear whether a survival-aligned tumor–stroma direction provides prognostic information beyond existing subtype classifications. Such programs are typically discovered without outcome information and tested against survival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the approximation rebuilt from the programs. Such reconstruction-driven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establishing which unsupervised programs are clinically relevant and transportable has required extensive multi-study refinement. In PDAC, the basal-like/classical dichotomy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without resolving them into biologically interpretable tumor and microenvironmental programs.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factorization at matched and higher rank (the number of programs the factorization extracts) and with conventional survival-supervised models (Supplementary Table [tab:architecture]). These comparisons distinguish the contribution of survival supervision from effects of model complexity and tuning. We then test the frozen programs across independent cohorts, determine whether the dominant survival-aligned direction is shared by other supervised approaches, and ask whether it retains prognostic information beyond established PDAC classifiers. Simulations in which the true underlying (latent) programs are known characterize when survival supervision improves recovery of prognostic structure.</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allowing outcome information to influence which programs are recovered rather than only selecting among programs after unsupervised factorization. After training, the gene weights are fixed so that the same learned programs can be scored and tested in new tumors without refitting the factorization (Fig. [fig:schema]a;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the ranks examined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configuration (Fig. [fig:schema]b; Methods; Supplementary Information, Bayesian Optimization). In contrast, standard unsupervised NMF rank criteria based on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w:t>
      </w:r>
      <w:r>
        <w:t xml:space="preserve">gave conflicting rank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e985749461be2baee423729112bad52034f43da"/>
    <w:p>
      <w:pPr>
        <w:pStyle w:val="Heading2"/>
      </w:pPr>
      <w:r>
        <w:t xml:space="preserve">Survival supervision changes the recovered representation at matched complexity</w:t>
      </w:r>
    </w:p>
    <w:p>
      <w:pPr>
        <w:pStyle w:val="FirstParagraph"/>
      </w:pPr>
      <w:r>
        <w:t xml:space="preserve">To determine how survival supervision altered the biological representation, we compared DeSurv with standard Lee multiplicative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The classical component of D1 was independently supported in the COMPASS trial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D1 program. Both methods recovered the activated-stroma and proCAF-like reference programs. They differed at the restraining end: among the displayed top-ranked genes, the restCAF and iCAF reference programs corresponded to a DeSurv program but to no standard NMF factor (Fig. [fig:pdac]a,b).</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Yet omitting D1 lowered the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the fitted survival contribution. Because D1 was estimated using these outcomes, these quantities show where the fitted model placed the survival signal rather than providing an independent test of that signal.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analyzed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nevertheless reconstructed the analysis matrix only modestly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w:t>
      </w:r>
    </w:p>
    <w:p>
      <w:pPr>
        <w:pStyle w:val="BodyText"/>
      </w:pPr>
      <w:r>
        <w:t xml:space="preserve">Tuning effort did not appear to explain this difference. We repeated the comparison with the matched-budget unsupervised control, an unsupervised model matched to DeSurv on rank, optimizer, tuning budget and consensus initialization. It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545c29662618d20fbceafc892b81dc1672b6c59"/>
    <w:p>
      <w:pPr>
        <w:pStyle w:val="Heading2"/>
      </w:pPr>
      <w:r>
        <w:t xml:space="preserve">Frozen programs retain prognostic relevance across independent PDAC cohorts, with exploratory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yielding</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associated with survival in the combined cohort-stratified analysis (HR per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but was not associated with survival either individually or in the combined analysis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showed greater variation across datasets (Fig. [fig:val]a). None of the three standard NMF factors at the same rank was associated with survival in the combined analysis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cohort-stratified analysis (pooled HR per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Scaled Schoenfeld residuals indicated attenuation of this association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the pooled hazard ratio should be interpreted as a time-averaged summary rather than a constant multiplicative effect. Leave-one-dataset-out estimates were similar (HRs 1.34–1.45; Fig. [fig:val]a).</w:t>
      </w:r>
    </w:p>
    <w:p>
      <w:pPr>
        <w:pStyle w:val="BodyText"/>
      </w:pPr>
      <w:r>
        <w:t xml:space="preserve">Allowing cohort-specific slopes did not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cohort), and the four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Event-weighted discrimination across cohorts was moderate (C-index</w:t>
      </w:r>
      <w:r>
        <w:t xml:space="preserve"> </w:t>
      </w:r>
      <m:oMath>
        <m:r>
          <m:t>0.61</m:t>
        </m:r>
      </m:oMath>
      <w:r>
        <w:t xml:space="preserve">, 95% CI</w:t>
      </w:r>
      <w:r>
        <w:t xml:space="preserve"> </w:t>
      </w:r>
      <m:oMath>
        <m:r>
          <m:t>0.58</m:t>
        </m:r>
      </m:oMath>
      <w:r>
        <w:t xml:space="preserve">–</w:t>
      </w:r>
      <m:oMath>
        <m:r>
          <m:t>0.65</m:t>
        </m:r>
      </m:oMath>
      <w:r>
        <w:t xml:space="preserve">). In a sensitivity analysis with in-sample recalibration of the frozen score within each cohort (apparent rather than out-of-sample prediction error), the integrated Brier score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next asked whether comparable prognostic information could be recovered without survival-supervised factorization. At DeSurv’s rank, the matched-budget unsupervised control was not associated with survival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Bayesian optimization,</w:t>
      </w:r>
      <w:r>
        <w:t xml:space="preserve"> </w:t>
      </w:r>
      <m:oMath>
        <m:r>
          <m:t>k</m:t>
        </m:r>
        <m:r>
          <m:rPr>
            <m:sty m:val="p"/>
          </m:rPr>
          <m:t>=</m:t>
        </m:r>
        <m:r>
          <m:t>7</m:t>
        </m:r>
      </m:oMath>
      <w:r>
        <w:t xml:space="preserve">) also represented a broader set of established PDAC programs.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Higher rank therefore broadened biological representation rather than repeatedly mapping additional factors to the same programs. Survival supervision was not required to recover prognostic signal, but DeSurv represented comparable prognostic information with three rather than seven factors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its Bayesian-optimization-selected rank (</w:t>
      </w:r>
      <m:oMath>
        <m:r>
          <m:t>k</m:t>
        </m:r>
        <m:r>
          <m:rPr>
            <m:sty m:val="p"/>
          </m:rPr>
          <m:t>=</m:t>
        </m:r>
        <m:r>
          <m:t>7</m:t>
        </m:r>
      </m:oMath>
      <w:r>
        <w:rPr>
          <w:iCs/>
          <w:i/>
        </w:rPr>
        <w:t xml:space="preserve">); both use the same unsupervised</w:t>
      </w:r>
      <w:r>
        <w:rPr>
          <w:iCs/>
          <w:i/>
        </w:rPr>
        <w:t xml:space="preserve"> </w:t>
      </w:r>
      <m:oMath>
        <m:r>
          <m:t>α</m:t>
        </m:r>
        <m:r>
          <m:rPr>
            <m:sty m:val="p"/>
          </m:rPr>
          <m:t>=</m:t>
        </m:r>
        <m:r>
          <m:t>0</m:t>
        </m:r>
      </m:oMath>
      <w:r>
        <w:rPr>
          <w:iCs/>
          <w:i/>
        </w:rPr>
        <w:t xml:space="preserve"> </w:t>
      </w:r>
      <w:r>
        <w:rPr>
          <w:iCs/>
          <w:i/>
        </w:rPr>
        <w:t xml:space="preserve">pipeline, consensus initialization and tuning budget as DeSurv (Supplementary Table [tab:tab-cindex-comparison]).</w:t>
      </w:r>
    </w:p>
    <w:p>
      <w:pPr>
        <w:pStyle w:val="BodyText"/>
      </w:pPr>
      <w:r>
        <w:t xml:space="preserve">To test transport beyond untreated disease, we projected the frozen programs without retraining into two treated PDAC cohorts. In the O’Kane/COMPASS cohort of metastatic disease,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56c124c528b5c9226025f2c58a5eb108e1d2148"/>
    <w:p>
      <w:pPr>
        <w:pStyle w:val="Heading2"/>
      </w:pPr>
      <w:r>
        <w:t xml:space="preserve">The D1 direction is shared across supervised methods and retains prognostic information beyond established PDAC classifiers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and DeCAF alone explained 19%. D1 nevertheless remained associated with survival after simultaneous adjustment for both classifiers (HR per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additive PurIST and DeCAF terms improved model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These findings support overlap with established tumor-intrinsic and stromal classifications while showing that D1 retains prognostic information beyond those binary classifiers.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These analyses do not establish the cellular identity of the restCAF-like component of D1, which cannot be resolved from bulk expression alone (Supplementary Information, Stromal resolution: which reference programs are recovered from bulk). In Puleo, the largest validation cohort, the DeSurv linear predictor also remained prognostic after adjustment for standard clinical covariates (HR per SD 1.33, 95% CI</w:t>
      </w:r>
      <w:r>
        <w:t xml:space="preserve"> </w:t>
      </w:r>
      <m:oMath>
        <m:r>
          <m:t>1.14</m:t>
        </m:r>
      </m:oMath>
      <w:r>
        <w:t xml:space="preserve">–</w:t>
      </w:r>
      <m:oMath>
        <m:r>
          <m:t>1.55</m:t>
        </m:r>
      </m:oMath>
      <w:r>
        <w:t xml:space="preserve">; Supplementary Table [tab:clinical-adjustment]).</w:t>
      </w:r>
    </w:p>
    <w:p>
      <w:pPr>
        <w:pStyle w:val="BodyText"/>
      </w:pPr>
      <w:r>
        <w:t xml:space="preserve">We next asked whether D1 was specific to the DeSurv optimizer. When fit as single-component models, three independent survival-supervised approaches (supervised principal components, Cox partial least squares and sparse Cox) produced patient scores strongly correlated with D1 in the training cohort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D1 therefore represents a survival-associated expression direction recovered across supervised approaches rather than an idiosyncrasy of DeSurv.</w:t>
      </w:r>
    </w:p>
    <w:p>
      <w:pPr>
        <w:pStyle w:val="BodyText"/>
      </w:pPr>
      <w:r>
        <w:t xml:space="preserve">We then asked what DeSurv adds beyond recovery of this shared prognostic direction. Independently tuned supervised principal components and lasso-penalized Cox regression achieved pooled external concordance comparable to DeSurv (C-index</w:t>
      </w:r>
      <w:r>
        <w:t xml:space="preserve"> </w:t>
      </w:r>
      <m:oMath>
        <m:r>
          <m:t>0.60</m:t>
        </m:r>
      </m:oMath>
      <w:r>
        <w:t xml:space="preserve"> </w:t>
      </w:r>
      <w:r>
        <w:t xml:space="preserve">and</w:t>
      </w:r>
      <w:r>
        <w:t xml:space="preserve"> </w:t>
      </w:r>
      <m:oMath>
        <m:r>
          <m:t>0.60</m:t>
        </m:r>
      </m:oMath>
      <w:r>
        <w:t xml:space="preserve"> </w:t>
      </w:r>
      <w:r>
        <w:t xml:space="preserve">versus</w:t>
      </w:r>
      <w:r>
        <w:t xml:space="preserve"> </w:t>
      </w:r>
      <m:oMath>
        <m:r>
          <m:t>0.61</m:t>
        </m:r>
      </m:oMath>
      <w:r>
        <w:t xml:space="preserve">) and captured the dominant D1-associated direction. Their selected genes, however, were enriched for basal-like tumor programs but not proCAF, restCAF, immune or exocrine programs,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Supplementary Information). Discrimination was therefore comparable; DeSurv’s distinction is that it places the shared prognostic direction within a fixed set of separately measurable tumor and stromal programs that can be applied unchanged to new cohorts.</w:t>
      </w:r>
    </w:p>
    <w:bookmarkEnd w:id="35"/>
    <w:bookmarkStart w:id="39" w:name="X9fbe0060a9b97df940ff96ad6b82ef7b6fd6bbb"/>
    <w:p>
      <w:pPr>
        <w:pStyle w:val="Heading2"/>
      </w:pPr>
      <w:r>
        <w:t xml:space="preserve">DeSurv recovers prognostic gene programs when survival signal is not variance-dominant</w:t>
      </w:r>
    </w:p>
    <w:p>
      <w:pPr>
        <w:pStyle w:val="FirstParagraph"/>
      </w:pPr>
      <w:r>
        <w:t xml:space="preserve">We used simulations with known latent structure to determine when survival supervision improves program recovery. In the primary scenario, the factor-specific genes driving survival contributed less transcriptomic variation than a shared outcome-neutral background signal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the three latent factors were otherwise exchangeable. DeSurv and its unsupervised limit (</w:t>
      </w:r>
      <m:oMath>
        <m:r>
          <m:t>α</m:t>
        </m:r>
        <m:r>
          <m:rPr>
            <m:sty m:val="p"/>
          </m:rPr>
          <m:t>=</m:t>
        </m:r>
        <m:r>
          <m:t>0</m:t>
        </m:r>
      </m:oMath>
      <w:r>
        <w:t xml:space="preserve">) were tuned using the same cross-validation procedure, providing a controlled comparison of factorization with and without survival supervision.</w:t>
      </w:r>
    </w:p>
    <w:p>
      <w:pPr>
        <w:pStyle w:val="BodyText"/>
      </w:pPr>
      <w:r>
        <w:t xml:space="preserve">Under this setting, DeSurv more accurately recovered the genes defining the true prognostic program, whereas unsupervised NMF was more strongly influenced by the variance-dominant background structure (Fig. [fig:sim]a,b). Across 100 replicates, median matched-factor precision for the true prognostic gene set was 0.50 for DeSurv versus 0.07 for unsupervised NMF (Methods).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This advantage depended on how strongly prognostic signal aligned with variance-dominant expression structure. It attenuated when the two partially overlapped and disappeared under the null, where neither method identified prognostic signal (Supplementary Fig. [fig:fig-sim-null-mixed]). In the mixed setting, the advantage was greatest for recovery of the factor-specific marker genes rather than the shared background genes that also carried survival signal,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survival signal is not variance-dominant. (a) Test-set concordance across 100 simulation replicates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unsupervised NMF. (d) The same matched-factor precision metric as in (b), computed for two signal regimes: a prognostic program whose genes carry low transcriptomic variance relative to the shared outcome-neutral background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DeSurv integrates survival into gene-program estimation while preserving a fixed basis that can be applied unchanged to new cohorts. In PDAC, this identified a dominant survival-aligned program, D1, characterized by coordinated cross-patient variation in classical tumor and restCAF-like stromal features, alongside separately resolved proCAF-like stromal and basal-like tumor programs. D1 was recovered without subtype labels, remained prognostic after adjustment for the established PurIST and DeCAF classifications, so it is not reducible to them, and was supported on its classical tumor side by GATA6 RNA in situ hybridization. The frozen programs then transferred without refitting across four independent external patient cohorts. DeSurv’s contribution is to place a reproducible prognostic direction within a decomposed tumor–stroma architecture whose components can be examined separately. The advance is in how clinically relevant programs are discovered, not in how well they predict.</w:t>
      </w:r>
    </w:p>
    <w:p>
      <w:pPr>
        <w:pStyle w:val="BodyText"/>
      </w:pPr>
      <w:r>
        <w:t xml:space="preserve">The representational difference was evident at matched complexity and tuning effort. An unsupervised control given DeSurv’s rank, optimizer, tuning budget and consensus initialization did not recover D1. Higher-rank unsupervised factorization recovered comparable prognostic information across a broader seven-factor representation, while conventional supervised predictors recovered the dominant prognostic direction without separately resolving the stromal programs. These comparisons distinguish prognostic information from the representation in which that information is recovered. Survival supervision was not required to obtain a prognostic signal, but it altered which programs were identified and how that signal was decomposed.</w:t>
      </w:r>
    </w:p>
    <w:p>
      <w:pPr>
        <w:pStyle w:val="BodyText"/>
      </w:pPr>
      <w:r>
        <w:t xml:space="preserve">This distinction also clarifies the role of the fixed gene-program basis. In conventional unsupervised discovery, clinical relevance is established only after programs have been learned, through factor selection, biological annotation and cross-study matching.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fixed, so external validation tests the same programs rather than a newly estimated representation. Empirically, supervision reorganized rather than replaced the reconstruction-driven structure. D2 and D3 corresponded closely to the major stromal and tumor factors recovered by NMF, whereas D1 was poorly reconstructable from the matched-rank NMF factors.</w:t>
      </w:r>
    </w:p>
    <w:p>
      <w:pPr>
        <w:pStyle w:val="BodyText"/>
      </w:pPr>
      <w:r>
        <w:t xml:space="preserve">This differs from related supervised factorization approaches in where survival information enters the model. CoxNMF and SurvNMF</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place the survival term on the sample-side latent representation, so scoring a new cohort depends on obtaining sample-side loadings (Methods; Supplementary Table [tab:architecture]). DeSurv instead places supervision on the gene-program matrix and scores new tumors by projection onto a fixed basis. Deep latent-variable survival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w:t>
      </w:r>
      <w:r>
        <w:t xml:space="preserve">similarly learn sample representations rather than a fixed gene-program basis. The distinction is therefore not simply whether survival supervision is used, but whether the supervised object itself can be transported unchanged.</w:t>
      </w:r>
    </w:p>
    <w:p>
      <w:pPr>
        <w:pStyle w:val="BodyText"/>
      </w:pPr>
      <w:r>
        <w:t xml:space="preserve">Biologically, D1 is the dominant survival-aligned direction within the broader tumor–stroma architecture rather than the architecture itself. It captures coordinated cross-patient variation in classical tumor and restCAF-like stromal features. D2 and D3 provide separately measurable stromal and tumor context around that direction and do not necessarily represent independent components of the fitted risk score. This organization is consistent with broader evidence that malignant lineage state and stromal composition vary together in PDAC</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remains an important source of uncertainty in factorization. Standard NMF criteria gave conflicting rank choices in the PDAC training data, and increasing rank progressively broadened correspondence to established PDAC programs, which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9</w:t>
        </w:r>
      </w:hyperlink>
      <w:r>
        <w:t xml:space="preserve">. Survival supervision does not remove the non-uniqueness of matrix factorization, and individual DeSurv runs from different random starts recover appreciably different gene sets. Reproducibility of the reported decomposition instead comes from the consensus procedure, and independently seeded applications of the full procedure closely reproduced the final programs (Supplementary Information, Stability of the recovered gene programs). Survival supervision therefore provides an outcome-informed criterion for shaping the representation, while consensus initialization addresses instability across individual optimization runs.</w:t>
      </w:r>
    </w:p>
    <w:p>
      <w:pPr>
        <w:pStyle w:val="BodyText"/>
      </w:pPr>
      <w:r>
        <w:t xml:space="preserve">The simulations show when that outcome information is most useful. In the primary setting, the factor-specific genes driving survival contributed less transcriptomic variation than a shared outcome-neutral background signal. Under those conditions, DeSurv more accurately recovered the genes defining the true prognostic program than unsupervised NMF. The advantage diminished when prognostic signal overlapped more strongly with variance-dominant structure and disappeared when no survival signal was present. These results support the interpretation of the real-data findings by showing under known truth that survival supervision can change program recovery when clinically relevant genes are not those contributing most strongly to transcriptomic variation. This matters beyond discrimination because the genes assigned to a program determine downstream biological interpretation, candidate signatures and potential biomarker development.</w:t>
      </w:r>
    </w:p>
    <w:p>
      <w:pPr>
        <w:pStyle w:val="BodyText"/>
      </w:pPr>
      <w:r>
        <w:t xml:space="preserve">DeSurv is complementary to reference-based deconvolution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Those approaches estimate cellular composition using external cell-state references, whereas DeSurv learns survival-informed latent programs directly from bulk expression without assigning them a priori to cellular compartments.</w:t>
      </w:r>
    </w:p>
    <w:p>
      <w:pPr>
        <w:pStyle w:val="BodyText"/>
      </w:pPr>
      <w:r>
        <w:t xml:space="preserve">Several limitations define the scope of the findings. DeSurv uses a proportional-hazards objective, while the external validation data showed attenuation of the prognostic association over follow-up (Results). Extensions could accommodate non-proportional hazards or nonlinear survival relationships. The pooled training objective did not include a cohort term; within-cohort analyses argued against simple encoding of training-cohort membership, but cohort influence on the learned representation cannot be excluded (Supplementary Information, Cohort handling in the training objective). The framework itself is not PDAC-specific, but its representational advantage has so far been evaluated only in PDAC. Establishing generalizability will require multi-cancer benchmarking against unsupervised decompositions and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were exploratory. In O’Kane/COMPASS, D1 remained prognostic in an analysis stratified by treatment arm, but the individual arms were too small to establish treatment-specific associations. Whether these programs predict differential treatment benefit therefore remains unresolved and will require adequately powered, prespecified treatment-by-program interaction analyses. The increase in the projected D2 score after treatment in the Linehan cohort likewise indicates a shift toward proCAF-associated bulk expression but does not establish a treatment-induced change in fibroblast state.</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Purity adjustment, DeCAF adjustment, cross-method recovery and the GATA6 analysis support D1 as a robust survival-associated bulk transcriptional program and independently support its classical tumor component, but they do not establish the cellular identity of its stromal component. Mapping these programs onto specific cellular states will require clinically annotated single-cell or spatial cohorts together with scoring methods suited to sparse and compartmentally mixed measurements.</w:t>
      </w:r>
    </w:p>
    <w:p>
      <w:pPr>
        <w:pStyle w:val="BodyText"/>
      </w:pPr>
      <w:r>
        <w:t xml:space="preserve">These results separate prognostic representation from prognostic discrimination. 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1"/>
    <w:bookmarkStart w:id="51"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(with an optional</w:t>
      </w:r>
      <w:r>
        <w:t xml:space="preserve"> </w:t>
      </w:r>
      <m:oMath>
        <m:sSub>
          <m:e>
            <m:r>
              <m:rPr>
                <m:sty m:val="p"/>
              </m:rPr>
              <m:t>ℓ</m:t>
            </m:r>
          </m:e>
          <m:sub>
            <m:r>
              <m:t>2</m:t>
            </m:r>
          </m:sub>
        </m:sSub>
      </m:oMath>
      <w:r>
        <w:t xml:space="preserve"> </w:t>
      </w:r>
      <w:r>
        <w:t xml:space="preserve">penalty on</w:t>
      </w:r>
      <w:r>
        <w:t xml:space="preserve"> </w:t>
      </w:r>
      <m:oMath>
        <m:r>
          <m:t>H</m:t>
        </m:r>
      </m:oMath>
      <w:r>
        <w:t xml:space="preserve">, set to zero in all analyses reported here)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Both terms are normalized before weighting: the reconstruction error by</w:t>
      </w:r>
      <w:r>
        <w:t xml:space="preserve"> </w:t>
      </w:r>
      <m:oMath>
        <m:r>
          <m:rPr>
            <m:sty m:val="p"/>
          </m:rPr>
          <m:t>∥</m:t>
        </m:r>
        <m:r>
          <m:t>X</m:t>
        </m:r>
        <m:sSubSup>
          <m:e>
            <m:r>
              <m:rPr>
                <m:sty m:val="p"/>
              </m:rPr>
              <m:t>∥</m:t>
            </m:r>
          </m:e>
          <m:sub>
            <m:r>
              <m:t>F</m:t>
            </m:r>
          </m:sub>
          <m:sup>
            <m:r>
              <m:t>2</m:t>
            </m:r>
          </m:sup>
        </m:sSubSup>
      </m:oMath>
      <w:r>
        <w:t xml:space="preserve"> </w:t>
      </w:r>
      <w:r>
        <w:t xml:space="preserve">and the partial log-likelihood by</w:t>
      </w:r>
      <w:r>
        <w:t xml:space="preserve"> </w:t>
      </w:r>
      <m:oMath>
        <m:sSub>
          <m:e>
            <m:r>
              <m:t>n</m:t>
            </m:r>
          </m:e>
          <m:sub>
            <m:r>
              <m:rPr>
                <m:sty m:val="p"/>
              </m:rPr>
              <m:t>e</m:t>
            </m:r>
            <m:r>
              <m:rPr>
                <m:sty m:val="p"/>
              </m:rPr>
              <m:t>v</m:t>
            </m:r>
            <m:r>
              <m:rPr>
                <m:sty m:val="p"/>
              </m:rPr>
              <m:t>e</m:t>
            </m:r>
            <m:r>
              <m:rPr>
                <m:sty m:val="p"/>
              </m:rPr>
              <m:t>n</m:t>
            </m:r>
            <m:r>
              <m:rPr>
                <m:sty m:val="p"/>
              </m:rPr>
              <m:t>t</m:t>
            </m:r>
          </m:sub>
        </m:sSub>
        <m:r>
          <m:rPr>
            <m:sty m:val="p"/>
          </m:rPr>
          <m:t>/</m:t>
        </m:r>
        <m:r>
          <m:t>2</m:t>
        </m:r>
      </m:oMath>
      <w:r>
        <w:t xml:space="preserve">. The</w:t>
      </w:r>
      <w:r>
        <w:t xml:space="preserve"> </w:t>
      </w:r>
      <m:oMath>
        <m:r>
          <m:t>W</m:t>
        </m:r>
      </m:oMath>
      <w:r>
        <w:t xml:space="preserve"> </w:t>
      </w:r>
      <w:r>
        <w:t xml:space="preserve">update then balances the magnitudes of the two gradients before</w:t>
      </w:r>
      <w:r>
        <w:t xml:space="preserve"> </w:t>
      </w:r>
      <m:oMath>
        <m:r>
          <m:t>α</m:t>
        </m:r>
      </m:oMath>
      <w:r>
        <w:t xml:space="preserve"> </w:t>
      </w:r>
      <w:r>
        <w:t xml:space="preserve">sets their relative contribution (Supplementary Information, Section 2).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w:t>
      </w:r>
    </w:p>
    <w:p>
      <w:pPr>
        <w:pStyle w:val="BodyText"/>
      </w:pPr>
      <w:r>
        <w:t xml:space="preserve">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independently seeded applications of the reported consensus procedure reproduce the decomposition closely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overall best configuration’s mean, and the smallest rank whose retained configuration met the threshold was selected; the remaining hyperparameters were those of the overall best configuration (Supplementary Information, Bayesian Optimization). Because this rule combined</w:t>
      </w:r>
      <w:r>
        <w:t xml:space="preserve"> </w:t>
      </w:r>
      <m:oMath>
        <m:r>
          <m:t>k</m:t>
        </m:r>
        <m:r>
          <m:rPr>
            <m:sty m:val="p"/>
          </m:rPr>
          <m:t>=</m:t>
        </m:r>
        <m:r>
          <m:t>3</m:t>
        </m:r>
      </m:oMath>
      <w:r>
        <w:t xml:space="preserve"> </w:t>
      </w:r>
      <w:r>
        <w:t xml:space="preserve">with the non-rank hyperparameters of the global optimum, a configuration not itself evaluated in the search, we examined a fixed</w:t>
      </w:r>
      <w:r>
        <w:t xml:space="preserve"> </w:t>
      </w:r>
      <m:oMath>
        <m:r>
          <m:t>k</m:t>
        </m:r>
        <m:r>
          <m:rPr>
            <m:sty m:val="p"/>
          </m:rPr>
          <m:t>=</m:t>
        </m:r>
        <m:r>
          <m:t>3</m:t>
        </m:r>
      </m:oMath>
      <w:r>
        <w:t xml:space="preserve"> </w:t>
      </w:r>
      <w:r>
        <w:t xml:space="preserve">grid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those retained values as a sensitivity check: the nearest evaluated supervision level,</w:t>
      </w:r>
      <w:r>
        <w:t xml:space="preserve"> </w:t>
      </w:r>
      <m:oMath>
        <m:r>
          <m:t>α</m:t>
        </m:r>
        <m:r>
          <m:rPr>
            <m:sty m:val="p"/>
          </m:rPr>
          <m:t>=</m:t>
        </m:r>
        <m:r>
          <m:t>0.35</m:t>
        </m:r>
      </m:oMath>
      <w:r>
        <w:t xml:space="preserve">, gave a mean cross-validated C-index of 0.656 (SE 0.010), above the one-standard-error threshold of 0.644, and applying the same one-standard-error rule to that grid also selects</w:t>
      </w:r>
      <w:r>
        <w:t xml:space="preserve"> </w:t>
      </w:r>
      <m:oMath>
        <m:r>
          <m:t>k</m:t>
        </m:r>
        <m:r>
          <m:rPr>
            <m:sty m:val="p"/>
          </m:rPr>
          <m:t>=</m:t>
        </m:r>
        <m:r>
          <m:t>3</m:t>
        </m:r>
      </m:oMath>
      <w:r>
        <w:t xml:space="preserve"> </w:t>
      </w:r>
      <w:r>
        <w:t xml:space="preserve">(Supplementary Information, Bayesian Optimization and Cross-validated C-index across factorization rank). All model selection was performed entirely within the training data using cross-validation; no validation cohort data were used during any stage of tuning, and out-of-sample generalization was assessed only on the external validation cohorts. Each fold was trained using multiple random initializations, and fold-level performance was defined as the average C-index across initializations; the consensus initialization described next was used only for the final model and is not reproduced within each fold.</w:t>
      </w:r>
    </w:p>
    <w:p>
      <w:pPr>
        <w:pStyle w:val="BodyText"/>
      </w:pPr>
      <w:r>
        <w:t xml:space="preserve">The consensus initialization aggregates multiple DeSurv runs into a gene-gene co-occurrence matrix and constructs an initialization</w:t>
      </w:r>
      <w:r>
        <w:t xml:space="preserve"> </w:t>
      </w:r>
      <m:oMath>
        <m:sSub>
          <m:e>
            <m:r>
              <m:t>W</m:t>
            </m:r>
          </m:e>
          <m:sub>
            <m:r>
              <m:t>0</m:t>
            </m:r>
          </m:sub>
        </m:sSub>
      </m:oMath>
      <w:r>
        <w:t xml:space="preserve"> </w:t>
      </w:r>
      <w:r>
        <w:t xml:space="preserve">from the resulting clusters (Supplementary Information, Consensus initialization for the final model).</w:t>
      </w:r>
    </w:p>
    <w:p>
      <w:pPr>
        <w:pStyle w:val="BodyText"/>
      </w:pPr>
      <w:r>
        <w:t xml:space="preserve">Before projection, the gene support was restricted to the union of each program’s BO-selected top genes, ranked by factor specificity (Supplementary Information, Section 8), giving the truncated matrix</w:t>
      </w:r>
      <w:r>
        <w:t xml:space="preserve"> </w:t>
      </w:r>
      <m:oMath>
        <m:acc>
          <m:accPr>
            <m:chr m:val="̃"/>
          </m:accPr>
          <m:e>
            <m:r>
              <m:t>W</m:t>
            </m:r>
          </m:e>
        </m:acc>
      </m:oMath>
      <w:r>
        <w:t xml:space="preserve"> </w:t>
      </w:r>
      <w:r>
        <w:t xml:space="preserve">that was held fixed for all validation cohorts.</w:t>
      </w:r>
    </w:p>
    <w:p>
      <w:pPr>
        <w:pStyle w:val="BodyText"/>
      </w:pPr>
      <w:r>
        <w:t xml:space="preserve">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this normalization changes the resulting scalar risk score only by a positive multiplicative constant and therefore leaves concordance unchanged.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from each program’s Bayesian-optimization-selected top-gene support;</w:t>
      </w:r>
      <w:r>
        <w:t xml:space="preserve"> </w:t>
      </w:r>
      <m:oMath>
        <m:r>
          <m:t>β</m:t>
        </m:r>
      </m:oMath>
      <w:r>
        <w:t xml:space="preserve"> </w:t>
      </w:r>
      <w:r>
        <w:t xml:space="preserve">was not refit after truncation. Cross-validation evaluated this same truncation-and-scoring construction when selecting</w:t>
      </w:r>
      <w:r>
        <w:t xml:space="preserve"> </w:t>
      </w:r>
      <m:oMath>
        <m:sSub>
          <m:e>
            <m:r>
              <m:t>n</m:t>
            </m:r>
          </m:e>
          <m:sub>
            <m:r>
              <m:rPr>
                <m:nor/>
                <m:sty m:val="p"/>
              </m:rPr>
              <m:t>top</m:t>
            </m:r>
          </m:sub>
        </m:sSub>
      </m:oMath>
      <w:r>
        <w:t xml:space="preserve">.</w:t>
      </w:r>
    </w:p>
    <w:p>
      <w:pPr>
        <w:pStyle w:val="BodyText"/>
      </w:pPr>
      <w:r>
        <w:t xml:space="preserve">In PDAC, BO selected</w:t>
      </w:r>
      <w:r>
        <w:t xml:space="preserve"> </w:t>
      </w:r>
      <m:oMath>
        <m:sSub>
          <m:e>
            <m:r>
              <m:t>n</m:t>
            </m:r>
          </m:e>
          <m:sub>
            <m:r>
              <m:rPr>
                <m:nor/>
                <m:sty m:val="p"/>
              </m:rPr>
              <m:t>top</m:t>
            </m:r>
          </m:sub>
        </m:sSub>
        <m:r>
          <m:rPr>
            <m:sty m:val="p"/>
          </m:rPr>
          <m:t>=</m:t>
        </m:r>
        <m:r>
          <m:t>270</m:t>
        </m:r>
      </m:oMath>
      <w:r>
        <w:t xml:space="preserve"> </w:t>
      </w:r>
      <w:r>
        <w:t xml:space="preserve">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 </w:t>
      </w:r>
      <w:r>
        <w:t xml:space="preserve">and the other non-rank hyperparameters from the overall best configuration. Biological support for the three-program solution comes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scoring is direct multiplication by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scoring an external cohort requires re-estimating those loadings; SurvNMF obtains them for held-out samples by a constrained least-squares fit (Supplementary Table [tab:architecture]). Validation survival outcomes were therefore used only for downstream performance evaluation, so reported external hazard ratios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The matched-rank comparator shown in the figure is Lee multiplicative NMF (</w:t>
      </w:r>
      <w:r>
        <w:rPr>
          <w:rStyle w:val="VerbatimChar"/>
        </w:rPr>
        <w:t xml:space="preserve">NMF::nmf</w:t>
      </w:r>
      <w:r>
        <w:t xml:space="preserve">),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and every other component of the DeSurv procedure is held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This control isolates removal of survival supervision at the pipeline level, with the remaining hyperparameters re-optimized rather than held numerically fixed.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resampling seeds, sparse Cox selected a median of 14 genes, range 9–33, and supervised principal components 39, range 5–222), and both were tuned by their standard method-specific cross-validation rather than a budget matched to DeSurv; the comparison therefore characterizes the representations each approach recovers rather than benchmarking tuned predictive performance.</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outcome-neutral background,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outcome-neutral signal is the shared background block, which loads on every factor, so the factor-specific marker genes that carry survival contribute less of the total expression variation than that block.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the mixed scenario differs from the prognostic scenario only in its survival gene set, 300 genes comprising the 150 factor-1 markers and 150 randomly sampled background genes, which creates partial overlap between the prognostic signal and the variance-dominant outcome-neutral background.</w:t>
      </w:r>
    </w:p>
    <w:p>
      <w:pPr>
        <w:pStyle w:val="BodyText"/>
      </w:pPr>
      <w:r>
        <w:t xml:space="preserve">Survival times were generated from an exponential distribution. True factor scores</w:t>
      </w:r>
      <w:r>
        <w:t xml:space="preserve"> </w:t>
      </w:r>
      <m:oMath>
        <m:sSub>
          <m:e>
            <m:r>
              <m:t>Z</m:t>
            </m:r>
          </m:e>
          <m:sub>
            <m:r>
              <m:rPr>
                <m:nor/>
                <m:sty m:val="p"/>
              </m:rPr>
              <m:t>true</m:t>
            </m:r>
          </m:sub>
        </m:sSub>
        <m:r>
          <m:rPr>
            <m:sty m:val="p"/>
          </m:rPr>
          <m:t>=</m:t>
        </m:r>
        <m:sSubSup>
          <m:e>
            <m:r>
              <m:t>W</m:t>
            </m:r>
          </m:e>
          <m:sub>
            <m:r>
              <m:rPr>
                <m:nor/>
                <m:sty m:val="p"/>
              </m:rPr>
              <m:t>true</m:t>
            </m:r>
          </m:sub>
          <m:sup>
            <m:r>
              <m:rPr>
                <m:sty m:val="p"/>
              </m:rPr>
              <m:t>⊤</m:t>
            </m:r>
          </m:sup>
        </m:sSubSup>
        <m:r>
          <m:t>X</m:t>
        </m:r>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were standardized column-wise; the linear predictor was</w:t>
      </w:r>
      <w:r>
        <w:t xml:space="preserve"> </w:t>
      </w:r>
      <m:oMath>
        <m:r>
          <m:t>η</m:t>
        </m:r>
        <m:r>
          <m:rPr>
            <m:sty m:val="p"/>
          </m:rPr>
          <m:t>=</m:t>
        </m:r>
        <m:sSub>
          <m:e>
            <m:r>
              <m:t>Z</m:t>
            </m:r>
          </m:e>
          <m:sub>
            <m:r>
              <m:rPr>
                <m:nor/>
                <m:sty m:val="p"/>
              </m:rPr>
              <m:t>true</m:t>
            </m:r>
          </m:sub>
        </m:sSub>
        <m:r>
          <m:t>β</m:t>
        </m:r>
      </m:oMath>
      <w:r>
        <w:t xml:space="preserve">;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Each dataset was analyzed using DeSurv and unsupervised NMF (</w:t>
      </w:r>
      <m:oMath>
        <m:r>
          <m:t>α</m:t>
        </m:r>
        <m:r>
          <m:rPr>
            <m:sty m:val="p"/>
          </m:rPr>
          <m:t>=</m:t>
        </m:r>
        <m:r>
          <m:t>0</m:t>
        </m:r>
      </m:oMath>
      <w:r>
        <w:t xml:space="preserve">, the unsupervised limit of the same pipeline) followed by Cox regression on inferred factors, both tuned using cross-validated concordance index via Bayesian optimization.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48"/>
    <w:bookmarkStart w:id="49"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49"/>
    <w:bookmarkStart w:id="50"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0"/>
    <w:bookmarkEnd w:id="51"/>
    <w:bookmarkStart w:id="52"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2"/>
    <w:bookmarkStart w:id="55"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3">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54">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55"/>
    <w:bookmarkStart w:id="56"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56"/>
    <w:bookmarkStart w:id="57"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7"/>
    <w:bookmarkStart w:id="58"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58"/>
    <w:bookmarkStart w:id="151" w:name="references"/>
    <w:p>
      <w:pPr>
        <w:pStyle w:val="Heading1"/>
      </w:pPr>
      <w:r>
        <w:t xml:space="preserve">References</w:t>
      </w:r>
    </w:p>
    <w:bookmarkStart w:id="150" w:name="refs"/>
    <w:bookmarkStart w:id="60" w:name="ref-siegel2026cancer"/>
    <w:p>
      <w:pPr>
        <w:pStyle w:val="Bibliography"/>
      </w:pPr>
      <w:r>
        <w:t xml:space="preserve">1.</w:t>
      </w:r>
      <w:r>
        <w:t xml:space="preserve"> </w:t>
      </w:r>
      <w:r>
        <w:t xml:space="preserve">	</w:t>
      </w:r>
      <w:r>
        <w:t xml:space="preserve">Siegel, R. L., Kratzer, T. B., Wagle, N. S., Sung, H. &amp; Jemal, A.</w:t>
      </w:r>
      <w:r>
        <w:t xml:space="preserve"> </w:t>
      </w:r>
      <w:hyperlink r:id="rId59">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0"/>
    <w:bookmarkStart w:id="62"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1">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2"/>
    <w:bookmarkStart w:id="64"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3">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4"/>
    <w:bookmarkStart w:id="66"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5">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6"/>
    <w:bookmarkStart w:id="68"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7">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8"/>
    <w:bookmarkStart w:id="70"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9">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0"/>
    <w:bookmarkStart w:id="72"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1">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2"/>
    <w:bookmarkStart w:id="74"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3">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4"/>
    <w:bookmarkStart w:id="76"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75">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76"/>
    <w:bookmarkStart w:id="78"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77">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8"/>
    <w:bookmarkStart w:id="80" w:name="ref-nguyen2024fourteen"/>
    <w:p>
      <w:pPr>
        <w:pStyle w:val="Bibliography"/>
      </w:pPr>
      <w:r>
        <w:t xml:space="preserve">11.</w:t>
      </w:r>
      <w:r>
        <w:t xml:space="preserve"> </w:t>
      </w:r>
      <w:r>
        <w:t xml:space="preserve">	</w:t>
      </w:r>
      <w:r>
        <w:t xml:space="preserve">Nguyen, H., Nguyen, H., Tran, D., Draghici, S. &amp; Nguyen, T.</w:t>
      </w:r>
      <w:r>
        <w:t xml:space="preserve"> </w:t>
      </w:r>
      <w:hyperlink r:id="rId79">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0"/>
    <w:bookmarkStart w:id="82" w:name="ref-lee1999learning"/>
    <w:p>
      <w:pPr>
        <w:pStyle w:val="Bibliography"/>
      </w:pPr>
      <w:r>
        <w:t xml:space="preserve">12.</w:t>
      </w:r>
      <w:r>
        <w:t xml:space="preserve"> </w:t>
      </w:r>
      <w:r>
        <w:t xml:space="preserve">	</w:t>
      </w:r>
      <w:r>
        <w:t xml:space="preserve">Lee, D. D. &amp; Seung, H. S.</w:t>
      </w:r>
      <w:r>
        <w:t xml:space="preserve"> </w:t>
      </w:r>
      <w:hyperlink r:id="rId8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2"/>
    <w:bookmarkStart w:id="84" w:name="ref-brunet2004metagenes"/>
    <w:p>
      <w:pPr>
        <w:pStyle w:val="Bibliography"/>
      </w:pPr>
      <w:r>
        <w:t xml:space="preserve">13.</w:t>
      </w:r>
      <w:r>
        <w:t xml:space="preserve"> </w:t>
      </w:r>
      <w:r>
        <w:t xml:space="preserve">	</w:t>
      </w:r>
      <w:r>
        <w:t xml:space="preserve">Brunet, J.-P., Tamayo, P., Golub, T. R. &amp; Mesirov, J. P.</w:t>
      </w:r>
      <w:r>
        <w:t xml:space="preserve"> </w:t>
      </w:r>
      <w:hyperlink r:id="rId83">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84"/>
    <w:bookmarkStart w:id="86" w:name="ref-peng2019novo"/>
    <w:p>
      <w:pPr>
        <w:pStyle w:val="Bibliography"/>
      </w:pPr>
      <w:r>
        <w:t xml:space="preserve">14.</w:t>
      </w:r>
      <w:r>
        <w:t xml:space="preserve"> </w:t>
      </w:r>
      <w:r>
        <w:t xml:space="preserve">	</w:t>
      </w:r>
      <w:r>
        <w:t xml:space="preserve">Peng, X. L., Moffitt, R. A., Torphy, R. J., Volmar, K. E. &amp; Yeh, J. J.</w:t>
      </w:r>
      <w:r>
        <w:t xml:space="preserve"> </w:t>
      </w:r>
      <w:hyperlink r:id="rId85">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6"/>
    <w:bookmarkStart w:id="88" w:name="ref-bair2004semi"/>
    <w:p>
      <w:pPr>
        <w:pStyle w:val="Bibliography"/>
      </w:pPr>
      <w:r>
        <w:t xml:space="preserve">15.</w:t>
      </w:r>
      <w:r>
        <w:t xml:space="preserve"> </w:t>
      </w:r>
      <w:r>
        <w:t xml:space="preserve">	</w:t>
      </w:r>
      <w:r>
        <w:t xml:space="preserve">Bair, E. &amp; Tibshirani, R.</w:t>
      </w:r>
      <w:r>
        <w:t xml:space="preserve"> </w:t>
      </w:r>
      <w:hyperlink r:id="rId87">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8"/>
    <w:bookmarkStart w:id="90" w:name="ref-cook2007fisher"/>
    <w:p>
      <w:pPr>
        <w:pStyle w:val="Bibliography"/>
      </w:pPr>
      <w:r>
        <w:t xml:space="preserve">16.</w:t>
      </w:r>
      <w:r>
        <w:t xml:space="preserve"> </w:t>
      </w:r>
      <w:r>
        <w:t xml:space="preserve">	</w:t>
      </w:r>
      <w:r>
        <w:t xml:space="preserve">Cook, R. D.</w:t>
      </w:r>
      <w:r>
        <w:t xml:space="preserve"> </w:t>
      </w:r>
      <w:hyperlink r:id="rId89">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0"/>
    <w:bookmarkStart w:id="92"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1">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2"/>
    <w:bookmarkStart w:id="94" w:name="ref-aran2015systematic"/>
    <w:p>
      <w:pPr>
        <w:pStyle w:val="Bibliography"/>
      </w:pPr>
      <w:r>
        <w:t xml:space="preserve">18.</w:t>
      </w:r>
      <w:r>
        <w:t xml:space="preserve"> </w:t>
      </w:r>
      <w:r>
        <w:t xml:space="preserve">	</w:t>
      </w:r>
      <w:r>
        <w:t xml:space="preserve">Aran, D., Sirota, M. &amp; Butte, A. J.</w:t>
      </w:r>
      <w:r>
        <w:t xml:space="preserve"> </w:t>
      </w:r>
      <w:hyperlink r:id="rId93">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4"/>
    <w:bookmarkStart w:id="95"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5"/>
    <w:bookmarkStart w:id="97"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6">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7"/>
    <w:bookmarkStart w:id="98"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8"/>
    <w:bookmarkStart w:id="100"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9">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0"/>
    <w:bookmarkStart w:id="102"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1">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2"/>
    <w:bookmarkStart w:id="104"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3">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4"/>
    <w:bookmarkStart w:id="106"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5">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6"/>
    <w:bookmarkStart w:id="108" w:name="ref-snoek2012practical"/>
    <w:p>
      <w:pPr>
        <w:pStyle w:val="Bibliography"/>
      </w:pPr>
      <w:r>
        <w:t xml:space="preserve">26.</w:t>
      </w:r>
      <w:r>
        <w:t xml:space="preserve"> </w:t>
      </w:r>
      <w:r>
        <w:t xml:space="preserve">	</w:t>
      </w:r>
      <w:r>
        <w:t xml:space="preserve">Snoek, J., Larochelle, H. &amp; Adams, R. P.</w:t>
      </w:r>
      <w:r>
        <w:t xml:space="preserve"> </w:t>
      </w:r>
      <w:hyperlink r:id="rId107">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8"/>
    <w:bookmarkStart w:id="110"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9">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0"/>
    <w:bookmarkStart w:id="112" w:name="ref-frigyesi2008nmf"/>
    <w:p>
      <w:pPr>
        <w:pStyle w:val="Bibliography"/>
      </w:pPr>
      <w:r>
        <w:t xml:space="preserve">28.</w:t>
      </w:r>
      <w:r>
        <w:t xml:space="preserve"> </w:t>
      </w:r>
      <w:r>
        <w:t xml:space="preserve">	</w:t>
      </w:r>
      <w:r>
        <w:t xml:space="preserve">Frigyesi, A. &amp; Höglund, M.</w:t>
      </w:r>
      <w:r>
        <w:t xml:space="preserve"> </w:t>
      </w:r>
      <w:hyperlink r:id="rId111">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2"/>
    <w:bookmarkStart w:id="114"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3">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4"/>
    <w:bookmarkStart w:id="116"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5">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6"/>
    <w:bookmarkStart w:id="117"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7"/>
    <w:bookmarkStart w:id="118"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8"/>
    <w:bookmarkStart w:id="119"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9"/>
    <w:bookmarkStart w:id="121" w:name="ref-zaccaria2023surviae"/>
    <w:p>
      <w:pPr>
        <w:pStyle w:val="Bibliography"/>
      </w:pPr>
      <w:r>
        <w:t xml:space="preserve">34.</w:t>
      </w:r>
      <w:r>
        <w:t xml:space="preserve"> </w:t>
      </w:r>
      <w:r>
        <w:t xml:space="preserve">	</w:t>
      </w:r>
      <w:r>
        <w:t xml:space="preserve">Zaccaria, G. M.</w:t>
      </w:r>
      <w:r>
        <w:t xml:space="preserve"> </w:t>
      </w:r>
      <w:r>
        <w:rPr>
          <w:iCs/>
          <w:i/>
        </w:rPr>
        <w:t xml:space="preserve">et al.</w:t>
      </w:r>
      <w:r>
        <w:t xml:space="preserve"> </w:t>
      </w:r>
      <w:hyperlink r:id="rId120">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1"/>
    <w:bookmarkStart w:id="123" w:name="ref-meng2022savae"/>
    <w:p>
      <w:pPr>
        <w:pStyle w:val="Bibliography"/>
      </w:pPr>
      <w:r>
        <w:t xml:space="preserve">35.</w:t>
      </w:r>
      <w:r>
        <w:t xml:space="preserve"> </w:t>
      </w:r>
      <w:r>
        <w:t xml:space="preserve">	</w:t>
      </w:r>
      <w:r>
        <w:t xml:space="preserve">Meng, X.</w:t>
      </w:r>
      <w:r>
        <w:t xml:space="preserve"> </w:t>
      </w:r>
      <w:r>
        <w:rPr>
          <w:iCs/>
          <w:i/>
        </w:rPr>
        <w:t xml:space="preserve">et al.</w:t>
      </w:r>
      <w:r>
        <w:t xml:space="preserve"> </w:t>
      </w:r>
      <w:hyperlink r:id="rId122">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3"/>
    <w:bookmarkStart w:id="125" w:name="ref-ogawa2020stroma"/>
    <w:p>
      <w:pPr>
        <w:pStyle w:val="Bibliography"/>
      </w:pPr>
      <w:r>
        <w:t xml:space="preserve">36.</w:t>
      </w:r>
      <w:r>
        <w:t xml:space="preserve"> </w:t>
      </w:r>
      <w:r>
        <w:t xml:space="preserve">	</w:t>
      </w:r>
      <w:r>
        <w:t xml:space="preserve">Ogawa, Y.</w:t>
      </w:r>
      <w:r>
        <w:t xml:space="preserve"> </w:t>
      </w:r>
      <w:r>
        <w:rPr>
          <w:iCs/>
          <w:i/>
        </w:rPr>
        <w:t xml:space="preserve">et al.</w:t>
      </w:r>
      <w:r>
        <w:t xml:space="preserve"> </w:t>
      </w:r>
      <w:hyperlink r:id="rId124">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5"/>
    <w:bookmarkStart w:id="127" w:name="ref-neuzillet2022periostin"/>
    <w:p>
      <w:pPr>
        <w:pStyle w:val="Bibliography"/>
      </w:pPr>
      <w:r>
        <w:t xml:space="preserve">37.</w:t>
      </w:r>
      <w:r>
        <w:t xml:space="preserve"> </w:t>
      </w:r>
      <w:r>
        <w:t xml:space="preserve">	</w:t>
      </w:r>
      <w:r>
        <w:t xml:space="preserve">Neuzillet, C.</w:t>
      </w:r>
      <w:r>
        <w:t xml:space="preserve"> </w:t>
      </w:r>
      <w:r>
        <w:rPr>
          <w:iCs/>
          <w:i/>
        </w:rPr>
        <w:t xml:space="preserve">et al.</w:t>
      </w:r>
      <w:r>
        <w:t xml:space="preserve"> </w:t>
      </w:r>
      <w:hyperlink r:id="rId126">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7"/>
    <w:bookmarkStart w:id="129" w:name="ref-lee2024tumorcaf"/>
    <w:p>
      <w:pPr>
        <w:pStyle w:val="Bibliography"/>
      </w:pPr>
      <w:r>
        <w:t xml:space="preserve">38.</w:t>
      </w:r>
      <w:r>
        <w:t xml:space="preserve"> </w:t>
      </w:r>
      <w:r>
        <w:t xml:space="preserve">	</w:t>
      </w:r>
      <w:r>
        <w:t xml:space="preserve">Lee, J. J.</w:t>
      </w:r>
      <w:r>
        <w:t xml:space="preserve"> </w:t>
      </w:r>
      <w:r>
        <w:rPr>
          <w:iCs/>
          <w:i/>
        </w:rPr>
        <w:t xml:space="preserve">et al.</w:t>
      </w:r>
      <w:r>
        <w:t xml:space="preserve"> </w:t>
      </w:r>
      <w:hyperlink r:id="rId128">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9"/>
    <w:bookmarkStart w:id="131" w:name="ref-newman2019cibersortx"/>
    <w:p>
      <w:pPr>
        <w:pStyle w:val="Bibliography"/>
      </w:pPr>
      <w:r>
        <w:t xml:space="preserve">39.</w:t>
      </w:r>
      <w:r>
        <w:t xml:space="preserve"> </w:t>
      </w:r>
      <w:r>
        <w:t xml:space="preserve">	</w:t>
      </w:r>
      <w:r>
        <w:t xml:space="preserve">Newman, A. M.</w:t>
      </w:r>
      <w:r>
        <w:t xml:space="preserve"> </w:t>
      </w:r>
      <w:r>
        <w:rPr>
          <w:iCs/>
          <w:i/>
        </w:rPr>
        <w:t xml:space="preserve">et al.</w:t>
      </w:r>
      <w:r>
        <w:t xml:space="preserve"> </w:t>
      </w:r>
      <w:hyperlink r:id="rId130">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1"/>
    <w:bookmarkStart w:id="133" w:name="ref-chu2022bayesprism"/>
    <w:p>
      <w:pPr>
        <w:pStyle w:val="Bibliography"/>
      </w:pPr>
      <w:r>
        <w:t xml:space="preserve">40.</w:t>
      </w:r>
      <w:r>
        <w:t xml:space="preserve"> </w:t>
      </w:r>
      <w:r>
        <w:t xml:space="preserve">	</w:t>
      </w:r>
      <w:r>
        <w:t xml:space="preserve">Chu, T., Wang, Z., Pe’er, D. &amp; Danko, C. G.</w:t>
      </w:r>
      <w:r>
        <w:t xml:space="preserve"> </w:t>
      </w:r>
      <w:hyperlink r:id="rId132">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3"/>
    <w:bookmarkStart w:id="135" w:name="ref-smith2020standard"/>
    <w:p>
      <w:pPr>
        <w:pStyle w:val="Bibliography"/>
      </w:pPr>
      <w:r>
        <w:t xml:space="preserve">41.</w:t>
      </w:r>
      <w:r>
        <w:t xml:space="preserve"> </w:t>
      </w:r>
      <w:r>
        <w:t xml:space="preserve">	</w:t>
      </w:r>
      <w:r>
        <w:t xml:space="preserve">Smith, A. M.</w:t>
      </w:r>
      <w:r>
        <w:t xml:space="preserve"> </w:t>
      </w:r>
      <w:r>
        <w:rPr>
          <w:iCs/>
          <w:i/>
        </w:rPr>
        <w:t xml:space="preserve">et al.</w:t>
      </w:r>
      <w:r>
        <w:t xml:space="preserve"> </w:t>
      </w:r>
      <w:hyperlink r:id="rId134">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5"/>
    <w:bookmarkStart w:id="137" w:name="ref-gaujoux2010flexible"/>
    <w:p>
      <w:pPr>
        <w:pStyle w:val="Bibliography"/>
      </w:pPr>
      <w:r>
        <w:t xml:space="preserve">42.</w:t>
      </w:r>
      <w:r>
        <w:t xml:space="preserve"> </w:t>
      </w:r>
      <w:r>
        <w:t xml:space="preserve">	</w:t>
      </w:r>
      <w:r>
        <w:t xml:space="preserve">Gaujoux, R. &amp; Seoighe, C.</w:t>
      </w:r>
      <w:r>
        <w:t xml:space="preserve"> </w:t>
      </w:r>
      <w:hyperlink r:id="rId136">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7"/>
    <w:bookmarkStart w:id="139" w:name="ref-data_tcga_paad"/>
    <w:p>
      <w:pPr>
        <w:pStyle w:val="Bibliography"/>
      </w:pPr>
      <w:r>
        <w:t xml:space="preserve">43.</w:t>
      </w:r>
      <w:r>
        <w:t xml:space="preserve"> </w:t>
      </w:r>
      <w:r>
        <w:t xml:space="preserve">	</w:t>
      </w:r>
      <w:r>
        <w:t xml:space="preserve">The Cancer Genome Atlas Research Network.</w:t>
      </w:r>
      <w:r>
        <w:t xml:space="preserve"> </w:t>
      </w:r>
      <w:hyperlink r:id="rId138">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9"/>
    <w:bookmarkStart w:id="141"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0">
        <w:r>
          <w:rPr>
            <w:rStyle w:val="Hyperlink"/>
          </w:rPr>
          <w:t xml:space="preserve">Data from CPTAC-3 pancreatic ductal adenocarcinoma cohort</w:t>
        </w:r>
      </w:hyperlink>
      <w:r>
        <w:t xml:space="preserve">. (2019).</w:t>
      </w:r>
    </w:p>
    <w:bookmarkEnd w:id="141"/>
    <w:bookmarkStart w:id="143"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3"/>
    <w:bookmarkStart w:id="145"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5"/>
    <w:bookmarkStart w:id="147"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6">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7"/>
    <w:bookmarkStart w:id="149"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8">
        <w:r>
          <w:rPr>
            <w:rStyle w:val="Hyperlink"/>
          </w:rPr>
          <w:t xml:space="preserve">Pancreatic cancer (PACA-AU) cohort: Array and RNA-sequencing data</w:t>
        </w:r>
      </w:hyperlink>
      <w:r>
        <w:t xml:space="preserve">. (2016).</w:t>
      </w:r>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2/path.6011" TargetMode="External" /><Relationship Type="http://schemas.openxmlformats.org/officeDocument/2006/relationships/hyperlink" Id="rId103" Target="https://doi.org/10.1016/j.ccell.2017.07.007" TargetMode="External" /><Relationship Type="http://schemas.openxmlformats.org/officeDocument/2006/relationships/hyperlink" Id="rId105" Target="https://doi.org/10.1016/j.cell.2021.08.023" TargetMode="External" /><Relationship Type="http://schemas.openxmlformats.org/officeDocument/2006/relationships/hyperlink" Id="rId120" Target="https://doi.org/10.1016/j.cmpb.2023.107966" TargetMode="External" /><Relationship Type="http://schemas.openxmlformats.org/officeDocument/2006/relationships/hyperlink" Id="rId67" Target="https://doi.org/10.1016/j.xcrm.2026.102611" TargetMode="External" /><Relationship Type="http://schemas.openxmlformats.org/officeDocument/2006/relationships/hyperlink" Id="rId81" Target="https://doi.org/10.1038/44565" TargetMode="External" /><Relationship Type="http://schemas.openxmlformats.org/officeDocument/2006/relationships/hyperlink" Id="rId75" Target="https://doi.org/10.1038/nature16965" TargetMode="External" /><Relationship Type="http://schemas.openxmlformats.org/officeDocument/2006/relationships/hyperlink" Id="rId93" Target="https://doi.org/10.1038/ncomms9971" TargetMode="External" /><Relationship Type="http://schemas.openxmlformats.org/officeDocument/2006/relationships/hyperlink" Id="rId63" Target="https://doi.org/10.1038/ng.3398" TargetMode="External" /><Relationship Type="http://schemas.openxmlformats.org/officeDocument/2006/relationships/hyperlink" Id="rId61" Target="https://doi.org/10.1038/nm.2344" TargetMode="External" /><Relationship Type="http://schemas.openxmlformats.org/officeDocument/2006/relationships/hyperlink" Id="rId85" Target="https://doi.org/10.1038/s41467-019-12517-7" TargetMode="External" /><Relationship Type="http://schemas.openxmlformats.org/officeDocument/2006/relationships/hyperlink" Id="rId73" Target="https://doi.org/10.1038/s41467-023-36296-4" TargetMode="External" /><Relationship Type="http://schemas.openxmlformats.org/officeDocument/2006/relationships/hyperlink" Id="rId130" Target="https://doi.org/10.1038/s41587-019-0114-2" TargetMode="External" /><Relationship Type="http://schemas.openxmlformats.org/officeDocument/2006/relationships/hyperlink" Id="rId69" Target="https://doi.org/10.1038/s41587-019-0392-8" TargetMode="External" /><Relationship Type="http://schemas.openxmlformats.org/officeDocument/2006/relationships/hyperlink" Id="rId71" Target="https://doi.org/10.1038/s41588-022-01134-8" TargetMode="External" /><Relationship Type="http://schemas.openxmlformats.org/officeDocument/2006/relationships/hyperlink" Id="rId91" Target="https://doi.org/10.1038/s42003-023-04461-6" TargetMode="External" /><Relationship Type="http://schemas.openxmlformats.org/officeDocument/2006/relationships/hyperlink" Id="rId132" Target="https://doi.org/10.1038/s43018-022-00356-3" TargetMode="External" /><Relationship Type="http://schemas.openxmlformats.org/officeDocument/2006/relationships/hyperlink" Id="rId83" Target="https://doi.org/10.1073/pnas.0308531101" TargetMode="External" /><Relationship Type="http://schemas.openxmlformats.org/officeDocument/2006/relationships/hyperlink" Id="rId113" Target="https://doi.org/10.1093/bioinformatics/btad449" TargetMode="External" /><Relationship Type="http://schemas.openxmlformats.org/officeDocument/2006/relationships/hyperlink" Id="rId79" Target="https://doi.org/10.1093/nar/gkae267" TargetMode="External" /><Relationship Type="http://schemas.openxmlformats.org/officeDocument/2006/relationships/hyperlink" Id="rId99" Target="https://doi.org/10.1093/narcan/zcac030" TargetMode="External" /><Relationship Type="http://schemas.openxmlformats.org/officeDocument/2006/relationships/hyperlink" Id="rId128" Target="https://doi.org/10.1097/SLA.0000000000006416" TargetMode="External" /><Relationship Type="http://schemas.openxmlformats.org/officeDocument/2006/relationships/hyperlink" Id="rId109" Target="https://doi.org/10.1109/JPROC.2015.2494218" TargetMode="External" /><Relationship Type="http://schemas.openxmlformats.org/officeDocument/2006/relationships/hyperlink" Id="rId115" Target="https://doi.org/10.1136/gutjnl-2018-317706" TargetMode="External" /><Relationship Type="http://schemas.openxmlformats.org/officeDocument/2006/relationships/hyperlink" Id="rId96" Target="https://doi.org/10.1155/2008/764206" TargetMode="External" /><Relationship Type="http://schemas.openxmlformats.org/officeDocument/2006/relationships/hyperlink" Id="rId77" Target="https://doi.org/10.1158/1078-0432.CCR-17-2994" TargetMode="External" /><Relationship Type="http://schemas.openxmlformats.org/officeDocument/2006/relationships/hyperlink" Id="rId65" Target="https://doi.org/10.1158/1078-0432.CCR-19-1467" TargetMode="External" /><Relationship Type="http://schemas.openxmlformats.org/officeDocument/2006/relationships/hyperlink" Id="rId124" Target="https://doi.org/10.1158/1078-0432.CCR-20-2298" TargetMode="External" /><Relationship Type="http://schemas.openxmlformats.org/officeDocument/2006/relationships/hyperlink" Id="rId136" Target="https://doi.org/10.1186/1471-2105-11-367" TargetMode="External" /><Relationship Type="http://schemas.openxmlformats.org/officeDocument/2006/relationships/hyperlink" Id="rId134" Target="https://doi.org/10.1186/s12859-020-3427-8" TargetMode="External" /><Relationship Type="http://schemas.openxmlformats.org/officeDocument/2006/relationships/hyperlink" Id="rId89" Target="https://doi.org/10.1214/088342306000000682" TargetMode="External" /><Relationship Type="http://schemas.openxmlformats.org/officeDocument/2006/relationships/hyperlink" Id="rId87" Target="https://doi.org/10.1371/journal.pbio.0020108" TargetMode="External" /><Relationship Type="http://schemas.openxmlformats.org/officeDocument/2006/relationships/hyperlink" Id="rId101" Target="https://doi.org/10.18637/jss.v039.i05" TargetMode="External" /><Relationship Type="http://schemas.openxmlformats.org/officeDocument/2006/relationships/hyperlink" Id="rId59" Target="https://doi.org/10.3322/caac.70043" TargetMode="External" /><Relationship Type="http://schemas.openxmlformats.org/officeDocument/2006/relationships/hyperlink" Id="rId122" Target="https://doi.org/10.3390/cells11091421" TargetMode="External" /><Relationship Type="http://schemas.openxmlformats.org/officeDocument/2006/relationships/hyperlink" Id="rId111" Target="https://doi.org/10.4137/CIN.S606" TargetMode="External" /><Relationship Type="http://schemas.openxmlformats.org/officeDocument/2006/relationships/hyperlink" Id="rId53" Target="https://github.com/rashidlab/DeSurv" TargetMode="External" /><Relationship Type="http://schemas.openxmlformats.org/officeDocument/2006/relationships/hyperlink" Id="rId54" Target="https://github.com/rashidlab/DeSurv-paper" TargetMode="External" /><Relationship Type="http://schemas.openxmlformats.org/officeDocument/2006/relationships/hyperlink" Id="rId140" Target="https://portal.gdc.cancer.gov/projects/CPTAC-3" TargetMode="External" /><Relationship Type="http://schemas.openxmlformats.org/officeDocument/2006/relationships/hyperlink" Id="rId138" Target="https://portal.gdc.cancer.gov/projects/TCGA-PAAD" TargetMode="External" /><Relationship Type="http://schemas.openxmlformats.org/officeDocument/2006/relationships/hyperlink" Id="rId107" Target="https://proceedings.neurips.cc/paper/2012/hash/05311655a15b75fab86956663e1819cd-Abstract.html" TargetMode="External" /><Relationship Type="http://schemas.openxmlformats.org/officeDocument/2006/relationships/hyperlink" Id="rId144" Target="https://www.ebi.ac.uk/biostudies/arrayexpress/studies/E-MTAB-6134" TargetMode="External" /><Relationship Type="http://schemas.openxmlformats.org/officeDocument/2006/relationships/hyperlink" Id="rId142" Target="https://www.ebi.ac.uk/biostudies/arrayexpress/studies/E-MTAB-6830" TargetMode="External" /><Relationship Type="http://schemas.openxmlformats.org/officeDocument/2006/relationships/hyperlink" Id="rId148" Target="https://www.ncbi.nlm.nih.gov/geo/query/acc.cgi?acc=GSE36924" TargetMode="External" /><Relationship Type="http://schemas.openxmlformats.org/officeDocument/2006/relationships/hyperlink" Id="rId146"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2026-09-09T04:07:40Z</dcterms:created>
  <dcterms:modified xsi:type="dcterms:W3CDTF">2026-09-09T04:07:40Z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and stromal biology, yet transcriptomic programs are typically discovered without patient outcomes. The programs dominating expression variation are therefore not necessarily those most relevant to survival. We developed DeSurv, a survival-supervised matrix factorization that incorporates outcome into gene-program estimation and fixes gene weights for new cohorts. In pooled TCGA and CPTAC cohorts, DeSurv recovered a three-program tumor–stroma architecture whose dominant survival-aligned direction (D1) combined classical-tumor and restCAF-like stromal features. Applied without refitting to five external datasets spanning four independent cohorts, the frozen representation remained prognostic before (HR per SD, 1.42; 95% CI, 1.26–1.59) and after PurIST and DeCAF adjustment. Unsupervised factorization matched on program number and tuning budget did not recover D1; a rank-optimized unsupervised control recovered comparable prognostic information across a broader seven-factor representation. In simulations with known structure, DeSurv more accurately recovered prognostic genes when survival signal contributed little transcriptomic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