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microenvironmental</w:t>
      </w:r>
      <w:r>
        <w:t xml:space="preserve"> </w:t>
      </w:r>
      <w:r>
        <w:t xml:space="preserve">biology.</w:t>
      </w:r>
      <w:r>
        <w:t xml:space="preserve"> </w:t>
      </w:r>
      <w:r>
        <w:t xml:space="preserve">Expression-driven</w:t>
      </w:r>
      <w:r>
        <w:t xml:space="preserve"> </w:t>
      </w:r>
      <w:r>
        <w:t xml:space="preserve">discovery</w:t>
      </w:r>
      <w:r>
        <w:t xml:space="preserve"> </w:t>
      </w:r>
      <w:r>
        <w:t xml:space="preserve">can</w:t>
      </w:r>
      <w:r>
        <w:t xml:space="preserve"> </w:t>
      </w:r>
      <w:r>
        <w:t xml:space="preserve">overlook</w:t>
      </w:r>
      <w:r>
        <w:t xml:space="preserve"> </w:t>
      </w:r>
      <w:r>
        <w:t xml:space="preserve">prognostically</w:t>
      </w:r>
      <w:r>
        <w:t xml:space="preserve"> </w:t>
      </w:r>
      <w:r>
        <w:t xml:space="preserve">relevant</w:t>
      </w:r>
      <w:r>
        <w:t xml:space="preserve"> </w:t>
      </w:r>
      <w:r>
        <w:t xml:space="preserve">programs</w:t>
      </w:r>
      <w:r>
        <w:t xml:space="preserve"> </w:t>
      </w:r>
      <w:r>
        <w:t xml:space="preserve">that</w:t>
      </w:r>
      <w:r>
        <w:t xml:space="preserve"> </w:t>
      </w:r>
      <w:r>
        <w:t xml:space="preserve">contribute</w:t>
      </w:r>
      <w:r>
        <w:t xml:space="preserve"> </w:t>
      </w:r>
      <w:r>
        <w:t xml:space="preserve">little</w:t>
      </w:r>
      <w:r>
        <w:t xml:space="preserve"> </w:t>
      </w:r>
      <w:r>
        <w:t xml:space="preserve">transcriptomic</w:t>
      </w:r>
      <w:r>
        <w:t xml:space="preserve"> </w:t>
      </w:r>
      <w:r>
        <w:t xml:space="preserve">variation.</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patient</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freezes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program</w:t>
      </w:r>
      <w:r>
        <w:t xml:space="preserve"> </w:t>
      </w:r>
      <w:r>
        <w:t xml:space="preserve">(D1)</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r>
        <w:t xml:space="preserve"> </w:t>
      </w:r>
      <w:r>
        <w:t xml:space="preserve">Survival</w:t>
      </w:r>
      <w:r>
        <w:t xml:space="preserve"> </w:t>
      </w:r>
      <w:r>
        <w:t xml:space="preserve">supervision</w:t>
      </w:r>
      <w:r>
        <w:t xml:space="preserve"> </w:t>
      </w:r>
      <w:r>
        <w:t xml:space="preserve">offers</w:t>
      </w:r>
      <w:r>
        <w:t xml:space="preserve"> </w:t>
      </w:r>
      <w:r>
        <w:t xml:space="preserve">a</w:t>
      </w:r>
      <w:r>
        <w:t xml:space="preserve"> </w:t>
      </w:r>
      <w:r>
        <w:t xml:space="preserve">route</w:t>
      </w:r>
      <w:r>
        <w:t xml:space="preserve"> </w:t>
      </w:r>
      <w:r>
        <w:t xml:space="preserve">to</w:t>
      </w:r>
      <w:r>
        <w:t xml:space="preserve"> </w:t>
      </w:r>
      <w:r>
        <w:t xml:space="preserve">prognostically</w:t>
      </w:r>
      <w:r>
        <w:t xml:space="preserve"> </w:t>
      </w:r>
      <w:r>
        <w:t xml:space="preserve">relevant,</w:t>
      </w:r>
      <w:r>
        <w:t xml:space="preserve"> </w:t>
      </w:r>
      <w:r>
        <w:t xml:space="preserve">interpretable</w:t>
      </w:r>
      <w:r>
        <w:t xml:space="preserve"> </w:t>
      </w:r>
      <w:r>
        <w:t xml:space="preserve">programs.</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Its clinical heterogeneity reflects variation in both malignant cells and the surrounding microenvironment.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Expression-defined programs can be evaluated against survival after discovery</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Whether allowing survival to shape program definitions can identify a tumor–stroma program that provides prognostic information beyond established classifications remains unclear. Such programs could provide candidates for prognostic assays and trial stratification, while identifying genes and biological processes for further investigation.</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defined as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When predefined signatures are applied unchanged to a bulk cohort, survival can be used to assess their prognostic relevance but does not alter their gene definitions during that application. The challenge is therefore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its approximation rebuilt from the programs. Such reconstruction-driven criteria favor patterns that capture prominent expression variation regardless of their relevance to patient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w:t>
      </w:r>
    </w:p>
    <w:p>
      <w:pPr>
        <w:pStyle w:val="BodyText"/>
      </w:pPr>
      <w:r>
        <w:t xml:space="preserve">Reconstruction alone also does not uniquely identify the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proposed unsupervised PDAC subtype taxonomies</w:t>
      </w:r>
      <w:hyperlink w:anchor="ref-lautizi2022pancreatic">
        <w:r>
          <w:rPr>
            <w:rStyle w:val="Hyperlink"/>
            <w:vertAlign w:val="superscript"/>
          </w:rPr>
          <w:t xml:space="preserve">22</w:t>
        </w:r>
      </w:hyperlink>
      <w:r>
        <w:t xml:space="preserve">. The basal-like/classical dichotomy developed over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Survival information offers an additional criterion for shaping discovery, although it does not by itself resolve this non-uniqueness.</w:t>
      </w:r>
    </w:p>
    <w:p>
      <w:pPr>
        <w:pStyle w:val="BodyText"/>
      </w:pPr>
      <w:r>
        <w:t xml:space="preserve">Survival-supervised models such as penalized Cox regression and supervised principal components identify outcome-associated expression patterns, but do not explicitly separate those patterns into malignant and microenvironmental programs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NMF at matched and higher rank (the number of programs the factorization extracts) and with conventional survival models such as penalized Cox regression and supervised principal components (Supplementary Table [tab:architecture]). We then evaluate the clinical relevance of the frozen programs in independent cohorts and ask whether they retain prognostic information beyond established PDAC classifiers. Simulations in which the true underlying (latent) programs are known characterize the conditions under which survival supervision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learns gene programs by balancing reconstruction of the tumor transcriptome with association to patient survival. A supervision parameter</w:t>
      </w:r>
      <w:r>
        <w:t xml:space="preserve"> </w:t>
      </w:r>
      <m:oMath>
        <m:r>
          <m:t>α</m:t>
        </m:r>
      </m:oMath>
      <w:r>
        <w:t xml:space="preserve"> </w:t>
      </w:r>
      <w:r>
        <w:t xml:space="preserve">controls the strength of survival supervision, with</w:t>
      </w:r>
      <w:r>
        <w:t xml:space="preserve"> </w:t>
      </w:r>
      <m:oMath>
        <m:r>
          <m:t>α</m:t>
        </m:r>
        <m:r>
          <m:rPr>
            <m:sty m:val="p"/>
          </m:rPr>
          <m:t>=</m:t>
        </m:r>
        <m:r>
          <m:t>0</m:t>
        </m:r>
      </m:oMath>
      <w:r>
        <w:t xml:space="preserve"> </w:t>
      </w:r>
      <w:r>
        <w:t xml:space="preserve">leaving a purely reconstruction-driven factorization, and the rank</w:t>
      </w:r>
      <w:r>
        <w:t xml:space="preserve"> </w:t>
      </w:r>
      <m:oMath>
        <m:r>
          <m:t>k</m:t>
        </m:r>
      </m:oMath>
      <w:r>
        <w:t xml:space="preserve"> </w:t>
      </w:r>
      <w:r>
        <w:t xml:space="preserve">sets how many programs are extracted (Fig. [fig:schema]a; Methods). After training, the gene weights and the Cox coefficients are fixed.</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The reported combination was therefore not itself evaluated during the Bayesian-optimization search. In contrast, standard unsupervised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rank choices in the same data (Supplementary Fig. [fig:fig-nmf-diagnostics]), echoing the cross-study instability of unsupervised PDAC subtype taxonomies</w:t>
      </w:r>
      <w:hyperlink w:anchor="ref-lautizi2022pancreatic">
        <w:r>
          <w:rPr>
            <w:rStyle w:val="Hyperlink"/>
            <w:vertAlign w:val="superscript"/>
          </w:rPr>
          <w:t xml:space="preserve">22</w:t>
        </w:r>
      </w:hyperlink>
      <w:r>
        <w:t xml:space="preserve">.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Both methods recovered the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 which reference programs are recovered from bulk).</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factors. However, in post-fit unpenalized Cox models of the three training-cohort scores projected over all analyzed genes,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w:t>
      </w:r>
    </w:p>
    <w:p>
      <w:pPr>
        <w:pStyle w:val="BodyText"/>
      </w:pPr>
      <w:r>
        <w:t xml:space="preserve">Tuning effort did not appear to explain this difference. We repeated the comparison with a matched-budget unsupervised control, which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its factorization objective, although it still guided its tuning, including the gene support that enters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These rows are correspondences between bulk gene programs and reference signatures, not direct identification of CAF cell states. (c) Per-factor reconstruction contribution (normalized Shapley share, summing to 100%) versus survival contribution, the decrease in the maximized unpenalized Cox partial log-likelihood when one factor is dropped from the three training-cohort scores projected over all analyzed genes and the Cox model is refitted using the remaining scores. These increments are conditional and nonadditive; D1 was estimated using these survival outcomes, so its increment locates the survival signal in the fitted model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915ee18e1a2dc2b5722a73512521e895820b749"/>
    <w:p>
      <w:pPr>
        <w:pStyle w:val="Heading2"/>
      </w:pPr>
      <w:r>
        <w:t xml:space="preserve">Frozen programs retain prognostic relevance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yielded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None of the three standard NMF factors at the same rank showed a significant combined association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and leave-one-dataset-out estimates were similar (HRs 1.34–1.45; Fig. [fig:val]a).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dataset-stratified Cox on the de-duplicated patient-level data, with each program standardized within dataset and scored on the union top-gene support;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in the training data; supervised scores concentrate on D1 and are only weakly correlated with the D2 stromal program. These score correspondences do not establish recovery of identical gene programs. No validation-cohort survival outcomes were used in training, scoring or hyperparameter selection; they enter only the association estimates shown and the separately described recalibration analysis (Methods; Supplementary Information, Proper-scoring sensitivity of the external validation).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Within the PACA-AU datasets, these findings argue against measured tumor purity as the main explanation for the observed associations,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probing chiefly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into independent treated PDAC cohorts),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scored from laser-capture microdissected, epithelial-enriched profiles;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direction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DeSurv places the shared prognostic direction within separately scored tumor and stromal programs and provides program-specific gene lists for biological investigation and future classifier development.</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(Supplementary Information, Simulation design and data generation).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Under this setting, DeSurv more accurately recovered the genes defining the true prognostic program, whereas unsupervised NMF was more strongly influenced by the dominant background structure (Fig. [fig:sim]a,b). Across 100 simulated datasets, median matched-factor precision (the proportion of the best-matching learned program’s selected genes belonging to the true prognostic gene set) was 0.50 for DeSurv versus 0.07 for unsupervised NMF.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was concentrated in recovery of program-specific marker genes and was smaller for the shared background genes included in the survival-generating set (Supplementary Fig. [fig:fig-sim-null-mixed]), consistent with supervision acting on the genes that define the prognostic program. Under the null, test-set concordance was near chance for both methods. There,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medians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0.50 versus 0.07. The best-matching program is selected using the known simulated gene set; this evaluates recovery with access to ground truth. Global marker recall, which uses no matching, is reported in the Supplementary Information. In (a) and (b), boxes show median and interquartile range; whiskers extend to</w:t>
      </w:r>
      <w:r>
        <w:rPr>
          <w:iCs/>
          <w:i/>
        </w:rPr>
        <w:t xml:space="preserve"> </w:t>
      </w:r>
      <m:oMath>
        <m:r>
          <m:t>1.5</m:t>
        </m:r>
        <m:r>
          <m:rPr>
            <m:sty m:val="p"/>
          </m:rPr>
          <m:t>×</m:t>
        </m:r>
      </m:oMath>
      <w:r>
        <w:rPr>
          <w:iCs/>
          <w:i/>
        </w:rPr>
        <w:t xml:space="preserve">IQR; points are individual simulated datasets. (c) Distribution of selected ranks across simulated datasets for DeSurv versus unsupervised NMF. (d) The same matched-factor precision metric as in (b), computed for two signal regimes: a prognostic program whose genes carry low transcriptomic variance relative to the shared background excluded from the survival-generating gene set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a rank-optimized unsupervised control carried comparable prognostic information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then transferred without refitting across four independent external patient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produced scores aligned with the dominant prognostic direction, correlating only weakly with the separately resolved proCAF-like program (Fig. [fig:val]b). These comparisons separate prognostic information from the representation in which that information is recovered.</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In DeSurv, it depends directly on projections through the gene-program matrix, and new samples are scored using fixed gene weights without an additional sample-loading estimation step (Supplementary Table [tab:architecture]).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 and reference-based deconvolution methods such as CIBERSORTx</w:t>
      </w:r>
      <w:hyperlink w:anchor="ref-newman2019cibersortx">
        <w:r>
          <w:rPr>
            <w:rStyle w:val="Hyperlink"/>
            <w:vertAlign w:val="superscript"/>
          </w:rPr>
          <w:t xml:space="preserve">36</w:t>
        </w:r>
      </w:hyperlink>
      <w:r>
        <w:t xml:space="preserve"> </w:t>
      </w:r>
      <w:r>
        <w:t xml:space="preserve">and BayesPrism</w:t>
      </w:r>
      <w:hyperlink w:anchor="ref-chu2022bayesprism">
        <w:r>
          <w:rPr>
            <w:rStyle w:val="Hyperlink"/>
            <w:vertAlign w:val="superscript"/>
          </w:rPr>
          <w:t xml:space="preserve">37</w:t>
        </w:r>
      </w:hyperlink>
      <w:r>
        <w:t xml:space="preserve"> </w:t>
      </w:r>
      <w:r>
        <w:t xml:space="preserve">estimate the abundance of predefined cell types rather than outcome-aligned programs, so DeSurv is complementary to them.</w:t>
      </w:r>
    </w:p>
    <w:p>
      <w:pPr>
        <w:pStyle w:val="BodyText"/>
      </w:pPr>
      <w:r>
        <w:t xml:space="preserve">Program-level outputs are the practical product of this architecture, because the genes assigned to a program determine how it is interpreted and what is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Program-specific gene lists connect measured scores to biological annotation and provide candidates for subsequent classifier development. DeSurv extends this line of work by allowing patient outcomes to influence the gene weights themselves, and D2 remains available as separately measurable proCAF-like stromal context although the fitted risk score combines D1 and D3.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it does not remove the non-uniqueness of matrix factorization, and individual DeSurv runs from different random starts recover appreciably different gene sets. Split-half consensus fits agreed closely with the reported basis (Supplementary Information, Stability of the recovered gene programs), which supports stability to restart-pool composition within the training data while leaving reproducibility under independent repetition, and the stability of the full consensus procedure under patient resampling, to be established.</w:t>
      </w:r>
    </w:p>
    <w:p>
      <w:pPr>
        <w:pStyle w:val="BodyText"/>
      </w:pPr>
      <w:r>
        <w:t xml:space="preserve">The simulations identify conditions under which survival information improves program recovery. They give a controlled example of how survival supervision can prioritize prognostically relevant structure that contributes relatively little expression variation.</w:t>
      </w:r>
    </w:p>
    <w:p>
      <w:pPr>
        <w:pStyle w:val="BodyText"/>
      </w:pPr>
      <w:r>
        <w:t xml:space="preserve">Three statistical qualifications bound the prognostic findings. DeSurv uses a proportional-hazards objective, while the external validation data showed attenuation of the prognostic association over follow-up (Schoenfeld test,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in the association across treatments.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organization is consistent with broader evidence that malignant lineage state and stromal composition vary together in PDAC</w:t>
      </w:r>
      <w:hyperlink w:anchor="ref-ogawa2020stroma">
        <w:r>
          <w:rPr>
            <w:rStyle w:val="Hyperlink"/>
            <w:vertAlign w:val="superscript"/>
          </w:rPr>
          <w:t xml:space="preserve">38</w:t>
        </w:r>
      </w:hyperlink>
      <w:r>
        <w:rPr>
          <w:vertAlign w:val="superscript"/>
        </w:rPr>
        <w:t xml:space="preserve">–</w:t>
      </w:r>
      <w:hyperlink w:anchor="ref-lee2024tumorcaf">
        <w:r>
          <w:rPr>
            <w:rStyle w:val="Hyperlink"/>
            <w:vertAlign w:val="superscript"/>
          </w:rPr>
          <w:t xml:space="preserve">40</w:t>
        </w:r>
      </w:hyperlink>
      <w:r>
        <w:t xml:space="preserve">. Adjustment for PurIST and DeCAF supports D1’s prognostic association beyond those classifiers, purity adjustment in the PACA-AU datasets leaves the risk score’s association essentially unchanged, and other supervised methods recover a related patient-score direction.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 PDAC is the empirical demonstration presented here rather than evidence of pan-cancer validation.</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That proposal does not differentiate the</w:t>
      </w:r>
      <w:r>
        <w:t xml:space="preserve"> </w:t>
      </w:r>
      <m:oMath>
        <m:r>
          <m:t>W</m:t>
        </m:r>
      </m:oMath>
      <w:r>
        <w:t xml:space="preserve">-dependent penalty on the standardized-score coefficients and is therefore not the gradient of the full objective, so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and is then evaluated under the full objective by a backtracking line search (Supplementary Information, Optimization Algorithm and Normalization of W).</w:t>
      </w:r>
    </w:p>
    <w:p>
      <w:pPr>
        <w:pStyle w:val="BodyText"/>
      </w:pPr>
      <m:oMath>
        <m:r>
          <m:t>β</m:t>
        </m:r>
      </m:oMath>
      <w:r>
        <w:t xml:space="preserve"> </w:t>
      </w:r>
      <w:r>
        <w:t xml:space="preserve">is then updated by Coxnet-style cyclic coordinate descent on the current centered and standardized factor scores, and is refit on the converged</w:t>
      </w:r>
      <w:r>
        <w:t xml:space="preserve"> </w:t>
      </w:r>
      <m:oMath>
        <m:r>
          <m:t>W</m:t>
        </m:r>
      </m:oMath>
      <w:r>
        <w:t xml:space="preserve"> </w:t>
      </w:r>
      <w:r>
        <w:t xml:space="preserve">once the outer loop terminates. The coordinate sweeps approximate rather than exactly minimize the conditional objective, and their proposal is accepted only under a safeguard that prevents it from increasing the evaluated objective, so the</w:t>
      </w:r>
      <w:r>
        <w:t xml:space="preserve"> </w:t>
      </w:r>
      <m:oMath>
        <m:r>
          <m:t>β</m:t>
        </m:r>
      </m:oMath>
      <w:r>
        <w:t xml:space="preserve"> </w:t>
      </w:r>
      <w:r>
        <w:t xml:space="preserve">block is non-increasing in that objective without establishing convergence to a conditional or joint optimum. The closed-form update, the stopping tolerances and the iteration cap are given in Supplementary Information, Update for</w:t>
      </w:r>
      <w:r>
        <w:t xml:space="preserve"> </w:t>
      </w:r>
      <m:oMath>
        <m:r>
          <m:t>β</m:t>
        </m:r>
      </m:oMath>
      <w:r>
        <w:t xml:space="preserve"> </w:t>
      </w:r>
      <w:r>
        <w:t xml:space="preserve">and Bayesian Optimization.</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none failed numerically, and the recorded outer-loop objective decreased monotonically (Supplementary Information, Empirical optimization stability across random initializations). Monotone decrease together with the stopping rule on the cosine change of</w:t>
      </w:r>
      <w:r>
        <w:t xml:space="preserve"> </w:t>
      </w:r>
      <m:oMath>
        <m:r>
          <m:t>W</m:t>
        </m:r>
      </m:oMath>
      <w:r>
        <w:t xml:space="preserve"> </w:t>
      </w:r>
      <w:r>
        <w:t xml:space="preserve">and</w:t>
      </w:r>
      <w:r>
        <w:t xml:space="preserve"> </w:t>
      </w:r>
      <m:oMath>
        <m:r>
          <m:t>H</m:t>
        </m:r>
      </m:oMath>
      <w:r>
        <w:t xml:space="preserve"> </w:t>
      </w:r>
      <w:r>
        <w:t xml:space="preserve">(Supplementary Information, Optimization Algorithm) is what these runs establish, and they are checks on the optimizer rather than on which programs it recovers.</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the remaining hyperparameters were those of the best observed configuration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an exhaustive grid over ranks and supervision strengths at the selected non-rank hyperparameters, to which the same one-standard-error rule again selects</w:t>
      </w:r>
      <w:r>
        <w:t xml:space="preserve"> </w:t>
      </w:r>
      <m:oMath>
        <m:r>
          <m:t>k</m:t>
        </m:r>
        <m:r>
          <m:rPr>
            <m:sty m:val="p"/>
          </m:rPr>
          <m:t>=</m:t>
        </m:r>
        <m:r>
          <m:t>3</m:t>
        </m:r>
      </m:oMath>
      <w:r>
        <w:t xml:space="preserve"> </w:t>
      </w:r>
      <w:r>
        <w:t xml:space="preserve">(Supplementary Information, Bayesian Optimization and Cross-validated C-index across factorization rank).</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which gave inconsistent guidance across candidate ranks in these training data (Supplementary Information, Standard NMF rank selection heuristics).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2.0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the final model was fit once from a consensus initialization built from 100 fits from independent random initializations, aggregated as a gene-by-gene co-occurrence matrix and therefore invariant to factor-label permutation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factor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Both unsupervised controls were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a choice to which the per-dataset C-indices are insensitive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lasso-penalized Cox regression and supervised principal components, select features by different mechanisms, neither matching DeSurv’s elastic net, and both retain far fewer genes than DeSurv’s 810-gene support (Supplementary Information, Robustness to tuned supervised comparators and compartment attribution). Because tuning budgets were not matched, the comparison characterizes the representations each approach recovers rather than benchmarking tuned predictive performance.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Score correspondence with the DeSurv programs, selected-gene enrichment and compartment attribution are reported in Supplementary Information, Robustness to tuned supervised comparators and compartment attribution.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computed as exact Shapley values over the fixed rank-one factor contributions without refitting the factorization, and survival contributions, computed as the loss in maximized unpenalized Cox partial log-likelihood when one factor is omitted. Reconstruction gain and the separately reported centered</w:t>
      </w:r>
      <w:r>
        <w:t xml:space="preserve"> </w:t>
      </w:r>
      <m:oMath>
        <m:sSup>
          <m:e>
            <m:r>
              <m:t>R</m:t>
            </m:r>
          </m:e>
          <m:sup>
            <m:r>
              <m:t>2</m:t>
            </m:r>
          </m:sup>
        </m:sSup>
      </m:oMath>
      <w:r>
        <w:t xml:space="preserve"> </w:t>
      </w:r>
      <w:r>
        <w:t xml:space="preserve">describe different aspects of reconstruction and should not be interpreted as interchangeable measures, and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the integrated Brier score and its index of prediction accuracy relative to a Kaplan–Meier reference, computed under within-dataset recalibration. These are apparent, in-sample recalibrated values rather than out-of-sample prediction error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so that the risk score is a function of the sample loadings and a new sample needs loadings of its own (Supplementary Information, Supervision on</w:t>
      </w:r>
      <w:r>
        <w:t xml:space="preserve"> </w:t>
      </w:r>
      <m:oMath>
        <m:r>
          <m:t>W</m:t>
        </m:r>
      </m:oMath>
      <w:r>
        <w:t xml:space="preserve"> </w:t>
      </w:r>
      <w:r>
        <w:t xml:space="preserve">versus</w:t>
      </w:r>
      <w:r>
        <w:t xml:space="preserve"> </w:t>
      </w:r>
      <m:oMath>
        <m:r>
          <m:t>H</m:t>
        </m:r>
      </m:oMath>
      <w:r>
        <w:t xml:space="preserve">; Supplementary Table [tab:architecture]).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Cross-validation procedure and Survival Analysis.</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Expression matrices were generated from a nonnegative factor model</w:t>
      </w:r>
      <w:r>
        <w:t xml:space="preserve"> </w:t>
      </w:r>
      <m:oMath>
        <m:r>
          <m:t>X</m:t>
        </m:r>
        <m:r>
          <m:rPr>
            <m:sty m:val="p"/>
          </m:rPr>
          <m:t>=</m:t>
        </m:r>
        <m:r>
          <m:t>W</m:t>
        </m:r>
        <m:r>
          <m:t>H</m:t>
        </m:r>
      </m:oMath>
      <w:r>
        <w:t xml:space="preserve"> </w:t>
      </w:r>
      <w:r>
        <w:t xml:space="preserve">with marker, background and noise gene classes, and survival times from an exponential model applied to the noise-free expression through a masked survival-generating weight matrix; the generating distributions, dimensions, scenario coefficients and masking construction are given in Supplementary Information, Simulation design and data generation.</w:t>
      </w:r>
    </w:p>
    <w:p>
      <w:pPr>
        <w:pStyle w:val="BodyText"/>
      </w:pPr>
      <w:r>
        <w:t xml:space="preserve">DeSurv incorporated survival during factorization, whereas its unsupervised limit used a post hoc Cox model on projected scores; both pipelines were tuned by Bayesian optimization using cross-validated concordance. Performance was summarized across replicates, each with a held-out test split,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Global marker recall and the per-scenario definitions of the target gene set are reported in Supplementary Information, Simulation design and data generation and Simulation results under null and mixed scenarios.</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Expression matrices were analyzed on a log scale and filtered within each training cohort by a combined mean-and-variance rank rule, whose intersection across training cohorts yielded the 1,970 genes used for all analyses; validation datasets were restricted to this same gene set. Filtered expression was then within-sample rank transformed before model training, which reduces platform- and library-size differences in expression scale that would otherwise dominate cross-cohort projection (ranks are inherently nonnegative, preserving NMF compatibility). No missing-data imputation was performed: all analyses used complete cases, and analyses adjusted for the PurIST and DeCAF classifiers were restricted to samples with available classifier calls. The training Cox objective was fit to the pooled TCGA and CPTAC samples without a cohort term, with cross-validation folds constructed within cohort and stratified by event status; both training cohorts are RNA-seq and had similar event rates (52% in TCGA-PAAD and 50% in CPTAC; Supplementary Table [tab:cohorts]). All validation analyses stratify by dataset, and a descriptive check against cohort-driven association is given in Supplementary Information, Cohort handling in the training objective.</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without any retraining.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Projection mechanics, including missing-gene handling and within-cohort standardization, are described in Supplementary Information, Translational transportability into independent treated PDAC cohorts.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8" w:name="references"/>
    <w:p>
      <w:pPr>
        <w:pStyle w:val="Heading1"/>
      </w:pPr>
      <w:r>
        <w:t xml:space="preserve">References</w:t>
      </w:r>
    </w:p>
    <w:bookmarkStart w:id="157"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lee1999learning"/>
    <w:p>
      <w:pPr>
        <w:pStyle w:val="Bibliography"/>
      </w:pPr>
      <w:r>
        <w:t xml:space="preserve">12.</w:t>
      </w:r>
      <w:r>
        <w:t xml:space="preserve"> </w:t>
      </w:r>
      <w:r>
        <w:t xml:space="preserve">	</w:t>
      </w:r>
      <w:r>
        <w:t xml:space="preserve">Lee, D. D. &amp; Seung, H. S.</w:t>
      </w:r>
      <w:r>
        <w:t xml:space="preserve"> </w:t>
      </w:r>
      <w:hyperlink r:id="rId88">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9"/>
    <w:bookmarkStart w:id="91" w:name="ref-brunet2004metagenes"/>
    <w:p>
      <w:pPr>
        <w:pStyle w:val="Bibliography"/>
      </w:pPr>
      <w:r>
        <w:t xml:space="preserve">13.</w:t>
      </w:r>
      <w:r>
        <w:t xml:space="preserve"> </w:t>
      </w:r>
      <w:r>
        <w:t xml:space="preserve">	</w:t>
      </w:r>
      <w:r>
        <w:t xml:space="preserve">Brunet, J.-P., Tamayo, P., Golub, T. R. &amp; Mesirov, J. P.</w:t>
      </w:r>
      <w:r>
        <w:t xml:space="preserve"> </w:t>
      </w:r>
      <w:hyperlink r:id="rId90">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1"/>
    <w:bookmarkStart w:id="93" w:name="ref-peng2019novo"/>
    <w:p>
      <w:pPr>
        <w:pStyle w:val="Bibliography"/>
      </w:pPr>
      <w:r>
        <w:t xml:space="preserve">14.</w:t>
      </w:r>
      <w:r>
        <w:t xml:space="preserve"> </w:t>
      </w:r>
      <w:r>
        <w:t xml:space="preserve">	</w:t>
      </w:r>
      <w:r>
        <w:t xml:space="preserve">Peng, X. L., Moffitt, R. A., Torphy, R. J., Volmar, K. E. &amp; Yeh, J. J.</w:t>
      </w:r>
      <w:r>
        <w:t xml:space="preserve"> </w:t>
      </w:r>
      <w:hyperlink r:id="rId92">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93"/>
    <w:bookmarkStart w:id="95" w:name="ref-bair2004semi"/>
    <w:p>
      <w:pPr>
        <w:pStyle w:val="Bibliography"/>
      </w:pPr>
      <w:r>
        <w:t xml:space="preserve">15.</w:t>
      </w:r>
      <w:r>
        <w:t xml:space="preserve"> </w:t>
      </w:r>
      <w:r>
        <w:t xml:space="preserve">	</w:t>
      </w:r>
      <w:r>
        <w:t xml:space="preserve">Bair, E. &amp; Tibshirani, R.</w:t>
      </w:r>
      <w:r>
        <w:t xml:space="preserve"> </w:t>
      </w:r>
      <w:hyperlink r:id="rId94">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5"/>
    <w:bookmarkStart w:id="97" w:name="ref-cook2007fisher"/>
    <w:p>
      <w:pPr>
        <w:pStyle w:val="Bibliography"/>
      </w:pPr>
      <w:r>
        <w:t xml:space="preserve">16.</w:t>
      </w:r>
      <w:r>
        <w:t xml:space="preserve"> </w:t>
      </w:r>
      <w:r>
        <w:t xml:space="preserve">	</w:t>
      </w:r>
      <w:r>
        <w:t xml:space="preserve">Cook, R. D.</w:t>
      </w:r>
      <w:r>
        <w:t xml:space="preserve"> </w:t>
      </w:r>
      <w:hyperlink r:id="rId96">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7"/>
    <w:bookmarkStart w:id="99"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8">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9"/>
    <w:bookmarkStart w:id="101" w:name="ref-aran2015systematic"/>
    <w:p>
      <w:pPr>
        <w:pStyle w:val="Bibliography"/>
      </w:pPr>
      <w:r>
        <w:t xml:space="preserve">18.</w:t>
      </w:r>
      <w:r>
        <w:t xml:space="preserve"> </w:t>
      </w:r>
      <w:r>
        <w:t xml:space="preserve">	</w:t>
      </w:r>
      <w:r>
        <w:t xml:space="preserve">Aran, D., Sirota, M. &amp; Butte, A. J.</w:t>
      </w:r>
      <w:r>
        <w:t xml:space="preserve"> </w:t>
      </w:r>
      <w:hyperlink r:id="rId100">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101"/>
    <w:bookmarkStart w:id="102"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102"/>
    <w:bookmarkStart w:id="104"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103">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4"/>
    <w:bookmarkStart w:id="105"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5"/>
    <w:bookmarkStart w:id="107"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106">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7"/>
    <w:bookmarkStart w:id="109"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8">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9"/>
    <w:bookmarkStart w:id="111"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1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11"/>
    <w:bookmarkStart w:id="113"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1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13"/>
    <w:bookmarkStart w:id="115" w:name="ref-snoek2012practical"/>
    <w:p>
      <w:pPr>
        <w:pStyle w:val="Bibliography"/>
      </w:pPr>
      <w:r>
        <w:t xml:space="preserve">26.</w:t>
      </w:r>
      <w:r>
        <w:t xml:space="preserve"> </w:t>
      </w:r>
      <w:r>
        <w:t xml:space="preserve">	</w:t>
      </w:r>
      <w:r>
        <w:t xml:space="preserve">Snoek, J., Larochelle, H. &amp; Adams, R. P.</w:t>
      </w:r>
      <w:r>
        <w:t xml:space="preserve"> </w:t>
      </w:r>
      <w:hyperlink r:id="rId114">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5"/>
    <w:bookmarkStart w:id="117"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16">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7"/>
    <w:bookmarkStart w:id="119" w:name="ref-frigyesi2008nmf"/>
    <w:p>
      <w:pPr>
        <w:pStyle w:val="Bibliography"/>
      </w:pPr>
      <w:r>
        <w:t xml:space="preserve">28.</w:t>
      </w:r>
      <w:r>
        <w:t xml:space="preserve"> </w:t>
      </w:r>
      <w:r>
        <w:t xml:space="preserve">	</w:t>
      </w:r>
      <w:r>
        <w:t xml:space="preserve">Frigyesi, A. &amp; Höglund, M.</w:t>
      </w:r>
      <w:r>
        <w:t xml:space="preserve"> </w:t>
      </w:r>
      <w:hyperlink r:id="rId118">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9"/>
    <w:bookmarkStart w:id="121"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2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1"/>
    <w:bookmarkStart w:id="123"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4"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4"/>
    <w:bookmarkStart w:id="125"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5"/>
    <w:bookmarkStart w:id="126"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6"/>
    <w:bookmarkStart w:id="128"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7">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8"/>
    <w:bookmarkStart w:id="130"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9">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30"/>
    <w:bookmarkStart w:id="132" w:name="ref-newman2019cibersortx"/>
    <w:p>
      <w:pPr>
        <w:pStyle w:val="Bibliography"/>
      </w:pPr>
      <w:r>
        <w:t xml:space="preserve">36.</w:t>
      </w:r>
      <w:r>
        <w:t xml:space="preserve"> </w:t>
      </w:r>
      <w:r>
        <w:t xml:space="preserve">	</w:t>
      </w:r>
      <w:r>
        <w:t xml:space="preserve">Newman, A. M.</w:t>
      </w:r>
      <w:r>
        <w:t xml:space="preserve"> </w:t>
      </w:r>
      <w:r>
        <w:rPr>
          <w:iCs/>
          <w:i/>
        </w:rPr>
        <w:t xml:space="preserve">et al.</w:t>
      </w:r>
      <w:r>
        <w:t xml:space="preserve"> </w:t>
      </w:r>
      <w:hyperlink r:id="rId131">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2"/>
    <w:bookmarkStart w:id="134" w:name="ref-chu2022bayesprism"/>
    <w:p>
      <w:pPr>
        <w:pStyle w:val="Bibliography"/>
      </w:pPr>
      <w:r>
        <w:t xml:space="preserve">37.</w:t>
      </w:r>
      <w:r>
        <w:t xml:space="preserve"> </w:t>
      </w:r>
      <w:r>
        <w:t xml:space="preserve">	</w:t>
      </w:r>
      <w:r>
        <w:t xml:space="preserve">Chu, T., Wang, Z., Pe’er, D. &amp; Danko, C. G.</w:t>
      </w:r>
      <w:r>
        <w:t xml:space="preserve"> </w:t>
      </w:r>
      <w:hyperlink r:id="rId133">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4"/>
    <w:bookmarkStart w:id="136" w:name="ref-ogawa2020stroma"/>
    <w:p>
      <w:pPr>
        <w:pStyle w:val="Bibliography"/>
      </w:pPr>
      <w:r>
        <w:t xml:space="preserve">38.</w:t>
      </w:r>
      <w:r>
        <w:t xml:space="preserve"> </w:t>
      </w:r>
      <w:r>
        <w:t xml:space="preserve">	</w:t>
      </w:r>
      <w:r>
        <w:t xml:space="preserve">Ogawa, Y.</w:t>
      </w:r>
      <w:r>
        <w:t xml:space="preserve"> </w:t>
      </w:r>
      <w:r>
        <w:rPr>
          <w:iCs/>
          <w:i/>
        </w:rPr>
        <w:t xml:space="preserve">et al.</w:t>
      </w:r>
      <w:r>
        <w:t xml:space="preserve"> </w:t>
      </w:r>
      <w:hyperlink r:id="rId135">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36"/>
    <w:bookmarkStart w:id="138" w:name="ref-neuzillet2022periostin"/>
    <w:p>
      <w:pPr>
        <w:pStyle w:val="Bibliography"/>
      </w:pPr>
      <w:r>
        <w:t xml:space="preserve">39.</w:t>
      </w:r>
      <w:r>
        <w:t xml:space="preserve"> </w:t>
      </w:r>
      <w:r>
        <w:t xml:space="preserve">	</w:t>
      </w:r>
      <w:r>
        <w:t xml:space="preserve">Neuzillet, C.</w:t>
      </w:r>
      <w:r>
        <w:t xml:space="preserve"> </w:t>
      </w:r>
      <w:r>
        <w:rPr>
          <w:iCs/>
          <w:i/>
        </w:rPr>
        <w:t xml:space="preserve">et al.</w:t>
      </w:r>
      <w:r>
        <w:t xml:space="preserve"> </w:t>
      </w:r>
      <w:hyperlink r:id="rId137">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8"/>
    <w:bookmarkStart w:id="140" w:name="ref-lee2024tumorcaf"/>
    <w:p>
      <w:pPr>
        <w:pStyle w:val="Bibliography"/>
      </w:pPr>
      <w:r>
        <w:t xml:space="preserve">40.</w:t>
      </w:r>
      <w:r>
        <w:t xml:space="preserve"> </w:t>
      </w:r>
      <w:r>
        <w:t xml:space="preserve">	</w:t>
      </w:r>
      <w:r>
        <w:t xml:space="preserve">Lee, J. J.</w:t>
      </w:r>
      <w:r>
        <w:t xml:space="preserve"> </w:t>
      </w:r>
      <w:r>
        <w:rPr>
          <w:iCs/>
          <w:i/>
        </w:rPr>
        <w:t xml:space="preserve">et al.</w:t>
      </w:r>
      <w:r>
        <w:t xml:space="preserve"> </w:t>
      </w:r>
      <w:hyperlink r:id="rId139">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40"/>
    <w:bookmarkStart w:id="142"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41">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42"/>
    <w:bookmarkStart w:id="144" w:name="ref-gaujoux2010flexible"/>
    <w:p>
      <w:pPr>
        <w:pStyle w:val="Bibliography"/>
      </w:pPr>
      <w:r>
        <w:t xml:space="preserve">42.</w:t>
      </w:r>
      <w:r>
        <w:t xml:space="preserve"> </w:t>
      </w:r>
      <w:r>
        <w:t xml:space="preserve">	</w:t>
      </w:r>
      <w:r>
        <w:t xml:space="preserve">Gaujoux, R. &amp; Seoighe, C.</w:t>
      </w:r>
      <w:r>
        <w:t xml:space="preserve"> </w:t>
      </w:r>
      <w:hyperlink r:id="rId143">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44"/>
    <w:bookmarkStart w:id="146" w:name="ref-data_tcga_paad"/>
    <w:p>
      <w:pPr>
        <w:pStyle w:val="Bibliography"/>
      </w:pPr>
      <w:r>
        <w:t xml:space="preserve">43.</w:t>
      </w:r>
      <w:r>
        <w:t xml:space="preserve"> </w:t>
      </w:r>
      <w:r>
        <w:t xml:space="preserve">	</w:t>
      </w:r>
      <w:r>
        <w:t xml:space="preserve">The Cancer Genome Atlas Research Network.</w:t>
      </w:r>
      <w:r>
        <w:t xml:space="preserve"> </w:t>
      </w:r>
      <w:hyperlink r:id="rId145">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46"/>
    <w:bookmarkStart w:id="148"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7">
        <w:r>
          <w:rPr>
            <w:rStyle w:val="Hyperlink"/>
          </w:rPr>
          <w:t xml:space="preserve">Data from CPTAC-3 pancreatic ductal adenocarcinoma cohort</w:t>
        </w:r>
      </w:hyperlink>
      <w:r>
        <w:t xml:space="preserve">. (2019).</w:t>
      </w:r>
    </w:p>
    <w:bookmarkEnd w:id="148"/>
    <w:bookmarkStart w:id="150"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9">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50"/>
    <w:bookmarkStart w:id="152"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51">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52"/>
    <w:bookmarkStart w:id="154"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53">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54"/>
    <w:bookmarkStart w:id="156"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55">
        <w:r>
          <w:rPr>
            <w:rStyle w:val="Hyperlink"/>
          </w:rPr>
          <w:t xml:space="preserve">Pancreatic cancer (PACA-AU) cohort: Array and RNA-sequencing data</w:t>
        </w:r>
      </w:hyperlink>
      <w:r>
        <w:t xml:space="preserve">. (2016).</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37" Target="https://doi.org/10.1002/path.6011" TargetMode="External" /><Relationship Type="http://schemas.openxmlformats.org/officeDocument/2006/relationships/hyperlink" Id="rId110" Target="https://doi.org/10.1016/j.ccell.2017.07.007" TargetMode="External" /><Relationship Type="http://schemas.openxmlformats.org/officeDocument/2006/relationships/hyperlink" Id="rId112" Target="https://doi.org/10.1016/j.cell.2021.08.023" TargetMode="External" /><Relationship Type="http://schemas.openxmlformats.org/officeDocument/2006/relationships/hyperlink" Id="rId127"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88"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100"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92"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31"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8" Target="https://doi.org/10.1038/s42003-023-04461-6" TargetMode="External" /><Relationship Type="http://schemas.openxmlformats.org/officeDocument/2006/relationships/hyperlink" Id="rId133" Target="https://doi.org/10.1038/s43018-022-00356-3" TargetMode="External" /><Relationship Type="http://schemas.openxmlformats.org/officeDocument/2006/relationships/hyperlink" Id="rId90" Target="https://doi.org/10.1073/pnas.0308531101" TargetMode="External" /><Relationship Type="http://schemas.openxmlformats.org/officeDocument/2006/relationships/hyperlink" Id="rId120"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6" Target="https://doi.org/10.1093/narcan/zcac030" TargetMode="External" /><Relationship Type="http://schemas.openxmlformats.org/officeDocument/2006/relationships/hyperlink" Id="rId139" Target="https://doi.org/10.1097/SLA.0000000000006416" TargetMode="External" /><Relationship Type="http://schemas.openxmlformats.org/officeDocument/2006/relationships/hyperlink" Id="rId116" Target="https://doi.org/10.1109/JPROC.2015.2494218" TargetMode="External" /><Relationship Type="http://schemas.openxmlformats.org/officeDocument/2006/relationships/hyperlink" Id="rId122" Target="https://doi.org/10.1136/gutjnl-2018-317706" TargetMode="External" /><Relationship Type="http://schemas.openxmlformats.org/officeDocument/2006/relationships/hyperlink" Id="rId103"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5"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41" Target="https://doi.org/10.1186/s12859-020-3427-8" TargetMode="External" /><Relationship Type="http://schemas.openxmlformats.org/officeDocument/2006/relationships/hyperlink" Id="rId96" Target="https://doi.org/10.1214/088342306000000682" TargetMode="External" /><Relationship Type="http://schemas.openxmlformats.org/officeDocument/2006/relationships/hyperlink" Id="rId94" Target="https://doi.org/10.1371/journal.pbio.0020108" TargetMode="External" /><Relationship Type="http://schemas.openxmlformats.org/officeDocument/2006/relationships/hyperlink" Id="rId108"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9" Target="https://doi.org/10.3390/cells11091421" TargetMode="External" /><Relationship Type="http://schemas.openxmlformats.org/officeDocument/2006/relationships/hyperlink" Id="rId118"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4"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2/path.6011" TargetMode="External" /><Relationship Type="http://schemas.openxmlformats.org/officeDocument/2006/relationships/hyperlink" Id="rId110" Target="https://doi.org/10.1016/j.ccell.2017.07.007" TargetMode="External" /><Relationship Type="http://schemas.openxmlformats.org/officeDocument/2006/relationships/hyperlink" Id="rId112" Target="https://doi.org/10.1016/j.cell.2021.08.023" TargetMode="External" /><Relationship Type="http://schemas.openxmlformats.org/officeDocument/2006/relationships/hyperlink" Id="rId127"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88"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100"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92"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31"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8" Target="https://doi.org/10.1038/s42003-023-04461-6" TargetMode="External" /><Relationship Type="http://schemas.openxmlformats.org/officeDocument/2006/relationships/hyperlink" Id="rId133" Target="https://doi.org/10.1038/s43018-022-00356-3" TargetMode="External" /><Relationship Type="http://schemas.openxmlformats.org/officeDocument/2006/relationships/hyperlink" Id="rId90" Target="https://doi.org/10.1073/pnas.0308531101" TargetMode="External" /><Relationship Type="http://schemas.openxmlformats.org/officeDocument/2006/relationships/hyperlink" Id="rId120"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6" Target="https://doi.org/10.1093/narcan/zcac030" TargetMode="External" /><Relationship Type="http://schemas.openxmlformats.org/officeDocument/2006/relationships/hyperlink" Id="rId139" Target="https://doi.org/10.1097/SLA.0000000000006416" TargetMode="External" /><Relationship Type="http://schemas.openxmlformats.org/officeDocument/2006/relationships/hyperlink" Id="rId116" Target="https://doi.org/10.1109/JPROC.2015.2494218" TargetMode="External" /><Relationship Type="http://schemas.openxmlformats.org/officeDocument/2006/relationships/hyperlink" Id="rId122" Target="https://doi.org/10.1136/gutjnl-2018-317706" TargetMode="External" /><Relationship Type="http://schemas.openxmlformats.org/officeDocument/2006/relationships/hyperlink" Id="rId103"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5"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41" Target="https://doi.org/10.1186/s12859-020-3427-8" TargetMode="External" /><Relationship Type="http://schemas.openxmlformats.org/officeDocument/2006/relationships/hyperlink" Id="rId96" Target="https://doi.org/10.1214/088342306000000682" TargetMode="External" /><Relationship Type="http://schemas.openxmlformats.org/officeDocument/2006/relationships/hyperlink" Id="rId94" Target="https://doi.org/10.1371/journal.pbio.0020108" TargetMode="External" /><Relationship Type="http://schemas.openxmlformats.org/officeDocument/2006/relationships/hyperlink" Id="rId108"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9" Target="https://doi.org/10.3390/cells11091421" TargetMode="External" /><Relationship Type="http://schemas.openxmlformats.org/officeDocument/2006/relationships/hyperlink" Id="rId118"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4"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2026-09-14T18:44:48Z</dcterms:created>
  <dcterms:modified xsi:type="dcterms:W3CDTF">2026-09-14T18:44:48Z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microenvironmental biology. Expression-driven discovery can overlook prognostically relevant programs that contribute little transcriptomic variation. We developed DeSurv, a survival-supervised matrix factorization that incorporates patient outcomes into gene-program discovery and freezes gene weights for new cohorts. In pooled TCGA and CPTAC cohorts, DeSurv recovered a three-program tumor–stroma architecture whose dominant survival-aligned program (D1) combined classical-tumor and restCAF-like stromal features. Applied without refitting to five external datasets spanning four independent cohorts, the frozen risk score remained prognostic before (HR per SD, 1.42; 95% CI, 1.26–1.59) and after PurIST and DeCAF adjustment. Unsupervised factorization matched on program number and tuning budget did not recover D1; a rank-optimized unsupervised control recovered comparable prognostic information across seven factors. In simulations with known structure, DeSurv recovered prognostic genes more accurately when survival signal contributed little expression variation. Survival supervision offers a route to prognostically relevant, interpretable programs.</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