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2.png" ContentType="image/png"/>
  <Override PartName="/word/media/rId66.png" ContentType="image/png"/>
  <Override PartName="/word/media/rId73.png" ContentType="image/png"/>
  <Override PartName="/word/media/rId58.png" ContentType="image/png"/>
  <Override PartName="/word/media/rId45.png" ContentType="image/png"/>
  <Override PartName="/word/media/rId30.png" ContentType="image/png"/>
  <Override PartName="/word/media/rId7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Supplementary</w:t>
      </w:r>
      <w:r>
        <w:t xml:space="preserve"> </w:t>
      </w:r>
      <w:r>
        <w:t xml:space="preserve">Information</w:t>
      </w:r>
    </w:p>
    <w:p>
      <w:pPr>
        <w:pStyle w:val="Subtitle"/>
      </w:pPr>
      <w:r>
        <w:t xml:space="preserve">DeSurv</w:t>
      </w:r>
      <w:r>
        <w:t xml:space="preserve"> </w:t>
      </w:r>
      <w:r>
        <w:t xml:space="preserve">identifies</w:t>
      </w:r>
      <w:r>
        <w:t xml:space="preserve"> </w:t>
      </w:r>
      <w:r>
        <w:t xml:space="preserve">a</w:t>
      </w:r>
      <w:r>
        <w:t xml:space="preserve"> </w:t>
      </w:r>
      <w:r>
        <w:t xml:space="preserve">replicable</w:t>
      </w:r>
      <w:r>
        <w:t xml:space="preserve"> </w:t>
      </w:r>
      <w:r>
        <w:t xml:space="preserve">tumor–stroma</w:t>
      </w:r>
      <w:r>
        <w:t xml:space="preserve"> </w:t>
      </w:r>
      <w:r>
        <w:t xml:space="preserve">prognostic</w:t>
      </w:r>
      <w:r>
        <w:t xml:space="preserve"> </w:t>
      </w:r>
      <w:r>
        <w:t xml:space="preserve">architecture</w:t>
      </w:r>
      <w:r>
        <w:t xml:space="preserve"> </w:t>
      </w:r>
      <w:r>
        <w:t xml:space="preserve">in</w:t>
      </w:r>
      <w:r>
        <w:t xml:space="preserve"> </w:t>
      </w:r>
      <w:r>
        <w:t xml:space="preserve">pancreatic</w:t>
      </w:r>
      <w:r>
        <w:t xml:space="preserve"> </w:t>
      </w:r>
      <w:r>
        <w:t xml:space="preserve">cancer</w:t>
      </w:r>
      <w:r>
        <w:t xml:space="preserve"> </w:t>
      </w:r>
      <w:r>
        <w:t xml:space="preserve">through</w:t>
      </w:r>
      <w:r>
        <w:t xml:space="preserve"> </w:t>
      </w:r>
      <w:r>
        <w:t xml:space="preserve">survival-supervised</w:t>
      </w:r>
      <w:r>
        <w:t xml:space="preserve"> </w:t>
      </w:r>
      <w:r>
        <w:t xml:space="preserve">matrix</w:t>
      </w:r>
      <w:r>
        <w:t xml:space="preserve"> </w:t>
      </w:r>
      <w:r>
        <w:t xml:space="preserve">factorization</w:t>
      </w:r>
    </w:p>
    <w:p>
      <w:pPr>
        <w:pStyle w:val="Author"/>
      </w:pPr>
      <w:r>
        <w:t xml:space="preserve">Amber</w:t>
      </w:r>
      <w:r>
        <w:t xml:space="preserve"> </w:t>
      </w:r>
      <w:r>
        <w:t xml:space="preserve">M.</w:t>
      </w:r>
      <w:r>
        <w:t xml:space="preserve"> </w:t>
      </w:r>
      <w:r>
        <w:t xml:space="preserve">Young,</w:t>
      </w:r>
      <w:r>
        <w:t xml:space="preserve"> </w:t>
      </w:r>
      <w:r>
        <w:t xml:space="preserve">Alisa</w:t>
      </w:r>
      <w:r>
        <w:t xml:space="preserve"> </w:t>
      </w:r>
      <w:r>
        <w:t xml:space="preserve">Yurovsky,</w:t>
      </w:r>
      <w:r>
        <w:t xml:space="preserve"> </w:t>
      </w:r>
      <w:r>
        <w:t xml:space="preserve">Xianlu</w:t>
      </w:r>
      <w:r>
        <w:t xml:space="preserve"> </w:t>
      </w:r>
      <w:r>
        <w:t xml:space="preserve">Laura</w:t>
      </w:r>
      <w:r>
        <w:t xml:space="preserve"> </w:t>
      </w:r>
      <w:r>
        <w:t xml:space="preserve">Peng,</w:t>
      </w:r>
      <w:r>
        <w:t xml:space="preserve"> </w:t>
      </w:r>
      <w:r>
        <w:t xml:space="preserve">Jen</w:t>
      </w:r>
      <w:r>
        <w:t xml:space="preserve"> </w:t>
      </w:r>
      <w:r>
        <w:t xml:space="preserve">Jen</w:t>
      </w:r>
      <w:r>
        <w:t xml:space="preserve"> </w:t>
      </w:r>
      <w:r>
        <w:t xml:space="preserve">Yeh,</w:t>
      </w:r>
      <w:r>
        <w:t xml:space="preserve"> </w:t>
      </w:r>
      <w:r>
        <w:t xml:space="preserve">Didong</w:t>
      </w:r>
      <w:r>
        <w:t xml:space="preserve"> </w:t>
      </w:r>
      <w:r>
        <w:t xml:space="preserve">Li,</w:t>
      </w:r>
      <w:r>
        <w:t xml:space="preserve"> </w:t>
      </w:r>
      <w:r>
        <w:t xml:space="preserve">Naim</w:t>
      </w:r>
      <w:r>
        <w:t xml:space="preserve"> </w:t>
      </w:r>
      <w:r>
        <w:t xml:space="preserve">U.</w:t>
      </w:r>
      <w:r>
        <w:t xml:space="preserve"> </w:t>
      </w:r>
      <w:r>
        <w:t xml:space="preserve">Rashid</w:t>
      </w:r>
    </w:p>
    <w:p>
      <w:pPr>
        <w:pStyle w:val="FirstParagraph"/>
      </w:pPr>
      <w:r>
        <w:t xml:space="preserve">\phantomsection</w:t>
      </w:r>
    </w:p>
    <w:p>
      <w:pPr>
        <w:pStyle w:val="BodyText"/>
      </w:pPr>
      <w:r>
        <w:t xml:space="preserve">\listoffigures</w:t>
      </w:r>
    </w:p>
    <w:p>
      <w:pPr>
        <w:pStyle w:val="BodyText"/>
      </w:pPr>
      <w:r>
        <w:t xml:space="preserve">\phantomsection</w:t>
      </w:r>
    </w:p>
    <w:p>
      <w:pPr>
        <w:pStyle w:val="BodyText"/>
      </w:pPr>
      <w:r>
        <w:t xml:space="preserve">\listoftables</w:t>
      </w:r>
    </w:p>
    <w:bookmarkStart w:id="20" w:name="supplementary-methods"/>
    <w:p>
      <w:pPr>
        <w:pStyle w:val="Heading1"/>
      </w:pPr>
      <w:r>
        <w:t xml:space="preserve">Supplementary Methods</w:t>
      </w:r>
    </w:p>
    <w:bookmarkEnd w:id="20"/>
    <w:bookmarkStart w:id="21" w:name="model-details"/>
    <w:p>
      <w:pPr>
        <w:pStyle w:val="Heading1"/>
      </w:pPr>
      <w:r>
        <w:t xml:space="preserve">Model details</w:t>
      </w:r>
    </w:p>
    <w:p>
      <w:pPr>
        <w:pStyle w:val="FirstParagraph"/>
      </w:pPr>
      <w:r>
        <w:t xml:space="preserve">Let</w:t>
      </w:r>
      <w:r>
        <w:t xml:space="preserve"> </w:t>
      </w:r>
      <m:oMath>
        <m:r>
          <m:t>X</m:t>
        </m:r>
        <m:r>
          <m:rPr>
            <m:sty m:val="p"/>
          </m:rPr>
          <m:t>∈</m:t>
        </m:r>
        <m:sSubSup>
          <m:e>
            <m:r>
              <m:rPr>
                <m:sty m:val="p"/>
                <m:scr m:val="double-struck"/>
              </m:rPr>
              <m:t>R</m:t>
            </m:r>
          </m:e>
          <m:sub>
            <m:r>
              <m:rPr>
                <m:sty m:val="p"/>
              </m:rPr>
              <m:t>≥</m:t>
            </m:r>
            <m:r>
              <m:t>0</m:t>
            </m:r>
          </m:sub>
          <m:sup>
            <m:r>
              <m:t>p</m:t>
            </m:r>
            <m:r>
              <m:rPr>
                <m:sty m:val="p"/>
              </m:rPr>
              <m:t>×</m:t>
            </m:r>
            <m:r>
              <m:t>n</m:t>
            </m:r>
          </m:sup>
        </m:sSubSup>
      </m:oMath>
      <w:r>
        <w:t xml:space="preserve"> </w:t>
      </w:r>
      <w:r>
        <w:t xml:space="preserve">denote the nonnegative gene</w:t>
      </w:r>
      <w:r>
        <w:t xml:space="preserve"> </w:t>
      </w:r>
      <w:r>
        <w:t xml:space="preserve">expression matrix with</w:t>
      </w:r>
      <w:r>
        <w:t xml:space="preserve"> </w:t>
      </w:r>
      <m:oMath>
        <m:r>
          <m:t>p</m:t>
        </m:r>
      </m:oMath>
      <w:r>
        <w:t xml:space="preserve"> </w:t>
      </w:r>
      <w:r>
        <w:t xml:space="preserve">genes and</w:t>
      </w:r>
      <w:r>
        <w:t xml:space="preserve"> </w:t>
      </w:r>
      <m:oMath>
        <m:r>
          <m:t>n</m:t>
        </m:r>
      </m:oMath>
      <w:r>
        <w:t xml:space="preserve"> </w:t>
      </w:r>
      <w:r>
        <w:t xml:space="preserve">subjects. DeSurv approximates</w:t>
      </w:r>
      <w:r>
        <w:t xml:space="preserve"> </w:t>
      </w:r>
      <m:oMath>
        <m:r>
          <m:t>X</m:t>
        </m:r>
        <m:r>
          <m:rPr>
            <m:sty m:val="p"/>
          </m:rPr>
          <m:t>≈</m:t>
        </m:r>
        <m:r>
          <m:t>W</m:t>
        </m:r>
        <m:r>
          <m:t>H</m:t>
        </m:r>
      </m:oMath>
      <w:r>
        <w:t xml:space="preserve"> </w:t>
      </w:r>
      <w:r>
        <w:t xml:space="preserve">with</w:t>
      </w:r>
      <w:r>
        <w:t xml:space="preserve"> </w:t>
      </w:r>
      <m:oMath>
        <m:r>
          <m:t>W</m:t>
        </m:r>
        <m:r>
          <m:rPr>
            <m:sty m:val="p"/>
          </m:rPr>
          <m:t>∈</m:t>
        </m:r>
        <m:sSubSup>
          <m:e>
            <m:r>
              <m:rPr>
                <m:sty m:val="p"/>
                <m:scr m:val="double-struck"/>
              </m:rPr>
              <m:t>R</m:t>
            </m:r>
          </m:e>
          <m:sub>
            <m:r>
              <m:rPr>
                <m:sty m:val="p"/>
              </m:rPr>
              <m:t>≥</m:t>
            </m:r>
            <m:r>
              <m:t>0</m:t>
            </m:r>
          </m:sub>
          <m:sup>
            <m:r>
              <m:t>p</m:t>
            </m:r>
            <m:r>
              <m:rPr>
                <m:sty m:val="p"/>
              </m:rPr>
              <m:t>×</m:t>
            </m:r>
            <m:r>
              <m:t>k</m:t>
            </m:r>
          </m:sup>
        </m:sSubSup>
      </m:oMath>
      <w:r>
        <w:t xml:space="preserve"> </w:t>
      </w:r>
      <w:r>
        <w:t xml:space="preserve">and</w:t>
      </w:r>
      <w:r>
        <w:t xml:space="preserve"> </w:t>
      </w:r>
      <m:oMath>
        <m:r>
          <m:t>H</m:t>
        </m:r>
        <m:r>
          <m:rPr>
            <m:sty m:val="p"/>
          </m:rPr>
          <m:t>∈</m:t>
        </m:r>
        <m:sSubSup>
          <m:e>
            <m:r>
              <m:rPr>
                <m:sty m:val="p"/>
                <m:scr m:val="double-struck"/>
              </m:rPr>
              <m:t>R</m:t>
            </m:r>
          </m:e>
          <m:sub>
            <m:r>
              <m:rPr>
                <m:sty m:val="p"/>
              </m:rPr>
              <m:t>≥</m:t>
            </m:r>
            <m:r>
              <m:t>0</m:t>
            </m:r>
          </m:sub>
          <m:sup>
            <m:r>
              <m:t>k</m:t>
            </m:r>
            <m:r>
              <m:rPr>
                <m:sty m:val="p"/>
              </m:rPr>
              <m:t>×</m:t>
            </m:r>
            <m:r>
              <m:t>n</m:t>
            </m:r>
          </m:sup>
        </m:sSubSup>
      </m:oMath>
      <w:r>
        <w:t xml:space="preserve">, and links the shared program matrix</w:t>
      </w:r>
      <w:r>
        <w:t xml:space="preserve"> </w:t>
      </w:r>
      <m:oMath>
        <m:r>
          <m:t>W</m:t>
        </m:r>
      </m:oMath>
      <w:r>
        <w:t xml:space="preserve"> </w:t>
      </w:r>
      <w:r>
        <w:t xml:space="preserve">to survival via an elastic-net–penalized Cox model. Supervision is placed on the program matrix</w:t>
      </w:r>
      <w:r>
        <w:t xml:space="preserve"> </w:t>
      </w:r>
      <m:oMath>
        <m:r>
          <m:t>W</m:t>
        </m:r>
      </m:oMath>
      <w:r>
        <w:t xml:space="preserve">, the basis that transfers to new cohorts, whereas the sample loadings</w:t>
      </w:r>
      <w:r>
        <w:t xml:space="preserve"> </w:t>
      </w:r>
      <m:oMath>
        <m:r>
          <m:t>H</m:t>
        </m:r>
      </m:oMath>
      <w:r>
        <w:t xml:space="preserve"> </w:t>
      </w:r>
      <w:r>
        <w:t xml:space="preserve">serve only to reconstruct the training expression matrix; new samples are therefore scored by projection onto the learned programs,</w:t>
      </w:r>
      <w:r>
        <w:t xml:space="preserve"> </w:t>
      </w:r>
      <m:oMath>
        <m:r>
          <m:t>Z</m:t>
        </m:r>
        <m:r>
          <m:rPr>
            <m:sty m:val="p"/>
          </m:rPr>
          <m:t>=</m:t>
        </m:r>
        <m:sSup>
          <m:e>
            <m:r>
              <m:t>W</m:t>
            </m:r>
          </m:e>
          <m:sup>
            <m:r>
              <m:rPr>
                <m:sty m:val="p"/>
              </m:rPr>
              <m:t>⊤</m:t>
            </m:r>
          </m:sup>
        </m:sSup>
        <m:r>
          <m:t>X</m:t>
        </m:r>
      </m:oMath>
      <w:r>
        <w:t xml:space="preserve">, rather than by re-estimating loadings.</w:t>
      </w:r>
    </w:p>
    <w:p>
      <w:pPr>
        <w:pStyle w:val="BodyText"/>
      </w:pPr>
      <w:r>
        <w:t xml:space="preserve">Let</w:t>
      </w:r>
      <w:r>
        <w:t xml:space="preserve"> </w:t>
      </w:r>
      <m:oMath>
        <m:r>
          <m:t>y</m:t>
        </m:r>
        <m:r>
          <m:rPr>
            <m:sty m:val="p"/>
          </m:rPr>
          <m:t>∈</m:t>
        </m:r>
        <m:sSubSup>
          <m:e>
            <m:r>
              <m:rPr>
                <m:sty m:val="p"/>
                <m:scr m:val="double-struck"/>
              </m:rPr>
              <m:t>R</m:t>
            </m:r>
          </m:e>
          <m:sub>
            <m:r>
              <m:rPr>
                <m:sty m:val="p"/>
              </m:rPr>
              <m:t>&gt;</m:t>
            </m:r>
            <m:r>
              <m:t>0</m:t>
            </m:r>
          </m:sub>
          <m:sup>
            <m:r>
              <m:t>n</m:t>
            </m:r>
          </m:sup>
        </m:sSubSup>
      </m:oMath>
      <w:r>
        <w:t xml:space="preserve"> </w:t>
      </w:r>
      <w:r>
        <w:t xml:space="preserve">be the observed survival times,</w:t>
      </w:r>
      <w:r>
        <w:t xml:space="preserve"> </w:t>
      </w:r>
      <m:oMath>
        <m:r>
          <m:t>δ</m:t>
        </m:r>
        <m:r>
          <m:rPr>
            <m:sty m:val="p"/>
          </m:rPr>
          <m:t>∈</m:t>
        </m:r>
        <m:r>
          <m:rPr>
            <m:sty m:val="p"/>
          </m:rPr>
          <m:t>{</m:t>
        </m:r>
        <m:r>
          <m:t>0</m:t>
        </m:r>
        <m:r>
          <m:rPr>
            <m:sty m:val="p"/>
          </m:rPr>
          <m:t>,</m:t>
        </m:r>
        <m:r>
          <m:t>1</m:t>
        </m:r>
        <m:sSup>
          <m:e>
            <m:r>
              <m:rPr>
                <m:sty m:val="p"/>
              </m:rPr>
              <m:t>}</m:t>
            </m:r>
          </m:e>
          <m:sup>
            <m:r>
              <m:t>n</m:t>
            </m:r>
          </m:sup>
        </m:sSup>
      </m:oMath>
      <w:r>
        <w:t xml:space="preserve"> </w:t>
      </w:r>
      <w:r>
        <w:t xml:space="preserve">the event indicators, and</w:t>
      </w:r>
      <w:r>
        <w:t xml:space="preserve"> </w:t>
      </w:r>
      <m:oMath>
        <m:r>
          <m:t>Z</m:t>
        </m:r>
        <m:r>
          <m:rPr>
            <m:sty m:val="p"/>
          </m:rPr>
          <m:t>=</m:t>
        </m:r>
        <m:sSup>
          <m:e>
            <m:r>
              <m:t>W</m:t>
            </m:r>
          </m:e>
          <m:sup>
            <m:r>
              <m:rPr>
                <m:sty m:val="p"/>
              </m:rPr>
              <m:t>⊤</m:t>
            </m:r>
          </m:sup>
        </m:sSup>
        <m:r>
          <m:t>X</m:t>
        </m:r>
        <m:r>
          <m:rPr>
            <m:sty m:val="p"/>
          </m:rPr>
          <m:t>∈</m:t>
        </m:r>
        <m:sSup>
          <m:e>
            <m:r>
              <m:rPr>
                <m:sty m:val="p"/>
                <m:scr m:val="double-struck"/>
              </m:rPr>
              <m:t>R</m:t>
            </m:r>
          </m:e>
          <m:sup>
            <m:r>
              <m:t>k</m:t>
            </m:r>
            <m:r>
              <m:rPr>
                <m:sty m:val="p"/>
              </m:rPr>
              <m:t>×</m:t>
            </m:r>
            <m:r>
              <m:t>n</m:t>
            </m:r>
          </m:sup>
        </m:sSup>
      </m:oMath>
      <w:r>
        <w:t xml:space="preserve"> </w:t>
      </w:r>
      <w:r>
        <w:t xml:space="preserve">the sample-wise factor scores. We write</w:t>
      </w:r>
      <w:r>
        <w:t xml:space="preserve"> </w:t>
      </w:r>
      <m:oMath>
        <m:sSub>
          <m:e>
            <m:r>
              <m:t>Z</m:t>
            </m:r>
          </m:e>
          <m:sub>
            <m:r>
              <m:t>i</m:t>
            </m:r>
          </m:sub>
        </m:sSub>
      </m:oMath>
      <w:r>
        <w:t xml:space="preserve"> </w:t>
      </w:r>
      <w:r>
        <w:t xml:space="preserve">for the</w:t>
      </w:r>
      <w:r>
        <w:t xml:space="preserve"> </w:t>
      </w:r>
      <m:oMath>
        <m:r>
          <m:t>i</m:t>
        </m:r>
      </m:oMath>
      <w:r>
        <w:t xml:space="preserve">th column of</w:t>
      </w:r>
      <w:r>
        <w:t xml:space="preserve"> </w:t>
      </w:r>
      <m:oMath>
        <m:r>
          <m:t>Z</m:t>
        </m:r>
      </m:oMath>
      <w:r>
        <w:t xml:space="preserve">, and</w:t>
      </w:r>
      <w:r>
        <w:t xml:space="preserve"> </w:t>
      </w:r>
      <m:oMath>
        <m:sSub>
          <m:e>
            <m:r>
              <m:t>n</m:t>
            </m:r>
          </m:e>
          <m:sub>
            <m:r>
              <m:rPr>
                <m:nor/>
                <m:sty m:val="p"/>
              </m:rPr>
              <m:t>event</m:t>
            </m:r>
          </m:sub>
        </m:sSub>
        <m:r>
          <m:rPr>
            <m:sty m:val="p"/>
          </m:rPr>
          <m:t>=</m:t>
        </m:r>
        <m:nary>
          <m:naryPr>
            <m:chr m:val="∑"/>
            <m:limLoc m:val="undOvr"/>
            <m:subHide m:val="off"/>
            <m:supHide m:val="off"/>
          </m:naryPr>
          <m:sub>
            <m:r>
              <m:t>i</m:t>
            </m:r>
            <m:r>
              <m:rPr>
                <m:sty m:val="p"/>
              </m:rPr>
              <m:t>=</m:t>
            </m:r>
            <m:r>
              <m:t>1</m:t>
            </m:r>
          </m:sub>
          <m:sup>
            <m:r>
              <m:t>n</m:t>
            </m:r>
          </m:sup>
          <m:e>
            <m:sSub>
              <m:e>
                <m:r>
                  <m:t>δ</m:t>
                </m:r>
              </m:e>
              <m:sub>
                <m:r>
                  <m:t>i</m:t>
                </m:r>
              </m:sub>
            </m:sSub>
          </m:e>
        </m:nary>
      </m:oMath>
      <w:r>
        <w:t xml:space="preserve">. For convenience we recall the</w:t>
      </w:r>
      <w:r>
        <w:t xml:space="preserve"> </w:t>
      </w:r>
      <w:r>
        <w:t xml:space="preserve">DeSurv loss from Equation 1 in the main text and rewrite it as</w:t>
      </w:r>
    </w:p>
    <w:p>
      <w:pPr>
        <w:pStyle w:val="BodyText"/>
      </w:pPr>
      <m:oMathPara>
        <m:oMathParaPr>
          <m:jc m:val="center"/>
        </m:oMathParaPr>
        <m:oMath>
          <m:m>
            <m:mPr>
              <m:baseJc m:val="center"/>
              <m:plcHide m:val="on"/>
              <m:mcs>
                <m:mc>
                  <m:mcPr>
                    <m:mcJc m:val="right"/>
                    <m:count m:val="1"/>
                  </m:mcPr>
                </m:mc>
                <m:mc>
                  <m:mcPr>
                    <m:mcJc m:val="left"/>
                    <m:count m:val="1"/>
                  </m:mcPr>
                </m:mc>
              </m:mcs>
            </m:mPr>
            <m:mr>
              <m:e>
                <m:r>
                  <m:rPr>
                    <m:sty m:val="p"/>
                    <m:scr m:val="script"/>
                  </m:rPr>
                  <m:t>L</m:t>
                </m:r>
                <m:d>
                  <m:dPr>
                    <m:begChr m:val="("/>
                    <m:endChr m:val=")"/>
                    <m:sepChr m:val=""/>
                    <m:grow/>
                  </m:dPr>
                  <m:e>
                    <m:r>
                      <m:t>W</m:t>
                    </m:r>
                    <m:r>
                      <m:rPr>
                        <m:sty m:val="p"/>
                      </m:rPr>
                      <m:t>,</m:t>
                    </m:r>
                    <m:r>
                      <m:t>H</m:t>
                    </m:r>
                    <m:r>
                      <m:rPr>
                        <m:sty m:val="p"/>
                      </m:rPr>
                      <m:t>,</m:t>
                    </m:r>
                    <m:r>
                      <m:t>β</m:t>
                    </m:r>
                  </m:e>
                </m:d>
              </m:e>
              <m:e>
                <m:r>
                  <m:rPr>
                    <m:sty m:val="p"/>
                  </m:rPr>
                  <m:t>=</m:t>
                </m:r>
              </m:e>
            </m:mr>
            <m:mr>
              <m:e/>
              <m:e>
                <m:d>
                  <m:dPr>
                    <m:begChr m:val="("/>
                    <m:endChr m:val=")"/>
                    <m:sepChr m:val=""/>
                    <m:grow/>
                  </m:dPr>
                  <m:e>
                    <m:r>
                      <m:t>1</m:t>
                    </m:r>
                    <m:r>
                      <m:rPr>
                        <m:sty m:val="p"/>
                      </m:rPr>
                      <m:t>−</m:t>
                    </m:r>
                    <m:r>
                      <m:t>α</m:t>
                    </m:r>
                  </m:e>
                </m:d>
                <m:d>
                  <m:dPr>
                    <m:begChr m:val="("/>
                    <m:endChr m:val=")"/>
                    <m:sepChr m:val=""/>
                    <m:grow/>
                  </m:dPr>
                  <m:e>
                    <m:f>
                      <m:fPr>
                        <m:type m:val="bar"/>
                      </m:fPr>
                      <m:num>
                        <m:r>
                          <m:t>1</m:t>
                        </m:r>
                      </m:num>
                      <m:den>
                        <m:r>
                          <m:t>2</m:t>
                        </m:r>
                        <m:r>
                          <m:rPr>
                            <m:sty m:val="p"/>
                          </m:rPr>
                          <m:t>∥</m:t>
                        </m:r>
                        <m:r>
                          <m:t>X</m:t>
                        </m:r>
                        <m:sSubSup>
                          <m:e>
                            <m:r>
                              <m:rPr>
                                <m:sty m:val="p"/>
                              </m:rPr>
                              <m:t>∥</m:t>
                            </m:r>
                          </m:e>
                          <m:sub>
                            <m:r>
                              <m:t>F</m:t>
                            </m:r>
                          </m:sub>
                          <m:sup>
                            <m:r>
                              <m:t>2</m:t>
                            </m:r>
                          </m:sup>
                        </m:sSubSup>
                      </m:den>
                    </m:f>
                    <m:r>
                      <m:rPr>
                        <m:sty m:val="p"/>
                      </m:rPr>
                      <m:t>∥</m:t>
                    </m:r>
                    <m:r>
                      <m:t>X</m:t>
                    </m:r>
                    <m:r>
                      <m:rPr>
                        <m:sty m:val="p"/>
                      </m:rPr>
                      <m:t>−</m:t>
                    </m:r>
                    <m:r>
                      <m:t>W</m:t>
                    </m:r>
                    <m:r>
                      <m:t>H</m:t>
                    </m:r>
                    <m:sSubSup>
                      <m:e>
                        <m:r>
                          <m:rPr>
                            <m:sty m:val="p"/>
                          </m:rPr>
                          <m:t>∥</m:t>
                        </m:r>
                      </m:e>
                      <m:sub>
                        <m:r>
                          <m:t>F</m:t>
                        </m:r>
                      </m:sub>
                      <m:sup>
                        <m:r>
                          <m:t>2</m:t>
                        </m:r>
                      </m:sup>
                    </m:sSubSup>
                    <m:r>
                      <m:rPr>
                        <m:sty m:val="p"/>
                      </m:rPr>
                      <m:t>+</m:t>
                    </m:r>
                    <m:f>
                      <m:fPr>
                        <m:type m:val="bar"/>
                      </m:fPr>
                      <m:num>
                        <m:sSub>
                          <m:e>
                            <m:r>
                              <m:t>λ</m:t>
                            </m:r>
                          </m:e>
                          <m:sub>
                            <m:r>
                              <m:t>H</m:t>
                            </m:r>
                          </m:sub>
                        </m:sSub>
                      </m:num>
                      <m:den>
                        <m:r>
                          <m:t>2</m:t>
                        </m:r>
                        <m:r>
                          <m:t>n</m:t>
                        </m:r>
                        <m:r>
                          <m:t>k</m:t>
                        </m:r>
                      </m:den>
                    </m:f>
                    <m:r>
                      <m:rPr>
                        <m:sty m:val="p"/>
                      </m:rPr>
                      <m:t>∥</m:t>
                    </m:r>
                    <m:r>
                      <m:t>H</m:t>
                    </m:r>
                    <m:sSubSup>
                      <m:e>
                        <m:r>
                          <m:rPr>
                            <m:sty m:val="p"/>
                          </m:rPr>
                          <m:t>∥</m:t>
                        </m:r>
                      </m:e>
                      <m:sub>
                        <m:r>
                          <m:t>F</m:t>
                        </m:r>
                      </m:sub>
                      <m:sup>
                        <m:r>
                          <m:t>2</m:t>
                        </m:r>
                      </m:sup>
                    </m:sSubSup>
                  </m:e>
                </m:d>
              </m:e>
            </m:mr>
            <m:mr>
              <m:e>
                <m:r>
                  <m:rPr>
                    <m:sty m:val="p"/>
                  </m:rPr>
                  <m:t>−</m:t>
                </m:r>
              </m:e>
              <m:e>
                <m:r>
                  <m:t>α</m:t>
                </m:r>
                <m:d>
                  <m:dPr>
                    <m:begChr m:val="("/>
                    <m:endChr m:val=")"/>
                    <m:sepChr m:val=""/>
                    <m:grow/>
                  </m:dPr>
                  <m:e>
                    <m:f>
                      <m:fPr>
                        <m:type m:val="bar"/>
                      </m:fPr>
                      <m:num>
                        <m:r>
                          <m:t>2</m:t>
                        </m:r>
                      </m:num>
                      <m:den>
                        <m:sSub>
                          <m:e>
                            <m:r>
                              <m:t>n</m:t>
                            </m:r>
                          </m:e>
                          <m:sub>
                            <m:r>
                              <m:t>e</m:t>
                            </m:r>
                            <m:r>
                              <m:t>v</m:t>
                            </m:r>
                            <m:r>
                              <m:t>e</m:t>
                            </m:r>
                            <m:r>
                              <m:t>n</m:t>
                            </m:r>
                            <m:r>
                              <m:t>t</m:t>
                            </m:r>
                          </m:sub>
                        </m:sSub>
                      </m:den>
                    </m:f>
                    <m:r>
                      <m:rPr>
                        <m:sty m:val="p"/>
                      </m:rPr>
                      <m:t>ℓ</m:t>
                    </m:r>
                    <m:d>
                      <m:dPr>
                        <m:begChr m:val="("/>
                        <m:endChr m:val=")"/>
                        <m:sepChr m:val=""/>
                        <m:grow/>
                      </m:dPr>
                      <m:e>
                        <m:r>
                          <m:t>W</m:t>
                        </m:r>
                        <m:r>
                          <m:rPr>
                            <m:sty m:val="p"/>
                          </m:rPr>
                          <m:t>,</m:t>
                        </m:r>
                        <m:r>
                          <m:t>β</m:t>
                        </m:r>
                      </m:e>
                    </m:d>
                    <m:r>
                      <m:rPr>
                        <m:sty m:val="p"/>
                      </m:rPr>
                      <m:t>−</m:t>
                    </m:r>
                    <m:r>
                      <m:t>λ</m:t>
                    </m:r>
                    <m:d>
                      <m:dPr>
                        <m:begChr m:val="{"/>
                        <m:endChr m:val="}"/>
                        <m:sepChr m:val=""/>
                        <m:grow/>
                      </m:dPr>
                      <m:e>
                        <m:r>
                          <m:t>ξ</m:t>
                        </m:r>
                        <m:r>
                          <m:rPr>
                            <m:sty m:val="p"/>
                          </m:rPr>
                          <m:t>∥</m:t>
                        </m:r>
                        <m:r>
                          <m:t>b</m:t>
                        </m:r>
                        <m:sSub>
                          <m:e>
                            <m:r>
                              <m:rPr>
                                <m:sty m:val="p"/>
                              </m:rPr>
                              <m:t>∥</m:t>
                            </m:r>
                          </m:e>
                          <m:sub>
                            <m:r>
                              <m:t>1</m:t>
                            </m:r>
                          </m:sub>
                        </m:sSub>
                        <m:r>
                          <m:rPr>
                            <m:sty m:val="p"/>
                          </m:rPr>
                          <m:t>+</m:t>
                        </m:r>
                        <m:f>
                          <m:fPr>
                            <m:type m:val="lin"/>
                          </m:fPr>
                          <m:num>
                            <m:r>
                              <m:t>1</m:t>
                            </m:r>
                            <m:r>
                              <m:rPr>
                                <m:sty m:val="p"/>
                              </m:rPr>
                              <m:t>−</m:t>
                            </m:r>
                            <m:r>
                              <m:t>ξ</m:t>
                            </m:r>
                          </m:num>
                          <m:den>
                            <m:r>
                              <m:t>2</m:t>
                            </m:r>
                          </m:den>
                        </m:f>
                        <m:r>
                          <m:rPr>
                            <m:sty m:val="p"/>
                          </m:rPr>
                          <m:t>∥</m:t>
                        </m:r>
                        <m:r>
                          <m:t>b</m:t>
                        </m:r>
                        <m:sSubSup>
                          <m:e>
                            <m:r>
                              <m:rPr>
                                <m:sty m:val="p"/>
                              </m:rPr>
                              <m:t>∥</m:t>
                            </m:r>
                          </m:e>
                          <m:sub>
                            <m:r>
                              <m:t>2</m:t>
                            </m:r>
                          </m:sub>
                          <m:sup>
                            <m:r>
                              <m:t>2</m:t>
                            </m:r>
                          </m:sup>
                        </m:sSubSup>
                      </m:e>
                    </m:d>
                  </m:e>
                </m:d>
                <m:r>
                  <m:rPr>
                    <m:sty m:val="p"/>
                  </m:rPr>
                  <m:t>,</m:t>
                </m:r>
                <m:r>
                  <m:t>  </m:t>
                </m:r>
                <m:r>
                  <m:t>b</m:t>
                </m:r>
                <m:r>
                  <m:rPr>
                    <m:sty m:val="p"/>
                  </m:rPr>
                  <m:t>=</m:t>
                </m:r>
                <m:sSub>
                  <m:e>
                    <m:r>
                      <m:t>D</m:t>
                    </m:r>
                  </m:e>
                  <m:sub>
                    <m:r>
                      <m:t>Z</m:t>
                    </m:r>
                  </m:sub>
                </m:sSub>
                <m:r>
                  <m:t> </m:t>
                </m:r>
                <m:r>
                  <m:t>β</m:t>
                </m:r>
                <m:r>
                  <m:rPr>
                    <m:sty m:val="p"/>
                  </m:rPr>
                  <m:t>,</m:t>
                </m:r>
              </m:e>
            </m:mr>
          </m:m>
        </m:oMath>
      </m:oMathPara>
    </w:p>
    <w:p>
      <w:pPr>
        <w:pStyle w:val="FirstParagraph"/>
      </w:pPr>
      <w:r>
        <w:t xml:space="preserve">where</w:t>
      </w:r>
      <w:r>
        <w:t xml:space="preserve"> </w:t>
      </w:r>
      <m:oMath>
        <m:r>
          <m:rPr>
            <m:sty m:val="p"/>
          </m:rPr>
          <m:t>∥</m:t>
        </m:r>
        <m:r>
          <m:rPr>
            <m:sty m:val="p"/>
          </m:rPr>
          <m:t>⋅</m:t>
        </m:r>
        <m:sSub>
          <m:e>
            <m:r>
              <m:rPr>
                <m:sty m:val="p"/>
              </m:rPr>
              <m:t>∥</m:t>
            </m:r>
          </m:e>
          <m:sub>
            <m:r>
              <m:t>F</m:t>
            </m:r>
          </m:sub>
        </m:sSub>
      </m:oMath>
      <w:r>
        <w:t xml:space="preserve"> </w:t>
      </w:r>
      <w:r>
        <w:t xml:space="preserve">is the Frobenius norm,</w:t>
      </w:r>
      <w:r>
        <w:t xml:space="preserve"> </w:t>
      </w:r>
      <m:oMath>
        <m:r>
          <m:t>β</m:t>
        </m:r>
        <m:r>
          <m:rPr>
            <m:sty m:val="p"/>
          </m:rPr>
          <m:t>∈</m:t>
        </m:r>
        <m:sSup>
          <m:e>
            <m:r>
              <m:rPr>
                <m:sty m:val="p"/>
                <m:scr m:val="double-struck"/>
              </m:rPr>
              <m:t>R</m:t>
            </m:r>
          </m:e>
          <m:sup>
            <m:r>
              <m:t>k</m:t>
            </m:r>
          </m:sup>
        </m:sSup>
      </m:oMath>
      <w:r>
        <w:t xml:space="preserve"> </w:t>
      </w:r>
      <w:r>
        <w:t xml:space="preserve">are the Cox coefficients on the raw factor scores, and</w:t>
      </w:r>
      <w:r>
        <w:t xml:space="preserve"> </w:t>
      </w:r>
      <m:oMath>
        <m:sSub>
          <m:e>
            <m:r>
              <m:t>D</m:t>
            </m:r>
          </m:e>
          <m:sub>
            <m:r>
              <m:t>Z</m:t>
            </m:r>
          </m:sub>
        </m:sSub>
        <m:r>
          <m:rPr>
            <m:sty m:val="p"/>
          </m:rPr>
          <m:t>=</m:t>
        </m:r>
        <m:r>
          <m:rPr>
            <m:sty m:val="p"/>
          </m:rPr>
          <m:t>diag</m:t>
        </m:r>
        <m:r>
          <m:t>​</m:t>
        </m:r>
        <m:d>
          <m:dPr>
            <m:begChr m:val="("/>
            <m:endChr m:val=")"/>
            <m:sepChr m:val=""/>
            <m:grow/>
          </m:dPr>
          <m:e>
            <m:r>
              <m:rPr>
                <m:sty m:val="p"/>
              </m:rPr>
              <m:t>s</m:t>
            </m:r>
            <m:r>
              <m:rPr>
                <m:sty m:val="p"/>
              </m:rPr>
              <m:t>d</m:t>
            </m:r>
            <m:d>
              <m:dPr>
                <m:begChr m:val="("/>
                <m:endChr m:val=")"/>
                <m:sepChr m:val=""/>
                <m:grow/>
              </m:dPr>
              <m:e>
                <m:sSub>
                  <m:e>
                    <m:r>
                      <m:t>Z</m:t>
                    </m:r>
                  </m:e>
                  <m:sub>
                    <m:r>
                      <m:t>1</m:t>
                    </m:r>
                    <m:r>
                      <m:rPr>
                        <m:sty m:val="p"/>
                      </m:rPr>
                      <m:t>⋅</m:t>
                    </m:r>
                  </m:sub>
                </m:sSub>
              </m:e>
            </m:d>
            <m:r>
              <m:rPr>
                <m:sty m:val="p"/>
              </m:rPr>
              <m:t>,</m:t>
            </m:r>
            <m:r>
              <m:rPr>
                <m:sty m:val="p"/>
              </m:rPr>
              <m:t>…</m:t>
            </m:r>
            <m:r>
              <m:rPr>
                <m:sty m:val="p"/>
              </m:rPr>
              <m:t>,</m:t>
            </m:r>
            <m:r>
              <m:rPr>
                <m:sty m:val="p"/>
              </m:rPr>
              <m:t>s</m:t>
            </m:r>
            <m:r>
              <m:rPr>
                <m:sty m:val="p"/>
              </m:rPr>
              <m:t>d</m:t>
            </m:r>
            <m:d>
              <m:dPr>
                <m:begChr m:val="("/>
                <m:endChr m:val=")"/>
                <m:sepChr m:val=""/>
                <m:grow/>
              </m:dPr>
              <m:e>
                <m:sSub>
                  <m:e>
                    <m:r>
                      <m:t>Z</m:t>
                    </m:r>
                  </m:e>
                  <m:sub>
                    <m:r>
                      <m:t>k</m:t>
                    </m:r>
                    <m:r>
                      <m:rPr>
                        <m:sty m:val="p"/>
                      </m:rPr>
                      <m:t>⋅</m:t>
                    </m:r>
                  </m:sub>
                </m:sSub>
              </m:e>
            </m:d>
          </m:e>
        </m:d>
      </m:oMath>
      <w:r>
        <w:t xml:space="preserve"> </w:t>
      </w:r>
      <w:r>
        <w:t xml:space="preserve">is</w:t>
      </w:r>
      <w:r>
        <w:t xml:space="preserve"> </w:t>
      </w:r>
      <w:r>
        <w:t xml:space="preserve">the diagonal matrix of the sample-wise standard deviations of the</w:t>
      </w:r>
      <w:r>
        <w:t xml:space="preserve"> </w:t>
      </w:r>
      <m:oMath>
        <m:r>
          <m:t>k</m:t>
        </m:r>
      </m:oMath>
      <w:r>
        <w:t xml:space="preserve"> </w:t>
      </w:r>
      <w:r>
        <w:t xml:space="preserve">rows of</w:t>
      </w:r>
      <w:r>
        <w:t xml:space="preserve"> </w:t>
      </w:r>
      <m:oMath>
        <m:r>
          <m:t>Z</m:t>
        </m:r>
        <m:r>
          <m:rPr>
            <m:sty m:val="p"/>
          </m:rPr>
          <m:t>=</m:t>
        </m:r>
        <m:sSup>
          <m:e>
            <m:r>
              <m:t>W</m:t>
            </m:r>
          </m:e>
          <m:sup>
            <m:r>
              <m:rPr>
                <m:sty m:val="p"/>
              </m:rPr>
              <m:t>⊤</m:t>
            </m:r>
          </m:sup>
        </m:sSup>
        <m:r>
          <m:t>X</m:t>
        </m:r>
      </m:oMath>
      <w:r>
        <w:t xml:space="preserve"> </w:t>
      </w:r>
      <w:r>
        <w:t xml:space="preserve">evaluated at the current</w:t>
      </w:r>
      <w:r>
        <w:t xml:space="preserve"> </w:t>
      </w:r>
      <m:oMath>
        <m:r>
          <m:t>W</m:t>
        </m:r>
      </m:oMath>
      <w:r>
        <w:t xml:space="preserve">. The elastic-net penalty therefore</w:t>
      </w:r>
      <w:r>
        <w:t xml:space="preserve"> </w:t>
      </w:r>
      <w:r>
        <w:t xml:space="preserve">acts on the coefficients of the standardized scores,</w:t>
      </w:r>
      <w:r>
        <w:t xml:space="preserve"> </w:t>
      </w:r>
      <m:oMath>
        <m:r>
          <m:t>b</m:t>
        </m:r>
        <m:r>
          <m:rPr>
            <m:sty m:val="p"/>
          </m:rPr>
          <m:t>=</m:t>
        </m:r>
        <m:sSub>
          <m:e>
            <m:r>
              <m:t>D</m:t>
            </m:r>
          </m:e>
          <m:sub>
            <m:r>
              <m:t>Z</m:t>
            </m:r>
          </m:sub>
        </m:sSub>
        <m:r>
          <m:t>β</m:t>
        </m:r>
      </m:oMath>
      <w:r>
        <w:t xml:space="preserve">. The inverse</w:t>
      </w:r>
      <w:r>
        <w:t xml:space="preserve"> </w:t>
      </w:r>
      <w:r>
        <w:t xml:space="preserve">map</w:t>
      </w:r>
      <w:r>
        <w:t xml:space="preserve"> </w:t>
      </w:r>
      <m:oMath>
        <m:r>
          <m:t>β</m:t>
        </m:r>
        <m:r>
          <m:rPr>
            <m:sty m:val="p"/>
          </m:rPr>
          <m:t>=</m:t>
        </m:r>
        <m:sSubSup>
          <m:e>
            <m:r>
              <m:t>D</m:t>
            </m:r>
          </m:e>
          <m:sub>
            <m:r>
              <m:t>Z</m:t>
            </m:r>
          </m:sub>
          <m:sup>
            <m:r>
              <m:rPr>
                <m:sty m:val="p"/>
              </m:rPr>
              <m:t>−</m:t>
            </m:r>
            <m:r>
              <m:t>1</m:t>
            </m:r>
          </m:sup>
        </m:sSubSup>
        <m:r>
          <m:t>b</m:t>
        </m:r>
      </m:oMath>
      <w:r>
        <w:t xml:space="preserve"> </w:t>
      </w:r>
      <w:r>
        <w:t xml:space="preserve">is defined only on the retained, nondegenerate score</w:t>
      </w:r>
      <w:r>
        <w:t xml:space="preserve"> </w:t>
      </w:r>
      <w:r>
        <w:t xml:space="preserve">rows, those whose sample standard deviation exceeds the numerical floor stated in</w:t>
      </w:r>
      <w:r>
        <w:t xml:space="preserve"> </w:t>
      </w:r>
      <w:r>
        <w:t xml:space="preserve">Update for</w:t>
      </w:r>
      <w:r>
        <w:t xml:space="preserve"> </w:t>
      </w:r>
      <m:oMath>
        <m:r>
          <m:t>β</m:t>
        </m:r>
      </m:oMath>
      <w:r>
        <w:t xml:space="preserve"> </w:t>
      </w:r>
      <w:r>
        <w:t xml:space="preserve">below, and a row falling below that floor is dropped with its</w:t>
      </w:r>
      <w:r>
        <w:t xml:space="preserve"> </w:t>
      </w:r>
      <w:r>
        <w:t xml:space="preserve">coefficient set to zero. This is the objective the implementation evaluates at</w:t>
      </w:r>
      <w:r>
        <w:t xml:space="preserve"> </w:t>
      </w:r>
      <w:r>
        <w:t xml:space="preserve">every acceptance test and records at every outer iteration, with</w:t>
      </w:r>
      <w:r>
        <w:t xml:space="preserve"> </w:t>
      </w:r>
      <m:oMath>
        <m:r>
          <m:rPr>
            <m:sty m:val="p"/>
          </m:rPr>
          <m:t>s</m:t>
        </m:r>
        <m:r>
          <m:rPr>
            <m:sty m:val="p"/>
          </m:rPr>
          <m:t>d</m:t>
        </m:r>
        <m:d>
          <m:dPr>
            <m:begChr m:val="("/>
            <m:endChr m:val=")"/>
            <m:sepChr m:val=""/>
            <m:grow/>
          </m:dPr>
          <m:e>
            <m:r>
              <m:t>Z</m:t>
            </m:r>
          </m:e>
        </m:d>
      </m:oMath>
      <w:r>
        <w:t xml:space="preserve"> </w:t>
      </w:r>
      <w:r>
        <w:t xml:space="preserve">recomputed from each accepted</w:t>
      </w:r>
      <w:r>
        <w:t xml:space="preserve"> </w:t>
      </w:r>
      <m:oMath>
        <m:r>
          <m:t>W</m:t>
        </m:r>
      </m:oMath>
      <w:r>
        <w:t xml:space="preserve"> </w:t>
      </w:r>
      <w:r>
        <w:t xml:space="preserve">(Update for</w:t>
      </w:r>
      <w:r>
        <w:t xml:space="preserve"> </w:t>
      </w:r>
      <m:oMath>
        <m:r>
          <m:t>W</m:t>
        </m:r>
      </m:oMath>
      <w:r>
        <w:t xml:space="preserve"> </w:t>
      </w:r>
      <w:r>
        <w:t xml:space="preserve">below), so</w:t>
      </w:r>
      <w:r>
        <w:t xml:space="preserve"> </w:t>
      </w:r>
      <m:oMath>
        <m:sSub>
          <m:e>
            <m:r>
              <m:t>D</m:t>
            </m:r>
          </m:e>
          <m:sub>
            <m:r>
              <m:t>Z</m:t>
            </m:r>
          </m:sub>
        </m:sSub>
      </m:oMath>
      <w:r>
        <w:t xml:space="preserve"> </w:t>
      </w:r>
      <w:r>
        <w:t xml:space="preserve">changes across</w:t>
      </w:r>
      <w:r>
        <w:t xml:space="preserve"> </w:t>
      </w:r>
      <w:r>
        <w:t xml:space="preserve">iterations rather than being fixed once. The reported</w:t>
      </w:r>
      <w:r>
        <w:t xml:space="preserve"> </w:t>
      </w:r>
      <m:oMath>
        <m:r>
          <m:t>λ</m:t>
        </m:r>
      </m:oMath>
      <w:r>
        <w:t xml:space="preserve"> </w:t>
      </w:r>
      <w:r>
        <w:t xml:space="preserve">and</w:t>
      </w:r>
      <w:r>
        <w:t xml:space="preserve"> </w:t>
      </w:r>
      <m:oMath>
        <m:r>
          <m:t>ξ</m:t>
        </m:r>
      </m:oMath>
      <w:r>
        <w:t xml:space="preserve"> </w:t>
      </w:r>
      <w:r>
        <w:t xml:space="preserve">are the</w:t>
      </w:r>
      <w:r>
        <w:t xml:space="preserve"> </w:t>
      </w:r>
      <w:r>
        <w:t xml:space="preserve">nominal values passed to the optimizer and are to be read together with this</w:t>
      </w:r>
      <w:r>
        <w:t xml:space="preserve"> </w:t>
      </w:r>
      <w:r>
        <w:t xml:space="preserve">standardization convention. The Cox log-partial</w:t>
      </w:r>
      <w:r>
        <w:t xml:space="preserve"> </w:t>
      </w:r>
      <w:r>
        <w:t xml:space="preserve">likelihood</w:t>
      </w:r>
      <w:r>
        <w:t xml:space="preserve"> </w:t>
      </w:r>
      <m:oMath>
        <m:r>
          <m:rPr>
            <m:sty m:val="p"/>
          </m:rPr>
          <m:t>ℓ</m:t>
        </m:r>
        <m:d>
          <m:dPr>
            <m:begChr m:val="("/>
            <m:endChr m:val=")"/>
            <m:sepChr m:val=""/>
            <m:grow/>
          </m:dPr>
          <m:e>
            <m:r>
              <m:t>W</m:t>
            </m:r>
            <m:r>
              <m:rPr>
                <m:sty m:val="p"/>
              </m:rPr>
              <m:t>,</m:t>
            </m:r>
            <m:r>
              <m:t>β</m:t>
            </m:r>
          </m:e>
        </m:d>
      </m:oMath>
      <w:r>
        <w:t xml:space="preserve"> </w:t>
      </w:r>
      <w:r>
        <w:t xml:space="preserve">is</w:t>
      </w:r>
    </w:p>
    <w:p>
      <w:pPr>
        <w:pStyle w:val="BodyText"/>
      </w:pPr>
      <m:oMathPara>
        <m:oMathParaPr>
          <m:jc m:val="center"/>
        </m:oMathParaPr>
        <m:oMath>
          <m:r>
            <m:rPr>
              <m:sty m:val="p"/>
            </m:rPr>
            <m:t>ℓ</m:t>
          </m:r>
          <m:d>
            <m:dPr>
              <m:begChr m:val="("/>
              <m:endChr m:val=")"/>
              <m:sepChr m:val=""/>
              <m:grow/>
            </m:dPr>
            <m:e>
              <m:r>
                <m:t>W</m:t>
              </m:r>
              <m:r>
                <m:rPr>
                  <m:sty m:val="p"/>
                </m:rPr>
                <m:t>,</m:t>
              </m:r>
              <m:r>
                <m:t>β</m:t>
              </m:r>
            </m:e>
          </m:d>
          <m:r>
            <m:rPr>
              <m:sty m:val="p"/>
            </m:rPr>
            <m:t>=</m:t>
          </m:r>
          <m:nary>
            <m:naryPr>
              <m:chr m:val="∑"/>
              <m:limLoc m:val="undOvr"/>
              <m:subHide m:val="off"/>
              <m:supHide m:val="off"/>
            </m:naryPr>
            <m:sub>
              <m:r>
                <m:t>i</m:t>
              </m:r>
              <m:r>
                <m:rPr>
                  <m:sty m:val="p"/>
                </m:rPr>
                <m:t>=</m:t>
              </m:r>
              <m:r>
                <m:t>1</m:t>
              </m:r>
            </m:sub>
            <m:sup>
              <m:r>
                <m:t>n</m:t>
              </m:r>
            </m:sup>
            <m:e>
              <m:sSub>
                <m:e>
                  <m:r>
                    <m:t>δ</m:t>
                  </m:r>
                </m:e>
                <m:sub>
                  <m:r>
                    <m:t>i</m:t>
                  </m:r>
                </m:sub>
              </m:sSub>
            </m:e>
          </m:nary>
          <m:d>
            <m:dPr>
              <m:begChr m:val="["/>
              <m:endChr m:val="]"/>
              <m:sepChr m:val=""/>
              <m:grow/>
            </m:dPr>
            <m:e>
              <m:sSubSup>
                <m:e>
                  <m:r>
                    <m:t>Z</m:t>
                  </m:r>
                </m:e>
                <m:sub>
                  <m:r>
                    <m:t>i</m:t>
                  </m:r>
                </m:sub>
                <m:sup>
                  <m:r>
                    <m:rPr>
                      <m:sty m:val="p"/>
                    </m:rPr>
                    <m:t>⊤</m:t>
                  </m:r>
                </m:sup>
              </m:sSubSup>
              <m:r>
                <m:t>β</m:t>
              </m:r>
              <m:r>
                <m:rPr>
                  <m:sty m:val="p"/>
                </m:rPr>
                <m:t>−</m:t>
              </m:r>
              <m:r>
                <m:rPr>
                  <m:sty m:val="p"/>
                </m:rPr>
                <m:t>log</m:t>
              </m:r>
              <m:d>
                <m:dPr>
                  <m:begChr m:val="("/>
                  <m:endChr m:val=")"/>
                  <m:sepChr m:val=""/>
                  <m:grow/>
                </m:dPr>
                <m:e>
                  <m:nary>
                    <m:naryPr>
                      <m:chr m:val="∑"/>
                      <m:limLoc m:val="undOvr"/>
                      <m:subHide m:val="off"/>
                      <m:supHide m:val="on"/>
                    </m:naryPr>
                    <m:sub>
                      <m:r>
                        <m:t>j</m:t>
                      </m:r>
                      <m:r>
                        <m:rPr>
                          <m:sty m:val="p"/>
                        </m:rPr>
                        <m:t>:</m:t>
                      </m:r>
                      <m:sSub>
                        <m:e>
                          <m:r>
                            <m:t>y</m:t>
                          </m:r>
                        </m:e>
                        <m:sub>
                          <m:r>
                            <m:t>j</m:t>
                          </m:r>
                        </m:sub>
                      </m:sSub>
                      <m:r>
                        <m:rPr>
                          <m:sty m:val="p"/>
                        </m:rPr>
                        <m:t>≥</m:t>
                      </m:r>
                      <m:sSub>
                        <m:e>
                          <m:r>
                            <m:t>y</m:t>
                          </m:r>
                        </m:e>
                        <m:sub>
                          <m:r>
                            <m:t>i</m:t>
                          </m:r>
                        </m:sub>
                      </m:sSub>
                    </m:sub>
                    <m:sup>
                      <m:r>
                        <m:t>​</m:t>
                      </m:r>
                    </m:sup>
                    <m:e>
                      <m:r>
                        <m:rPr>
                          <m:sty m:val="p"/>
                        </m:rPr>
                        <m:t>exp</m:t>
                      </m:r>
                    </m:e>
                  </m:nary>
                  <m:d>
                    <m:dPr>
                      <m:begChr m:val="("/>
                      <m:endChr m:val=")"/>
                      <m:sepChr m:val=""/>
                      <m:grow/>
                    </m:dPr>
                    <m:e>
                      <m:sSubSup>
                        <m:e>
                          <m:r>
                            <m:t>Z</m:t>
                          </m:r>
                        </m:e>
                        <m:sub>
                          <m:r>
                            <m:t>j</m:t>
                          </m:r>
                        </m:sub>
                        <m:sup>
                          <m:r>
                            <m:rPr>
                              <m:sty m:val="p"/>
                            </m:rPr>
                            <m:t>⊤</m:t>
                          </m:r>
                        </m:sup>
                      </m:sSubSup>
                      <m:r>
                        <m:t>β</m:t>
                      </m:r>
                    </m:e>
                  </m:d>
                </m:e>
              </m:d>
            </m:e>
          </m:d>
          <m:r>
            <m:rPr>
              <m:sty m:val="p"/>
            </m:rPr>
            <m:t>.</m:t>
          </m:r>
        </m:oMath>
      </m:oMathPara>
    </w:p>
    <w:p>
      <w:pPr>
        <w:pStyle w:val="FirstParagraph"/>
      </w:pPr>
      <w:r>
        <w:t xml:space="preserve">The inner sum runs over the risk set</w:t>
      </w:r>
      <w:r>
        <w:t xml:space="preserve"> </w:t>
      </w:r>
      <m:oMath>
        <m:r>
          <m:rPr>
            <m:sty m:val="p"/>
          </m:rPr>
          <m:t>{</m:t>
        </m:r>
        <m:r>
          <m:t>j</m:t>
        </m:r>
        <m:r>
          <m:rPr>
            <m:sty m:val="p"/>
          </m:rPr>
          <m:t>:</m:t>
        </m:r>
        <m:sSub>
          <m:e>
            <m:r>
              <m:t>y</m:t>
            </m:r>
          </m:e>
          <m:sub>
            <m:r>
              <m:t>j</m:t>
            </m:r>
          </m:sub>
        </m:sSub>
        <m:r>
          <m:rPr>
            <m:sty m:val="p"/>
          </m:rPr>
          <m:t>≥</m:t>
        </m:r>
        <m:sSub>
          <m:e>
            <m:r>
              <m:t>y</m:t>
            </m:r>
          </m:e>
          <m:sub>
            <m:r>
              <m:t>i</m:t>
            </m:r>
          </m:sub>
        </m:sSub>
        <m:r>
          <m:rPr>
            <m:sty m:val="p"/>
          </m:rPr>
          <m:t>}</m:t>
        </m:r>
      </m:oMath>
      <w:r>
        <w:t xml:space="preserve"> </w:t>
      </w:r>
      <w:r>
        <w:t xml:space="preserve">of subjects still at risk at the observed time</w:t>
      </w:r>
      <w:r>
        <w:t xml:space="preserve"> </w:t>
      </w:r>
      <m:oMath>
        <m:sSub>
          <m:e>
            <m:r>
              <m:t>y</m:t>
            </m:r>
          </m:e>
          <m:sub>
            <m:r>
              <m:t>i</m:t>
            </m:r>
          </m:sub>
        </m:sSub>
      </m:oMath>
      <w:r>
        <w:t xml:space="preserve">; tied event times are handled by the Breslow approximation in DeSurv’s own Coxnet-style coordinate-descent routine for the</w:t>
      </w:r>
      <w:r>
        <w:t xml:space="preserve"> </w:t>
      </w:r>
      <m:oMath>
        <m:r>
          <m:t>β</m:t>
        </m:r>
      </m:oMath>
      <w:r>
        <w:t xml:space="preserve"> </w:t>
      </w:r>
      <w:r>
        <w:t xml:space="preserve">update (below).</w:t>
      </w:r>
      <w:r>
        <w:t xml:space="preserve"> </w:t>
      </w:r>
      <w:r>
        <w:t xml:space="preserve">Hyperparameters satisfy</w:t>
      </w:r>
      <w:r>
        <w:t xml:space="preserve"> </w:t>
      </w:r>
      <m:oMath>
        <m:r>
          <m:t>α</m:t>
        </m:r>
        <m:r>
          <m:rPr>
            <m:sty m:val="p"/>
          </m:rPr>
          <m:t>∈</m:t>
        </m:r>
        <m:r>
          <m:rPr>
            <m:sty m:val="p"/>
          </m:rPr>
          <m:t>[</m:t>
        </m:r>
        <m:r>
          <m:t>0</m:t>
        </m:r>
        <m:r>
          <m:rPr>
            <m:sty m:val="p"/>
          </m:rPr>
          <m:t>,</m:t>
        </m:r>
        <m:r>
          <m:t>1</m:t>
        </m:r>
        <m:r>
          <m:rPr>
            <m:sty m:val="p"/>
          </m:rPr>
          <m:t>)</m:t>
        </m:r>
      </m:oMath>
      <w:r>
        <w:t xml:space="preserve">,</w:t>
      </w:r>
      <w:r>
        <w:t xml:space="preserve"> </w:t>
      </w:r>
      <m:oMath>
        <m:sSub>
          <m:e>
            <m:r>
              <m:t>λ</m:t>
            </m:r>
          </m:e>
          <m:sub>
            <m:r>
              <m:t>H</m:t>
            </m:r>
          </m:sub>
        </m:sSub>
        <m:r>
          <m:rPr>
            <m:sty m:val="p"/>
          </m:rPr>
          <m:t>≥</m:t>
        </m:r>
        <m:r>
          <m:t>0</m:t>
        </m:r>
      </m:oMath>
      <w:r>
        <w:t xml:space="preserve">,</w:t>
      </w:r>
      <w:r>
        <w:t xml:space="preserve"> </w:t>
      </w:r>
      <m:oMath>
        <m:r>
          <m:t>λ</m:t>
        </m:r>
        <m:r>
          <m:rPr>
            <m:sty m:val="p"/>
          </m:rPr>
          <m:t>≥</m:t>
        </m:r>
        <m:r>
          <m:t>0</m:t>
        </m:r>
      </m:oMath>
      <w:r>
        <w:t xml:space="preserve">, and</w:t>
      </w:r>
      <w:r>
        <w:t xml:space="preserve"> </w:t>
      </w:r>
      <m:oMath>
        <m:r>
          <m:t>ξ</m:t>
        </m:r>
        <m:r>
          <m:rPr>
            <m:sty m:val="p"/>
          </m:rPr>
          <m:t>∈</m:t>
        </m:r>
        <m:d>
          <m:dPr>
            <m:begChr m:val="["/>
            <m:endChr m:val="]"/>
            <m:sepChr m:val=""/>
            <m:grow/>
          </m:dPr>
          <m:e>
            <m:r>
              <m:t>0</m:t>
            </m:r>
            <m:r>
              <m:rPr>
                <m:sty m:val="p"/>
              </m:rPr>
              <m:t>,</m:t>
            </m:r>
            <m:r>
              <m:t>1</m:t>
            </m:r>
          </m:e>
        </m:d>
      </m:oMath>
      <w:r>
        <w:t xml:space="preserve">.</w:t>
      </w:r>
      <w:r>
        <w:t xml:space="preserve"> </w:t>
      </w:r>
      <w:r>
        <w:t xml:space="preserve">The constants</w:t>
      </w:r>
      <w:r>
        <w:t xml:space="preserve"> </w:t>
      </w:r>
      <m:oMath>
        <m:r>
          <m:t>1</m:t>
        </m:r>
        <m:r>
          <m:rPr>
            <m:sty m:val="p"/>
          </m:rPr>
          <m:t>/</m:t>
        </m:r>
        <m:d>
          <m:dPr>
            <m:begChr m:val="("/>
            <m:endChr m:val=")"/>
            <m:sepChr m:val=""/>
            <m:grow/>
          </m:dPr>
          <m:e>
            <m:r>
              <m:t>2</m:t>
            </m:r>
            <m:r>
              <m:rPr>
                <m:sty m:val="p"/>
              </m:rPr>
              <m:t>∥</m:t>
            </m:r>
            <m:r>
              <m:t>X</m:t>
            </m:r>
            <m:sSubSup>
              <m:e>
                <m:r>
                  <m:rPr>
                    <m:sty m:val="p"/>
                  </m:rPr>
                  <m:t>∥</m:t>
                </m:r>
              </m:e>
              <m:sub>
                <m:r>
                  <m:t>F</m:t>
                </m:r>
              </m:sub>
              <m:sup>
                <m:r>
                  <m:t>2</m:t>
                </m:r>
              </m:sup>
            </m:sSubSup>
          </m:e>
        </m:d>
      </m:oMath>
      <w:r>
        <w:t xml:space="preserve">,</w:t>
      </w:r>
      <w:r>
        <w:t xml:space="preserve"> </w:t>
      </w:r>
      <m:oMath>
        <m:sSub>
          <m:e>
            <m:r>
              <m:t>λ</m:t>
            </m:r>
          </m:e>
          <m:sub>
            <m:r>
              <m:t>H</m:t>
            </m:r>
          </m:sub>
        </m:sSub>
        <m:r>
          <m:rPr>
            <m:sty m:val="p"/>
          </m:rPr>
          <m:t>/</m:t>
        </m:r>
        <m:d>
          <m:dPr>
            <m:begChr m:val="("/>
            <m:endChr m:val=")"/>
            <m:sepChr m:val=""/>
            <m:grow/>
          </m:dPr>
          <m:e>
            <m:r>
              <m:t>2</m:t>
            </m:r>
            <m:r>
              <m:t>n</m:t>
            </m:r>
            <m:r>
              <m:t>k</m:t>
            </m:r>
          </m:e>
        </m:d>
      </m:oMath>
      <w:r>
        <w:t xml:space="preserve"> </w:t>
      </w:r>
      <w:r>
        <w:t xml:space="preserve">and</w:t>
      </w:r>
      <w:r>
        <w:t xml:space="preserve"> </w:t>
      </w:r>
      <m:oMath>
        <m:r>
          <m:t>2</m:t>
        </m:r>
        <m:r>
          <m:rPr>
            <m:sty m:val="p"/>
          </m:rPr>
          <m:t>/</m:t>
        </m:r>
        <m:sSub>
          <m:e>
            <m:r>
              <m:t>n</m:t>
            </m:r>
          </m:e>
          <m:sub>
            <m:r>
              <m:rPr>
                <m:nor/>
                <m:sty m:val="p"/>
              </m:rPr>
              <m:t>event</m:t>
            </m:r>
          </m:sub>
        </m:sSub>
      </m:oMath>
      <w:r>
        <w:t xml:space="preserve"> </w:t>
      </w:r>
      <w:r>
        <w:t xml:space="preserve">normalize the component losses, the reconstruction, loadings-penalty and survival terms in that order, before</w:t>
      </w:r>
      <w:r>
        <w:t xml:space="preserve"> </w:t>
      </w:r>
      <m:oMath>
        <m:r>
          <m:t>α</m:t>
        </m:r>
      </m:oMath>
      <w:r>
        <w:t xml:space="preserve"> </w:t>
      </w:r>
      <w:r>
        <w:t xml:space="preserve">sets their relative contribution. The elastic-net mixing parameter</w:t>
      </w:r>
      <w:r>
        <w:t xml:space="preserve"> </w:t>
      </w:r>
      <m:oMath>
        <m:r>
          <m:t>ξ</m:t>
        </m:r>
      </m:oMath>
      <w:r>
        <w:t xml:space="preserve"> </w:t>
      </w:r>
      <w:r>
        <w:t xml:space="preserve">is the argument</w:t>
      </w:r>
      <w:r>
        <w:t xml:space="preserve"> </w:t>
      </w:r>
      <w:r>
        <w:rPr>
          <w:rStyle w:val="VerbatimChar"/>
        </w:rPr>
        <w:t xml:space="preserve">nu</w:t>
      </w:r>
      <w:r>
        <w:t xml:space="preserve"> </w:t>
      </w:r>
      <w:r>
        <w:t xml:space="preserve">in the DeSurv package. The implementation also carries an optional ridge penalty on</w:t>
      </w:r>
      <w:r>
        <w:t xml:space="preserve"> </w:t>
      </w:r>
      <m:oMath>
        <m:r>
          <m:t>W</m:t>
        </m:r>
      </m:oMath>
      <w:r>
        <w:t xml:space="preserve">,</w:t>
      </w:r>
      <w:r>
        <w:t xml:space="preserve"> </w:t>
      </w:r>
      <m:oMath>
        <m:sSub>
          <m:e>
            <m:r>
              <m:t>λ</m:t>
            </m:r>
          </m:e>
          <m:sub>
            <m:r>
              <m:t>W</m:t>
            </m:r>
          </m:sub>
        </m:sSub>
        <m:r>
          <m:rPr>
            <m:sty m:val="p"/>
          </m:rPr>
          <m:t>∥</m:t>
        </m:r>
        <m:r>
          <m:t>W</m:t>
        </m:r>
        <m:sSubSup>
          <m:e>
            <m:r>
              <m:rPr>
                <m:sty m:val="p"/>
              </m:rPr>
              <m:t>∥</m:t>
            </m:r>
          </m:e>
          <m:sub>
            <m:r>
              <m:t>F</m:t>
            </m:r>
          </m:sub>
          <m:sup>
            <m:r>
              <m:t>2</m:t>
            </m:r>
          </m:sup>
        </m:sSubSup>
        <m:r>
          <m:rPr>
            <m:sty m:val="p"/>
          </m:rPr>
          <m:t>/</m:t>
        </m:r>
        <m:d>
          <m:dPr>
            <m:begChr m:val="("/>
            <m:endChr m:val=")"/>
            <m:sepChr m:val=""/>
            <m:grow/>
          </m:dPr>
          <m:e>
            <m:r>
              <m:t>2</m:t>
            </m:r>
            <m:r>
              <m:t>p</m:t>
            </m:r>
            <m:r>
              <m:t>k</m:t>
            </m:r>
          </m:e>
        </m:d>
      </m:oMath>
      <w:r>
        <w:t xml:space="preserve">, held at</w:t>
      </w:r>
      <w:r>
        <w:t xml:space="preserve"> </w:t>
      </w:r>
      <m:oMath>
        <m:sSub>
          <m:e>
            <m:r>
              <m:t>λ</m:t>
            </m:r>
          </m:e>
          <m:sub>
            <m:r>
              <m:t>W</m:t>
            </m:r>
          </m:sub>
        </m:sSub>
        <m:r>
          <m:rPr>
            <m:sty m:val="p"/>
          </m:rPr>
          <m:t>=</m:t>
        </m:r>
        <m:r>
          <m:t>0</m:t>
        </m:r>
      </m:oMath>
      <w:r>
        <w:t xml:space="preserve"> </w:t>
      </w:r>
      <w:r>
        <w:t xml:space="preserve">in every reported fit and pinned to the same value throughout the Bayesian-optimization search; it is omitted from the display above.</w:t>
      </w:r>
    </w:p>
    <w:bookmarkEnd w:id="21"/>
    <w:bookmarkStart w:id="27" w:name="optimization-algorithm"/>
    <w:p>
      <w:pPr>
        <w:pStyle w:val="Heading1"/>
      </w:pPr>
      <w:r>
        <w:t xml:space="preserve">Optimization Algorithm</w:t>
      </w:r>
    </w:p>
    <w:bookmarkStart w:id="22" w:name="block-coordinate-descent-scheme"/>
    <w:p>
      <w:pPr>
        <w:pStyle w:val="Heading2"/>
      </w:pPr>
      <w:r>
        <w:t xml:space="preserve">Block coordinate descent scheme</w:t>
      </w:r>
    </w:p>
    <w:p>
      <w:pPr>
        <w:pStyle w:val="FirstParagraph"/>
      </w:pPr>
      <w:r>
        <w:t xml:space="preserve">Optimization proceeds by block coordinate descent (BCD; Algorithm [alg:desurv]). Each outer iteration updates</w:t>
      </w:r>
      <w:r>
        <w:t xml:space="preserve"> </w:t>
      </w:r>
      <m:oMath>
        <m:r>
          <m:t>H</m:t>
        </m:r>
      </m:oMath>
      <w:r>
        <w:t xml:space="preserve">, proposes an update to</w:t>
      </w:r>
      <w:r>
        <w:t xml:space="preserve"> </w:t>
      </w:r>
      <m:oMath>
        <m:r>
          <m:t>W</m:t>
        </m:r>
      </m:oMath>
      <w:r>
        <w:t xml:space="preserve"> </w:t>
      </w:r>
      <w:r>
        <w:t xml:space="preserve">with the accompanying normalization and coefficient rescaling, and then updates</w:t>
      </w:r>
      <w:r>
        <w:t xml:space="preserve"> </w:t>
      </w:r>
      <m:oMath>
        <m:r>
          <m:t>β</m:t>
        </m:r>
      </m:oMath>
      <w:r>
        <w:t xml:space="preserve">. The outer loop stops when the</w:t>
      </w:r>
      <w:r>
        <w:t xml:space="preserve"> </w:t>
      </w:r>
      <w:r>
        <w:rPr>
          <w:iCs/>
          <w:i/>
        </w:rPr>
        <w:t xml:space="preserve">cosine change</w:t>
      </w:r>
      <w:r>
        <w:t xml:space="preserve"> </w:t>
      </w:r>
      <w:r>
        <w:t xml:space="preserve">of both</w:t>
      </w:r>
      <w:r>
        <w:t xml:space="preserve"> </w:t>
      </w:r>
      <m:oMath>
        <m:r>
          <m:t>W</m:t>
        </m:r>
      </m:oMath>
      <w:r>
        <w:t xml:space="preserve"> </w:t>
      </w:r>
      <w:r>
        <w:t xml:space="preserve">and</w:t>
      </w:r>
      <w:r>
        <w:t xml:space="preserve"> </w:t>
      </w:r>
      <m:oMath>
        <m:r>
          <m:t>H</m:t>
        </m:r>
      </m:oMath>
      <w:r>
        <w:t xml:space="preserve"> </w:t>
      </w:r>
      <w:r>
        <w:t xml:space="preserve">falls below the tolerance</w:t>
      </w:r>
      <w:r>
        <w:t xml:space="preserve"> </w:t>
      </w:r>
      <m:oMath>
        <m:r>
          <m:t>t</m:t>
        </m:r>
        <m:r>
          <m:t>o</m:t>
        </m:r>
        <m:r>
          <m:t>l</m:t>
        </m:r>
      </m:oMath>
      <w:r>
        <w:t xml:space="preserve">. For a matrix</w:t>
      </w:r>
      <w:r>
        <w:t xml:space="preserve"> </w:t>
      </w:r>
      <m:oMath>
        <m:r>
          <m:t>A</m:t>
        </m:r>
      </m:oMath>
      <w:r>
        <w:t xml:space="preserve"> </w:t>
      </w:r>
      <w:r>
        <w:t xml:space="preserve">we define the cosine change between successive iterates as one minus the cosine similarity of the vectorized iterates,</w:t>
      </w:r>
      <w:r>
        <w:t xml:space="preserve"> </w:t>
      </w:r>
      <w:r>
        <w:t xml:space="preserve">[</w:t>
      </w:r>
      <w:r>
        <w:t xml:space="preserve"> </w:t>
      </w:r>
      <w:r>
        <w:t xml:space="preserve">1 - \cos!\big(\mathrm{vec},A^{(t)},, \mathrm{vec},A^{(t+1)}\big)</w:t>
      </w:r>
      <w:r>
        <w:t xml:space="preserve"> </w:t>
      </w:r>
      <w:r>
        <w:t xml:space="preserve">= 1 - \frac{\langle \mathrm{vec},A^{(t)},, \mathrm{vec},A^{(t+1)}\rangle}</w:t>
      </w:r>
      <w:r>
        <w:t xml:space="preserve"> </w:t>
      </w:r>
      <w:r>
        <w:t xml:space="preserve">{\lVert A^{(t)} \rVert_F , \lVert A^{(t+1)} \rVert_F},</w:t>
      </w:r>
      <w:r>
        <w:t xml:space="preserve"> </w:t>
      </w:r>
      <w:r>
        <w:t xml:space="preserve">]</w:t>
      </w:r>
      <w:r>
        <w:t xml:space="preserve"> </w:t>
      </w:r>
      <w:r>
        <w:t xml:space="preserve">clipped to</w:t>
      </w:r>
      <w:r>
        <w:t xml:space="preserve"> </w:t>
      </w:r>
      <m:oMath>
        <m:d>
          <m:dPr>
            <m:begChr m:val="["/>
            <m:endChr m:val="]"/>
            <m:sepChr m:val=""/>
            <m:grow/>
          </m:dPr>
          <m:e>
            <m:r>
              <m:t>0</m:t>
            </m:r>
            <m:r>
              <m:rPr>
                <m:sty m:val="p"/>
              </m:rPr>
              <m:t>,</m:t>
            </m:r>
            <m:r>
              <m:t>2</m:t>
            </m:r>
          </m:e>
        </m:d>
      </m:oMath>
      <w:r>
        <w:t xml:space="preserve">, so the criterion measures the change in direction of the whole iterate and is invariant to a common rescaling of it. Both quantities must fall below</w:t>
      </w:r>
      <w:r>
        <w:t xml:space="preserve"> </w:t>
      </w:r>
      <m:oMath>
        <m:r>
          <m:t>t</m:t>
        </m:r>
        <m:r>
          <m:t>o</m:t>
        </m:r>
        <m:r>
          <m:t>l</m:t>
        </m:r>
      </m:oMath>
      <w:r>
        <w:t xml:space="preserve"> </w:t>
      </w:r>
      <w:r>
        <w:t xml:space="preserve">in the same iteration. The objective value is recorded once per outer iteration, after the</w:t>
      </w:r>
      <w:r>
        <w:t xml:space="preserve"> </w:t>
      </w:r>
      <m:oMath>
        <m:r>
          <m:t>β</m:t>
        </m:r>
      </m:oMath>
      <w:r>
        <w:t xml:space="preserve"> </w:t>
      </w:r>
      <w:r>
        <w:t xml:space="preserve">update, and that recorded series ends with the last outer iteration and does not include the post-loop</w:t>
      </w:r>
      <w:r>
        <w:t xml:space="preserve"> </w:t>
      </w:r>
      <m:oMath>
        <m:r>
          <m:t>β</m:t>
        </m:r>
      </m:oMath>
      <w:r>
        <w:t xml:space="preserve"> </w:t>
      </w:r>
      <w:r>
        <w:t xml:space="preserve">refit, whose objective is stored separately.</w:t>
      </w:r>
    </w:p>
    <w:p>
      <w:pPr>
        <w:pStyle w:val="BodyText"/>
      </w:pPr>
      <w:r>
        <w:rPr>
          <w:bCs/>
          <w:b/>
        </w:rPr>
        <w:t xml:space="preserve">DeSurv block coordinate descent</w:t>
      </w:r>
    </w:p>
    <w:p>
      <w:pPr>
        <w:pStyle w:val="BodyText"/>
      </w:pPr>
      <w:r>
        <w:t xml:space="preserve">Input:</w:t>
      </w:r>
      <w:r>
        <w:t xml:space="preserve"> </w:t>
      </w:r>
      <m:oMath>
        <m:r>
          <m:t>X</m:t>
        </m:r>
        <m:r>
          <m:rPr>
            <m:sty m:val="p"/>
          </m:rPr>
          <m:t>∈</m:t>
        </m:r>
        <m:sSubSup>
          <m:e>
            <m:r>
              <m:rPr>
                <m:sty m:val="p"/>
                <m:scr m:val="double-struck"/>
              </m:rPr>
              <m:t>R</m:t>
            </m:r>
          </m:e>
          <m:sub>
            <m:r>
              <m:rPr>
                <m:sty m:val="p"/>
              </m:rPr>
              <m:t>≥</m:t>
            </m:r>
            <m:r>
              <m:t>0</m:t>
            </m:r>
          </m:sub>
          <m:sup>
            <m:r>
              <m:t>p</m:t>
            </m:r>
            <m:r>
              <m:rPr>
                <m:sty m:val="p"/>
              </m:rPr>
              <m:t>×</m:t>
            </m:r>
            <m:r>
              <m:t>n</m:t>
            </m:r>
          </m:sup>
        </m:sSubSup>
      </m:oMath>
      <w:r>
        <w:t xml:space="preserve">, survival times</w:t>
      </w:r>
      <w:r>
        <w:t xml:space="preserve"> </w:t>
      </w:r>
      <m:oMath>
        <m:r>
          <m:t>y</m:t>
        </m:r>
        <m:r>
          <m:rPr>
            <m:sty m:val="p"/>
          </m:rPr>
          <m:t>∈</m:t>
        </m:r>
        <m:sSubSup>
          <m:e>
            <m:r>
              <m:rPr>
                <m:sty m:val="p"/>
                <m:scr m:val="double-struck"/>
              </m:rPr>
              <m:t>R</m:t>
            </m:r>
          </m:e>
          <m:sub>
            <m:r>
              <m:rPr>
                <m:sty m:val="p"/>
              </m:rPr>
              <m:t>&gt;</m:t>
            </m:r>
            <m:r>
              <m:t>0</m:t>
            </m:r>
          </m:sub>
          <m:sup>
            <m:r>
              <m:t>n</m:t>
            </m:r>
          </m:sup>
        </m:sSubSup>
      </m:oMath>
      <w:r>
        <w:t xml:space="preserve">, event indicators</w:t>
      </w:r>
      <w:r>
        <w:t xml:space="preserve"> </w:t>
      </w:r>
      <m:oMath>
        <m:r>
          <m:t>δ</m:t>
        </m:r>
        <m:r>
          <m:rPr>
            <m:sty m:val="p"/>
          </m:rPr>
          <m:t>∈</m:t>
        </m:r>
        <m:r>
          <m:rPr>
            <m:sty m:val="p"/>
          </m:rPr>
          <m:t>{</m:t>
        </m:r>
        <m:r>
          <m:t>0</m:t>
        </m:r>
        <m:r>
          <m:rPr>
            <m:sty m:val="p"/>
          </m:rPr>
          <m:t>,</m:t>
        </m:r>
        <m:r>
          <m:t>1</m:t>
        </m:r>
        <m:sSup>
          <m:e>
            <m:r>
              <m:rPr>
                <m:sty m:val="p"/>
              </m:rPr>
              <m:t>}</m:t>
            </m:r>
          </m:e>
          <m:sup>
            <m:r>
              <m:t>n</m:t>
            </m:r>
          </m:sup>
        </m:sSup>
      </m:oMath>
      <w:r>
        <w:t xml:space="preserve">, tolerance</w:t>
      </w:r>
      <w:r>
        <w:t xml:space="preserve"> </w:t>
      </w:r>
      <m:oMath>
        <m:r>
          <m:t>t</m:t>
        </m:r>
        <m:r>
          <m:t>o</m:t>
        </m:r>
        <m:r>
          <m:t>l</m:t>
        </m:r>
      </m:oMath>
      <w:r>
        <w:t xml:space="preserve">, maximum iterations</w:t>
      </w:r>
      <w:r>
        <w:t xml:space="preserve"> </w:t>
      </w:r>
      <m:oMath>
        <m:r>
          <m:t>m</m:t>
        </m:r>
        <m:r>
          <m:t>a</m:t>
        </m:r>
        <m:r>
          <m:t>x</m:t>
        </m:r>
        <m:r>
          <m:t>i</m:t>
        </m:r>
        <m:r>
          <m:t>t</m:t>
        </m:r>
      </m:oMath>
      <w:r>
        <w:t xml:space="preserve">, supervision parameter</w:t>
      </w:r>
      <w:r>
        <w:t xml:space="preserve"> </w:t>
      </w:r>
      <m:oMath>
        <m:r>
          <m:t>α</m:t>
        </m:r>
      </m:oMath>
      <w:r>
        <w:t xml:space="preserve">, rank</w:t>
      </w:r>
      <w:r>
        <w:t xml:space="preserve"> </w:t>
      </w:r>
      <m:oMath>
        <m:r>
          <m:t>k</m:t>
        </m:r>
      </m:oMath>
      <w:r>
        <w:t xml:space="preserve">, penalties</w:t>
      </w:r>
      <w:r>
        <w:t xml:space="preserve"> </w:t>
      </w:r>
      <m:oMath>
        <m:sSub>
          <m:e>
            <m:r>
              <m:t>λ</m:t>
            </m:r>
          </m:e>
          <m:sub>
            <m:r>
              <m:t>H</m:t>
            </m:r>
          </m:sub>
        </m:sSub>
      </m:oMath>
      <w:r>
        <w:t xml:space="preserve">,</w:t>
      </w:r>
      <w:r>
        <w:t xml:space="preserve"> </w:t>
      </w:r>
      <m:oMath>
        <m:r>
          <m:t>λ</m:t>
        </m:r>
      </m:oMath>
      <w:r>
        <w:t xml:space="preserve">, and</w:t>
      </w:r>
      <w:r>
        <w:t xml:space="preserve"> </w:t>
      </w:r>
      <m:oMath>
        <m:r>
          <m:t>ξ</m:t>
        </m:r>
      </m:oMath>
      <w:r>
        <w:br/>
      </w:r>
      <w:r>
        <w:t xml:space="preserve">Output: Fitted DeSurv parameters</w:t>
      </w:r>
      <w:r>
        <w:t xml:space="preserve"> </w:t>
      </w:r>
      <m:oMath>
        <m:d>
          <m:dPr>
            <m:begChr m:val="("/>
            <m:endChr m:val=")"/>
            <m:sepChr m:val=""/>
            <m:grow/>
          </m:dPr>
          <m:e>
            <m:r>
              <m:t>W</m:t>
            </m:r>
            <m:r>
              <m:rPr>
                <m:sty m:val="p"/>
              </m:rPr>
              <m:t>,</m:t>
            </m:r>
            <m:r>
              <m:t>H</m:t>
            </m:r>
            <m:r>
              <m:rPr>
                <m:sty m:val="p"/>
              </m:rPr>
              <m:t>,</m:t>
            </m:r>
            <m:r>
              <m:t>β</m:t>
            </m:r>
          </m:e>
        </m:d>
      </m:oMath>
      <w:r>
        <w:br/>
      </w:r>
      <w:r>
        <w:t xml:space="preserve">Initialize</w:t>
      </w:r>
      <w:r>
        <w:t xml:space="preserve"> </w:t>
      </w:r>
      <m:oMath>
        <m:sSup>
          <m:e>
            <m:r>
              <m:t>W</m:t>
            </m:r>
          </m:e>
          <m:sup>
            <m:d>
              <m:dPr>
                <m:begChr m:val="("/>
                <m:endChr m:val=")"/>
                <m:sepChr m:val=""/>
                <m:grow/>
              </m:dPr>
              <m:e>
                <m:r>
                  <m:t>0</m:t>
                </m:r>
              </m:e>
            </m:d>
          </m:sup>
        </m:sSup>
        <m:r>
          <m:rPr>
            <m:sty m:val="p"/>
          </m:rPr>
          <m:t>,</m:t>
        </m:r>
        <m:sSup>
          <m:e>
            <m:r>
              <m:t>H</m:t>
            </m:r>
          </m:e>
          <m:sup>
            <m:d>
              <m:dPr>
                <m:begChr m:val="("/>
                <m:endChr m:val=")"/>
                <m:sepChr m:val=""/>
                <m:grow/>
              </m:dPr>
              <m:e>
                <m:r>
                  <m:t>0</m:t>
                </m:r>
              </m:e>
            </m:d>
          </m:sup>
        </m:sSup>
      </m:oMath>
      <w:r>
        <w:t xml:space="preserve"> </w:t>
      </w:r>
      <w:r>
        <w:t xml:space="preserve">with positive entries (e.g.,</w:t>
      </w:r>
      <w:r>
        <w:t xml:space="preserve"> </w:t>
      </w:r>
      <m:oMath>
        <m:sSup>
          <m:e>
            <m:r>
              <m:t>W</m:t>
            </m:r>
          </m:e>
          <m:sup>
            <m:d>
              <m:dPr>
                <m:begChr m:val="("/>
                <m:endChr m:val=")"/>
                <m:sepChr m:val=""/>
                <m:grow/>
              </m:dPr>
              <m:e>
                <m:r>
                  <m:t>0</m:t>
                </m:r>
              </m:e>
            </m:d>
          </m:sup>
        </m:sSup>
        <m:r>
          <m:rPr>
            <m:sty m:val="p"/>
          </m:rPr>
          <m:t>,</m:t>
        </m:r>
        <m:sSup>
          <m:e>
            <m:r>
              <m:t>H</m:t>
            </m:r>
          </m:e>
          <m:sup>
            <m:d>
              <m:dPr>
                <m:begChr m:val="("/>
                <m:endChr m:val=")"/>
                <m:sepChr m:val=""/>
                <m:grow/>
              </m:dPr>
              <m:e>
                <m:r>
                  <m:t>0</m:t>
                </m:r>
              </m:e>
            </m:d>
          </m:sup>
        </m:sSup>
        <m:r>
          <m:rPr>
            <m:sty m:val="p"/>
          </m:rPr>
          <m:t>∼</m:t>
        </m:r>
        <m:r>
          <m:rPr>
            <m:sty m:val="p"/>
          </m:rPr>
          <m:t>U</m:t>
        </m:r>
        <m:r>
          <m:rPr>
            <m:sty m:val="p"/>
          </m:rPr>
          <m:t>n</m:t>
        </m:r>
        <m:r>
          <m:rPr>
            <m:sty m:val="p"/>
          </m:rPr>
          <m:t>i</m:t>
        </m:r>
        <m:r>
          <m:rPr>
            <m:sty m:val="p"/>
          </m:rPr>
          <m:t>f</m:t>
        </m:r>
        <m:r>
          <m:rPr>
            <m:sty m:val="p"/>
          </m:rPr>
          <m:t>o</m:t>
        </m:r>
        <m:r>
          <m:rPr>
            <m:sty m:val="p"/>
          </m:rPr>
          <m:t>r</m:t>
        </m:r>
        <m:r>
          <m:rPr>
            <m:sty m:val="p"/>
          </m:rPr>
          <m:t>m</m:t>
        </m:r>
        <m:d>
          <m:dPr>
            <m:begChr m:val="("/>
            <m:endChr m:val=")"/>
            <m:sepChr m:val=""/>
            <m:grow/>
          </m:dPr>
          <m:e>
            <m:r>
              <m:t>0</m:t>
            </m:r>
            <m:r>
              <m:rPr>
                <m:sty m:val="p"/>
              </m:rPr>
              <m:t>,</m:t>
            </m:r>
            <m:r>
              <m:rPr>
                <m:sty m:val="p"/>
              </m:rPr>
              <m:t>max</m:t>
            </m:r>
            <m:r>
              <m:t>X</m:t>
            </m:r>
          </m:e>
        </m:d>
      </m:oMath>
      <w:r>
        <w:t xml:space="preserve">)</w:t>
      </w:r>
      <w:r>
        <w:br/>
      </w:r>
      <w:r>
        <w:t xml:space="preserve">Initialize</w:t>
      </w:r>
      <w:r>
        <w:t xml:space="preserve"> </w:t>
      </w:r>
      <m:oMath>
        <m:sSup>
          <m:e>
            <m:r>
              <m:t>β</m:t>
            </m:r>
          </m:e>
          <m:sup>
            <m:d>
              <m:dPr>
                <m:begChr m:val="("/>
                <m:endChr m:val=")"/>
                <m:sepChr m:val=""/>
                <m:grow/>
              </m:dPr>
              <m:e>
                <m:r>
                  <m:t>0</m:t>
                </m:r>
              </m:e>
            </m:d>
          </m:sup>
        </m:sSup>
        <m:r>
          <m:rPr>
            <m:sty m:val="p"/>
          </m:rPr>
          <m:t>=</m:t>
        </m:r>
        <m:r>
          <m:rPr>
            <m:sty m:val="b"/>
          </m:rPr>
          <m:t>0</m:t>
        </m:r>
      </m:oMath>
      <w:r>
        <w:t xml:space="preserve"> </w:t>
      </w:r>
      <w:r>
        <w:t xml:space="preserve">(the value used in all reported fits)</w:t>
      </w:r>
      <w:r>
        <w:br/>
      </w:r>
      <m:oMath>
        <m:r>
          <m:t>e</m:t>
        </m:r>
        <m:r>
          <m:t>p</m:t>
        </m:r>
        <m:sSub>
          <m:e>
            <m:r>
              <m:t>s</m:t>
            </m:r>
          </m:e>
          <m:sub>
            <m:r>
              <m:t>W</m:t>
            </m:r>
          </m:sub>
        </m:sSub>
        <m:r>
          <m:rPr>
            <m:sty m:val="p"/>
          </m:rPr>
          <m:t>=</m:t>
        </m:r>
        <m:r>
          <m:rPr>
            <m:sty m:val="p"/>
          </m:rPr>
          <m:t>∞</m:t>
        </m:r>
      </m:oMath>
      <w:r>
        <w:t xml:space="preserve">,</w:t>
      </w:r>
      <w:r>
        <w:t xml:space="preserve"> </w:t>
      </w:r>
      <m:oMath>
        <m:r>
          <m:t>e</m:t>
        </m:r>
        <m:r>
          <m:t>p</m:t>
        </m:r>
        <m:sSub>
          <m:e>
            <m:r>
              <m:t>s</m:t>
            </m:r>
          </m:e>
          <m:sub>
            <m:r>
              <m:t>H</m:t>
            </m:r>
          </m:sub>
        </m:sSub>
        <m:r>
          <m:rPr>
            <m:sty m:val="p"/>
          </m:rPr>
          <m:t>=</m:t>
        </m:r>
        <m:r>
          <m:rPr>
            <m:sty m:val="p"/>
          </m:rPr>
          <m:t>∞</m:t>
        </m:r>
      </m:oMath>
      <w:r>
        <w:t xml:space="preserve">,</w:t>
      </w:r>
      <w:r>
        <w:t xml:space="preserve"> </w:t>
      </w:r>
      <m:oMath>
        <m:r>
          <m:t>t</m:t>
        </m:r>
        <m:r>
          <m:rPr>
            <m:sty m:val="p"/>
          </m:rPr>
          <m:t>=</m:t>
        </m:r>
        <m:r>
          <m:t>0</m:t>
        </m:r>
      </m:oMath>
      <w:r>
        <w:br/>
      </w:r>
      <w:r>
        <w:t xml:space="preserve">while (</w:t>
      </w:r>
      <m:oMath>
        <m:r>
          <m:t>e</m:t>
        </m:r>
        <m:r>
          <m:t>p</m:t>
        </m:r>
        <m:sSub>
          <m:e>
            <m:r>
              <m:t>s</m:t>
            </m:r>
          </m:e>
          <m:sub>
            <m:r>
              <m:t>W</m:t>
            </m:r>
          </m:sub>
        </m:sSub>
        <m:r>
          <m:rPr>
            <m:sty m:val="p"/>
          </m:rPr>
          <m:t>&gt;</m:t>
        </m:r>
        <m:r>
          <m:t>t</m:t>
        </m:r>
        <m:r>
          <m:t>o</m:t>
        </m:r>
        <m:r>
          <m:t>l</m:t>
        </m:r>
      </m:oMath>
      <w:r>
        <w:t xml:space="preserve"> </w:t>
      </w:r>
      <w:r>
        <w:rPr>
          <w:bCs/>
          <w:b/>
        </w:rPr>
        <w:t xml:space="preserve">or</w:t>
      </w:r>
      <w:r>
        <w:t xml:space="preserve"> </w:t>
      </w:r>
      <m:oMath>
        <m:r>
          <m:t>e</m:t>
        </m:r>
        <m:r>
          <m:t>p</m:t>
        </m:r>
        <m:sSub>
          <m:e>
            <m:r>
              <m:t>s</m:t>
            </m:r>
          </m:e>
          <m:sub>
            <m:r>
              <m:t>H</m:t>
            </m:r>
          </m:sub>
        </m:sSub>
        <m:r>
          <m:rPr>
            <m:sty m:val="p"/>
          </m:rPr>
          <m:t>&gt;</m:t>
        </m:r>
        <m:r>
          <m:t>t</m:t>
        </m:r>
        <m:r>
          <m:t>o</m:t>
        </m:r>
        <m:r>
          <m:t>l</m:t>
        </m:r>
      </m:oMath>
      <w:r>
        <w:t xml:space="preserve">)</w:t>
      </w:r>
      <w:r>
        <w:t xml:space="preserve"> </w:t>
      </w:r>
      <w:r>
        <w:rPr>
          <w:bCs/>
          <w:b/>
        </w:rPr>
        <w:t xml:space="preserve">and</w:t>
      </w:r>
      <w:r>
        <w:t xml:space="preserve"> </w:t>
      </w:r>
      <m:oMath>
        <m:r>
          <m:t>t</m:t>
        </m:r>
        <m:r>
          <m:rPr>
            <m:sty m:val="p"/>
          </m:rPr>
          <m:t>&lt;</m:t>
        </m:r>
        <m:r>
          <m:t>m</m:t>
        </m:r>
        <m:r>
          <m:t>a</m:t>
        </m:r>
        <m:r>
          <m:t>x</m:t>
        </m:r>
        <m:r>
          <m:t>i</m:t>
        </m:r>
        <m:r>
          <m:t>t</m:t>
        </m:r>
      </m:oMath>
      <w:r>
        <w:t xml:space="preserve"> </w:t>
      </w:r>
      <w:r>
        <w:t xml:space="preserve">do</w:t>
      </w:r>
      <w:r>
        <w:br/>
      </w:r>
      <w:r>
        <w:rPr>
          <w:bCs/>
          <w:b/>
        </w:rPr>
        <w:t xml:space="preserve">(H-update)</w:t>
      </w:r>
      <w:r>
        <w:br/>
      </w:r>
      <w:r>
        <w:t xml:space="preserve">Update</w:t>
      </w:r>
      <w:r>
        <w:t xml:space="preserve"> </w:t>
      </w:r>
      <m:oMath>
        <m:sSup>
          <m:e>
            <m:r>
              <m:t>H</m:t>
            </m:r>
          </m:e>
          <m:sup>
            <m:d>
              <m:dPr>
                <m:begChr m:val="("/>
                <m:endChr m:val=")"/>
                <m:sepChr m:val=""/>
                <m:grow/>
              </m:dPr>
              <m:e>
                <m:r>
                  <m:t>t</m:t>
                </m:r>
                <m:r>
                  <m:rPr>
                    <m:sty m:val="p"/>
                  </m:rPr>
                  <m:t>+</m:t>
                </m:r>
                <m:r>
                  <m:t>1</m:t>
                </m:r>
              </m:e>
            </m:d>
          </m:sup>
        </m:sSup>
      </m:oMath>
      <w:r>
        <w:t xml:space="preserve"> </w:t>
      </w:r>
      <w:r>
        <w:t xml:space="preserve">from</w:t>
      </w:r>
      <w:r>
        <w:t xml:space="preserve"> </w:t>
      </w:r>
      <m:oMath>
        <m:sSup>
          <m:e>
            <m:r>
              <m:t>H</m:t>
            </m:r>
          </m:e>
          <m:sup>
            <m:d>
              <m:dPr>
                <m:begChr m:val="("/>
                <m:endChr m:val=")"/>
                <m:sepChr m:val=""/>
                <m:grow/>
              </m:dPr>
              <m:e>
                <m:r>
                  <m:t>t</m:t>
                </m:r>
              </m:e>
            </m:d>
          </m:sup>
        </m:sSup>
      </m:oMath>
      <w:r>
        <w:t xml:space="preserve"> </w:t>
      </w:r>
      <w:r>
        <w:t xml:space="preserve">using the multiplicative rule in Eq. [eqn:Hupdate],</w:t>
      </w:r>
      <w:r>
        <w:br/>
      </w:r>
      <w:r>
        <w:t xml:space="preserve">holding</w:t>
      </w:r>
      <w:r>
        <w:t xml:space="preserve"> </w:t>
      </w:r>
      <m:oMath>
        <m:sSup>
          <m:e>
            <m:r>
              <m:t>W</m:t>
            </m:r>
          </m:e>
          <m:sup>
            <m:d>
              <m:dPr>
                <m:begChr m:val="("/>
                <m:endChr m:val=")"/>
                <m:sepChr m:val=""/>
                <m:grow/>
              </m:dPr>
              <m:e>
                <m:r>
                  <m:t>t</m:t>
                </m:r>
              </m:e>
            </m:d>
          </m:sup>
        </m:sSup>
      </m:oMath>
      <w:r>
        <w:t xml:space="preserve"> </w:t>
      </w:r>
      <w:r>
        <w:t xml:space="preserve">and</w:t>
      </w:r>
      <w:r>
        <w:t xml:space="preserve"> </w:t>
      </w:r>
      <m:oMath>
        <m:sSup>
          <m:e>
            <m:r>
              <m:t>β</m:t>
            </m:r>
          </m:e>
          <m:sup>
            <m:d>
              <m:dPr>
                <m:begChr m:val="("/>
                <m:endChr m:val=")"/>
                <m:sepChr m:val=""/>
                <m:grow/>
              </m:dPr>
              <m:e>
                <m:r>
                  <m:t>t</m:t>
                </m:r>
              </m:e>
            </m:d>
          </m:sup>
        </m:sSup>
      </m:oMath>
      <w:r>
        <w:t xml:space="preserve"> </w:t>
      </w:r>
      <w:r>
        <w:t xml:space="preserve">fixed.</w:t>
      </w:r>
      <w:r>
        <w:br/>
      </w:r>
      <w:r>
        <w:rPr>
          <w:bCs/>
          <w:b/>
        </w:rPr>
        <w:t xml:space="preserve">(W-update)</w:t>
      </w:r>
      <w:r>
        <w:br/>
      </w:r>
      <w:r>
        <w:t xml:space="preserve">Update</w:t>
      </w:r>
      <w:r>
        <w:t xml:space="preserve"> </w:t>
      </w:r>
      <m:oMath>
        <m:sSup>
          <m:e>
            <m:r>
              <m:t>W</m:t>
            </m:r>
          </m:e>
          <m:sup>
            <m:d>
              <m:dPr>
                <m:begChr m:val="("/>
                <m:endChr m:val=")"/>
                <m:sepChr m:val=""/>
                <m:grow/>
              </m:dPr>
              <m:e>
                <m:r>
                  <m:t>t</m:t>
                </m:r>
                <m:r>
                  <m:rPr>
                    <m:sty m:val="p"/>
                  </m:rPr>
                  <m:t>+</m:t>
                </m:r>
                <m:r>
                  <m:t>1</m:t>
                </m:r>
              </m:e>
            </m:d>
          </m:sup>
        </m:sSup>
      </m:oMath>
      <w:r>
        <w:t xml:space="preserve"> </w:t>
      </w:r>
      <w:r>
        <w:t xml:space="preserve">from</w:t>
      </w:r>
      <w:r>
        <w:t xml:space="preserve"> </w:t>
      </w:r>
      <m:oMath>
        <m:sSup>
          <m:e>
            <m:r>
              <m:t>W</m:t>
            </m:r>
          </m:e>
          <m:sup>
            <m:d>
              <m:dPr>
                <m:begChr m:val="("/>
                <m:endChr m:val=")"/>
                <m:sepChr m:val=""/>
                <m:grow/>
              </m:dPr>
              <m:e>
                <m:r>
                  <m:t>t</m:t>
                </m:r>
              </m:e>
            </m:d>
          </m:sup>
        </m:sSup>
      </m:oMath>
      <w:r>
        <w:t xml:space="preserve"> </w:t>
      </w:r>
      <w:r>
        <w:t xml:space="preserve">using the hybrid multiplicative rule in Eq. [eqn:W_update],</w:t>
      </w:r>
      <w:r>
        <w:br/>
      </w:r>
      <w:r>
        <w:t xml:space="preserve">holding</w:t>
      </w:r>
      <w:r>
        <w:t xml:space="preserve"> </w:t>
      </w:r>
      <m:oMath>
        <m:sSup>
          <m:e>
            <m:r>
              <m:t>H</m:t>
            </m:r>
          </m:e>
          <m:sup>
            <m:d>
              <m:dPr>
                <m:begChr m:val="("/>
                <m:endChr m:val=")"/>
                <m:sepChr m:val=""/>
                <m:grow/>
              </m:dPr>
              <m:e>
                <m:r>
                  <m:t>t</m:t>
                </m:r>
                <m:r>
                  <m:rPr>
                    <m:sty m:val="p"/>
                  </m:rPr>
                  <m:t>+</m:t>
                </m:r>
                <m:r>
                  <m:t>1</m:t>
                </m:r>
              </m:e>
            </m:d>
          </m:sup>
        </m:sSup>
      </m:oMath>
      <w:r>
        <w:t xml:space="preserve"> </w:t>
      </w:r>
      <w:r>
        <w:t xml:space="preserve">and</w:t>
      </w:r>
      <w:r>
        <w:t xml:space="preserve"> </w:t>
      </w:r>
      <m:oMath>
        <m:sSup>
          <m:e>
            <m:r>
              <m:t>β</m:t>
            </m:r>
          </m:e>
          <m:sup>
            <m:d>
              <m:dPr>
                <m:begChr m:val="("/>
                <m:endChr m:val=")"/>
                <m:sepChr m:val=""/>
                <m:grow/>
              </m:dPr>
              <m:e>
                <m:r>
                  <m:t>t</m:t>
                </m:r>
              </m:e>
            </m:d>
          </m:sup>
        </m:sSup>
      </m:oMath>
      <w:r>
        <w:t xml:space="preserve"> </w:t>
      </w:r>
      <w:r>
        <w:t xml:space="preserve">fixed, and perform backtracking to ensure</w:t>
      </w:r>
      <w:r>
        <w:br/>
      </w:r>
      <m:oMath>
        <m:r>
          <m:rPr>
            <m:sty m:val="p"/>
            <m:scr m:val="script"/>
          </m:rPr>
          <m:t>L</m:t>
        </m:r>
      </m:oMath>
      <w:r>
        <w:t xml:space="preserve"> </w:t>
      </w:r>
      <w:r>
        <w:t xml:space="preserve">does not increase.</w:t>
      </w:r>
      <w:r>
        <w:br/>
      </w:r>
      <w:r>
        <w:rPr>
          <w:bCs/>
          <w:b/>
        </w:rPr>
        <w:t xml:space="preserve">(</w:t>
      </w:r>
      <m:oMath>
        <m:r>
          <m:t>β</m:t>
        </m:r>
      </m:oMath>
      <w:r>
        <w:rPr>
          <w:bCs/>
          <w:b/>
        </w:rPr>
        <w:t xml:space="preserve">-update)</w:t>
      </w:r>
      <w:r>
        <w:br/>
      </w:r>
      <w:r>
        <w:t xml:space="preserve">Update</w:t>
      </w:r>
      <w:r>
        <w:t xml:space="preserve"> </w:t>
      </w:r>
      <m:oMath>
        <m:sSup>
          <m:e>
            <m:r>
              <m:t>b</m:t>
            </m:r>
          </m:e>
          <m:sup>
            <m:d>
              <m:dPr>
                <m:begChr m:val="("/>
                <m:endChr m:val=")"/>
                <m:sepChr m:val=""/>
                <m:grow/>
              </m:dPr>
              <m:e>
                <m:r>
                  <m:t>t</m:t>
                </m:r>
                <m:r>
                  <m:rPr>
                    <m:sty m:val="p"/>
                  </m:rPr>
                  <m:t>+</m:t>
                </m:r>
                <m:r>
                  <m:t>1</m:t>
                </m:r>
              </m:e>
            </m:d>
          </m:sup>
        </m:sSup>
      </m:oMath>
      <w:r>
        <w:t xml:space="preserve"> </w:t>
      </w:r>
      <w:r>
        <w:t xml:space="preserve">by cyclic coordinate descent on the centered and</w:t>
      </w:r>
      <w:r>
        <w:br/>
      </w:r>
      <w:r>
        <w:t xml:space="preserve">standardized scores (Eq. [eqn:beta_update]), initialized from the</w:t>
      </w:r>
      <w:r>
        <w:br/>
      </w:r>
      <w:r>
        <w:t xml:space="preserve">current raw coefficients read through the current</w:t>
      </w:r>
      <w:r>
        <w:t xml:space="preserve"> </w:t>
      </w:r>
      <m:oMath>
        <m:sSub>
          <m:e>
            <m:r>
              <m:t>D</m:t>
            </m:r>
          </m:e>
          <m:sub>
            <m:r>
              <m:t>Z</m:t>
            </m:r>
          </m:sub>
        </m:sSub>
      </m:oMath>
      <w:r>
        <w:t xml:space="preserve">, holding</w:t>
      </w:r>
      <w:r>
        <w:br/>
      </w:r>
      <m:oMath>
        <m:sSup>
          <m:e>
            <m:r>
              <m:t>W</m:t>
            </m:r>
          </m:e>
          <m:sup>
            <m:d>
              <m:dPr>
                <m:begChr m:val="("/>
                <m:endChr m:val=")"/>
                <m:sepChr m:val=""/>
                <m:grow/>
              </m:dPr>
              <m:e>
                <m:r>
                  <m:t>t</m:t>
                </m:r>
                <m:r>
                  <m:rPr>
                    <m:sty m:val="p"/>
                  </m:rPr>
                  <m:t>+</m:t>
                </m:r>
                <m:r>
                  <m:t>1</m:t>
                </m:r>
              </m:e>
            </m:d>
          </m:sup>
        </m:sSup>
      </m:oMath>
      <w:r>
        <w:t xml:space="preserve"> </w:t>
      </w:r>
      <w:r>
        <w:t xml:space="preserve">and</w:t>
      </w:r>
      <w:r>
        <w:t xml:space="preserve"> </w:t>
      </w:r>
      <m:oMath>
        <m:sSup>
          <m:e>
            <m:r>
              <m:t>H</m:t>
            </m:r>
          </m:e>
          <m:sup>
            <m:d>
              <m:dPr>
                <m:begChr m:val="("/>
                <m:endChr m:val=")"/>
                <m:sepChr m:val=""/>
                <m:grow/>
              </m:dPr>
              <m:e>
                <m:r>
                  <m:t>t</m:t>
                </m:r>
                <m:r>
                  <m:rPr>
                    <m:sty m:val="p"/>
                  </m:rPr>
                  <m:t>+</m:t>
                </m:r>
                <m:r>
                  <m:t>1</m:t>
                </m:r>
              </m:e>
            </m:d>
          </m:sup>
        </m:sSup>
      </m:oMath>
      <w:r>
        <w:t xml:space="preserve"> </w:t>
      </w:r>
      <w:r>
        <w:t xml:space="preserve">fixed, stopping when the largest scaled</w:t>
      </w:r>
      <w:r>
        <w:br/>
      </w:r>
      <w:r>
        <w:t xml:space="preserve">coefficient change falls below</w:t>
      </w:r>
      <w:r>
        <w:t xml:space="preserve"> </w:t>
      </w:r>
      <m:oMath>
        <m:sSup>
          <m:e>
            <m:r>
              <m:t>10</m:t>
            </m:r>
          </m:e>
          <m:sup>
            <m:r>
              <m:rPr>
                <m:sty m:val="p"/>
              </m:rPr>
              <m:t>−</m:t>
            </m:r>
            <m:r>
              <m:t>6</m:t>
            </m:r>
          </m:sup>
        </m:sSup>
      </m:oMath>
      <w:r>
        <w:t xml:space="preserve"> </w:t>
      </w:r>
      <w:r>
        <w:t xml:space="preserve">or after 500 passes, and</w:t>
      </w:r>
      <w:r>
        <w:br/>
      </w:r>
      <w:r>
        <w:t xml:space="preserve">accepting the proposal only if it does not increase the penalized</w:t>
      </w:r>
      <w:r>
        <w:br/>
      </w:r>
      <w:r>
        <w:t xml:space="preserve">survival loss (otherwise a damped step toward it, or the previous</w:t>
      </w:r>
      <w:r>
        <w:br/>
      </w:r>
      <m:oMath>
        <m:r>
          <m:t>b</m:t>
        </m:r>
      </m:oMath>
      <w:r>
        <w:t xml:space="preserve"> </w:t>
      </w:r>
      <w:r>
        <w:t xml:space="preserve">retained); set</w:t>
      </w:r>
      <w:r>
        <w:t xml:space="preserve"> </w:t>
      </w:r>
      <m:oMath>
        <m:sSup>
          <m:e>
            <m:r>
              <m:t>β</m:t>
            </m:r>
          </m:e>
          <m:sup>
            <m:d>
              <m:dPr>
                <m:begChr m:val="("/>
                <m:endChr m:val=")"/>
                <m:sepChr m:val=""/>
                <m:grow/>
              </m:dPr>
              <m:e>
                <m:r>
                  <m:t>t</m:t>
                </m:r>
                <m:r>
                  <m:rPr>
                    <m:sty m:val="p"/>
                  </m:rPr>
                  <m:t>+</m:t>
                </m:r>
                <m:r>
                  <m:t>1</m:t>
                </m:r>
              </m:e>
            </m:d>
          </m:sup>
        </m:sSup>
        <m:r>
          <m:rPr>
            <m:sty m:val="p"/>
          </m:rPr>
          <m:t>=</m:t>
        </m:r>
        <m:sSubSup>
          <m:e>
            <m:r>
              <m:t>D</m:t>
            </m:r>
          </m:e>
          <m:sub>
            <m:r>
              <m:t>Z</m:t>
            </m:r>
          </m:sub>
          <m:sup>
            <m:r>
              <m:rPr>
                <m:sty m:val="p"/>
              </m:rPr>
              <m:t>−</m:t>
            </m:r>
            <m:r>
              <m:t>1</m:t>
            </m:r>
          </m:sup>
        </m:sSubSup>
        <m:sSup>
          <m:e>
            <m:r>
              <m:t>b</m:t>
            </m:r>
          </m:e>
          <m:sup>
            <m:d>
              <m:dPr>
                <m:begChr m:val="("/>
                <m:endChr m:val=")"/>
                <m:sepChr m:val=""/>
                <m:grow/>
              </m:dPr>
              <m:e>
                <m:r>
                  <m:t>t</m:t>
                </m:r>
                <m:r>
                  <m:rPr>
                    <m:sty m:val="p"/>
                  </m:rPr>
                  <m:t>+</m:t>
                </m:r>
                <m:r>
                  <m:t>1</m:t>
                </m:r>
              </m:e>
            </m:d>
          </m:sup>
        </m:sSup>
      </m:oMath>
      <w:r>
        <w:t xml:space="preserve"> </w:t>
      </w:r>
      <w:r>
        <w:t xml:space="preserve">on the retained rows.</w:t>
      </w:r>
      <w:r>
        <w:br/>
      </w:r>
      <w:r>
        <w:rPr>
          <w:bCs/>
          <w:b/>
        </w:rPr>
        <w:t xml:space="preserve">(Convergence)</w:t>
      </w:r>
      <w:r>
        <w:br/>
      </w:r>
      <m:oMath>
        <m:r>
          <m:t>e</m:t>
        </m:r>
        <m:r>
          <m:t>p</m:t>
        </m:r>
        <m:sSub>
          <m:e>
            <m:r>
              <m:t>s</m:t>
            </m:r>
          </m:e>
          <m:sub>
            <m:r>
              <m:t>W</m:t>
            </m:r>
          </m:sub>
        </m:sSub>
        <m:r>
          <m:rPr>
            <m:sty m:val="p"/>
          </m:rPr>
          <m:t>=</m:t>
        </m:r>
        <m:r>
          <m:t>1</m:t>
        </m:r>
        <m:r>
          <m:rPr>
            <m:sty m:val="p"/>
          </m:rPr>
          <m:t>−</m:t>
        </m:r>
        <m:r>
          <m:rPr>
            <m:sty m:val="p"/>
          </m:rPr>
          <m:t>cos</m:t>
        </m:r>
        <m:r>
          <m:t>​</m:t>
        </m:r>
        <m:d>
          <m:dPr>
            <m:begChr m:val="("/>
            <m:endChr m:val=")"/>
            <m:sepChr m:val=""/>
            <m:grow/>
          </m:dPr>
          <m:e>
            <m:r>
              <m:rPr>
                <m:sty m:val="p"/>
              </m:rPr>
              <m:t>v</m:t>
            </m:r>
            <m:r>
              <m:rPr>
                <m:sty m:val="p"/>
              </m:rPr>
              <m:t>e</m:t>
            </m:r>
            <m:r>
              <m:rPr>
                <m:sty m:val="p"/>
              </m:rPr>
              <m:t>c</m:t>
            </m:r>
            <m:r>
              <m:t> </m:t>
            </m:r>
            <m:sSup>
              <m:e>
                <m:r>
                  <m:t>W</m:t>
                </m:r>
              </m:e>
              <m:sup>
                <m:d>
                  <m:dPr>
                    <m:begChr m:val="("/>
                    <m:endChr m:val=")"/>
                    <m:sepChr m:val=""/>
                    <m:grow/>
                  </m:dPr>
                  <m:e>
                    <m:r>
                      <m:t>t</m:t>
                    </m:r>
                  </m:e>
                </m:d>
              </m:sup>
            </m:sSup>
            <m:r>
              <m:rPr>
                <m:sty m:val="p"/>
              </m:rPr>
              <m:t>,</m:t>
            </m:r>
            <m:r>
              <m:rPr>
                <m:sty m:val="p"/>
              </m:rPr>
              <m:t>v</m:t>
            </m:r>
            <m:r>
              <m:rPr>
                <m:sty m:val="p"/>
              </m:rPr>
              <m:t>e</m:t>
            </m:r>
            <m:r>
              <m:rPr>
                <m:sty m:val="p"/>
              </m:rPr>
              <m:t>c</m:t>
            </m:r>
            <m:r>
              <m:t> </m:t>
            </m:r>
            <m:sSup>
              <m:e>
                <m:r>
                  <m:t>W</m:t>
                </m:r>
              </m:e>
              <m:sup>
                <m:d>
                  <m:dPr>
                    <m:begChr m:val="("/>
                    <m:endChr m:val=")"/>
                    <m:sepChr m:val=""/>
                    <m:grow/>
                  </m:dPr>
                  <m:e>
                    <m:r>
                      <m:t>t</m:t>
                    </m:r>
                    <m:r>
                      <m:rPr>
                        <m:sty m:val="p"/>
                      </m:rPr>
                      <m:t>+</m:t>
                    </m:r>
                    <m:r>
                      <m:t>1</m:t>
                    </m:r>
                  </m:e>
                </m:d>
              </m:sup>
            </m:sSup>
          </m:e>
        </m:d>
      </m:oMath>
      <w:r>
        <w:t xml:space="preserve">,</w:t>
      </w:r>
      <w:r>
        <w:br/>
      </w:r>
      <m:oMath>
        <m:r>
          <m:t>e</m:t>
        </m:r>
        <m:r>
          <m:t>p</m:t>
        </m:r>
        <m:sSub>
          <m:e>
            <m:r>
              <m:t>s</m:t>
            </m:r>
          </m:e>
          <m:sub>
            <m:r>
              <m:t>H</m:t>
            </m:r>
          </m:sub>
        </m:sSub>
        <m:r>
          <m:rPr>
            <m:sty m:val="p"/>
          </m:rPr>
          <m:t>=</m:t>
        </m:r>
        <m:r>
          <m:t>1</m:t>
        </m:r>
        <m:r>
          <m:rPr>
            <m:sty m:val="p"/>
          </m:rPr>
          <m:t>−</m:t>
        </m:r>
        <m:r>
          <m:rPr>
            <m:sty m:val="p"/>
          </m:rPr>
          <m:t>cos</m:t>
        </m:r>
        <m:r>
          <m:t>​</m:t>
        </m:r>
        <m:d>
          <m:dPr>
            <m:begChr m:val="("/>
            <m:endChr m:val=")"/>
            <m:sepChr m:val=""/>
            <m:grow/>
          </m:dPr>
          <m:e>
            <m:r>
              <m:rPr>
                <m:sty m:val="p"/>
              </m:rPr>
              <m:t>v</m:t>
            </m:r>
            <m:r>
              <m:rPr>
                <m:sty m:val="p"/>
              </m:rPr>
              <m:t>e</m:t>
            </m:r>
            <m:r>
              <m:rPr>
                <m:sty m:val="p"/>
              </m:rPr>
              <m:t>c</m:t>
            </m:r>
            <m:r>
              <m:t> </m:t>
            </m:r>
            <m:sSup>
              <m:e>
                <m:r>
                  <m:t>H</m:t>
                </m:r>
              </m:e>
              <m:sup>
                <m:d>
                  <m:dPr>
                    <m:begChr m:val="("/>
                    <m:endChr m:val=")"/>
                    <m:sepChr m:val=""/>
                    <m:grow/>
                  </m:dPr>
                  <m:e>
                    <m:r>
                      <m:t>t</m:t>
                    </m:r>
                  </m:e>
                </m:d>
              </m:sup>
            </m:sSup>
            <m:r>
              <m:rPr>
                <m:sty m:val="p"/>
              </m:rPr>
              <m:t>,</m:t>
            </m:r>
            <m:r>
              <m:rPr>
                <m:sty m:val="p"/>
              </m:rPr>
              <m:t>v</m:t>
            </m:r>
            <m:r>
              <m:rPr>
                <m:sty m:val="p"/>
              </m:rPr>
              <m:t>e</m:t>
            </m:r>
            <m:r>
              <m:rPr>
                <m:sty m:val="p"/>
              </m:rPr>
              <m:t>c</m:t>
            </m:r>
            <m:r>
              <m:t> </m:t>
            </m:r>
            <m:sSup>
              <m:e>
                <m:r>
                  <m:t>H</m:t>
                </m:r>
              </m:e>
              <m:sup>
                <m:d>
                  <m:dPr>
                    <m:begChr m:val="("/>
                    <m:endChr m:val=")"/>
                    <m:sepChr m:val=""/>
                    <m:grow/>
                  </m:dPr>
                  <m:e>
                    <m:r>
                      <m:t>t</m:t>
                    </m:r>
                    <m:r>
                      <m:rPr>
                        <m:sty m:val="p"/>
                      </m:rPr>
                      <m:t>+</m:t>
                    </m:r>
                    <m:r>
                      <m:t>1</m:t>
                    </m:r>
                  </m:e>
                </m:d>
              </m:sup>
            </m:sSup>
          </m:e>
        </m:d>
      </m:oMath>
      <w:r>
        <w:br/>
      </w:r>
      <w:r>
        <w:t xml:space="preserve">Record</w:t>
      </w:r>
      <w:r>
        <w:t xml:space="preserve"> </w:t>
      </w:r>
      <m:oMath>
        <m:r>
          <m:rPr>
            <m:sty m:val="p"/>
            <m:scr m:val="script"/>
          </m:rPr>
          <m:t>L</m:t>
        </m:r>
        <m:d>
          <m:dPr>
            <m:begChr m:val="("/>
            <m:endChr m:val=")"/>
            <m:sepChr m:val=""/>
            <m:grow/>
          </m:dPr>
          <m:e>
            <m:sSup>
              <m:e>
                <m:r>
                  <m:t>W</m:t>
                </m:r>
              </m:e>
              <m:sup>
                <m:d>
                  <m:dPr>
                    <m:begChr m:val="("/>
                    <m:endChr m:val=")"/>
                    <m:sepChr m:val=""/>
                    <m:grow/>
                  </m:dPr>
                  <m:e>
                    <m:r>
                      <m:t>t</m:t>
                    </m:r>
                    <m:r>
                      <m:rPr>
                        <m:sty m:val="p"/>
                      </m:rPr>
                      <m:t>+</m:t>
                    </m:r>
                    <m:r>
                      <m:t>1</m:t>
                    </m:r>
                  </m:e>
                </m:d>
              </m:sup>
            </m:sSup>
            <m:r>
              <m:rPr>
                <m:sty m:val="p"/>
              </m:rPr>
              <m:t>,</m:t>
            </m:r>
            <m:sSup>
              <m:e>
                <m:r>
                  <m:t>H</m:t>
                </m:r>
              </m:e>
              <m:sup>
                <m:d>
                  <m:dPr>
                    <m:begChr m:val="("/>
                    <m:endChr m:val=")"/>
                    <m:sepChr m:val=""/>
                    <m:grow/>
                  </m:dPr>
                  <m:e>
                    <m:r>
                      <m:t>t</m:t>
                    </m:r>
                    <m:r>
                      <m:rPr>
                        <m:sty m:val="p"/>
                      </m:rPr>
                      <m:t>+</m:t>
                    </m:r>
                    <m:r>
                      <m:t>1</m:t>
                    </m:r>
                  </m:e>
                </m:d>
              </m:sup>
            </m:sSup>
            <m:r>
              <m:rPr>
                <m:sty m:val="p"/>
              </m:rPr>
              <m:t>,</m:t>
            </m:r>
            <m:sSup>
              <m:e>
                <m:r>
                  <m:t>β</m:t>
                </m:r>
              </m:e>
              <m:sup>
                <m:d>
                  <m:dPr>
                    <m:begChr m:val="("/>
                    <m:endChr m:val=")"/>
                    <m:sepChr m:val=""/>
                    <m:grow/>
                  </m:dPr>
                  <m:e>
                    <m:r>
                      <m:t>t</m:t>
                    </m:r>
                    <m:r>
                      <m:rPr>
                        <m:sty m:val="p"/>
                      </m:rPr>
                      <m:t>+</m:t>
                    </m:r>
                    <m:r>
                      <m:t>1</m:t>
                    </m:r>
                  </m:e>
                </m:d>
              </m:sup>
            </m:sSup>
          </m:e>
        </m:d>
      </m:oMath>
      <w:r>
        <w:t xml:space="preserve"> </w:t>
      </w:r>
      <w:r>
        <w:t xml:space="preserve">in the objective series</w:t>
      </w:r>
      <w:r>
        <w:br/>
      </w:r>
      <m:oMath>
        <m:r>
          <m:t>t</m:t>
        </m:r>
        <m:r>
          <m:rPr>
            <m:sty m:val="p"/>
          </m:rPr>
          <m:t>=</m:t>
        </m:r>
        <m:r>
          <m:t>t</m:t>
        </m:r>
        <m:r>
          <m:rPr>
            <m:sty m:val="p"/>
          </m:rPr>
          <m:t>+</m:t>
        </m:r>
        <m:r>
          <m:t>1</m:t>
        </m:r>
      </m:oMath>
      <w:r>
        <w:br/>
      </w:r>
      <w:r>
        <w:t xml:space="preserve">end while</w:t>
      </w:r>
      <w:r>
        <w:br/>
      </w:r>
      <w:r>
        <w:t xml:space="preserve">Refit</w:t>
      </w:r>
      <w:r>
        <w:t xml:space="preserve"> </w:t>
      </w:r>
      <m:oMath>
        <m:r>
          <m:t>β</m:t>
        </m:r>
      </m:oMath>
      <w:r>
        <w:t xml:space="preserve"> </w:t>
      </w:r>
      <w:r>
        <w:t xml:space="preserve">on the final</w:t>
      </w:r>
      <w:r>
        <w:t xml:space="preserve"> </w:t>
      </w:r>
      <m:oMath>
        <m:r>
          <m:t>W</m:t>
        </m:r>
      </m:oMath>
      <w:r>
        <w:t xml:space="preserve"> </w:t>
      </w:r>
      <w:r>
        <w:t xml:space="preserve">by the same routine, giving</w:t>
      </w:r>
      <w:r>
        <w:t xml:space="preserve"> </w:t>
      </w:r>
      <m:oMath>
        <m:sSub>
          <m:e>
            <m:r>
              <m:t>β</m:t>
            </m:r>
          </m:e>
          <m:sub>
            <m:r>
              <m:rPr>
                <m:sty m:val="p"/>
              </m:rPr>
              <m:t>r</m:t>
            </m:r>
            <m:r>
              <m:rPr>
                <m:sty m:val="p"/>
              </m:rPr>
              <m:t>e</m:t>
            </m:r>
            <m:r>
              <m:rPr>
                <m:sty m:val="p"/>
              </m:rPr>
              <m:t>f</m:t>
            </m:r>
            <m:r>
              <m:rPr>
                <m:sty m:val="p"/>
              </m:rPr>
              <m:t>i</m:t>
            </m:r>
            <m:r>
              <m:rPr>
                <m:sty m:val="p"/>
              </m:rPr>
              <m:t>t</m:t>
            </m:r>
          </m:sub>
        </m:sSub>
      </m:oMath>
      <w:r>
        <w:t xml:space="preserve"> </w:t>
      </w:r>
      <w:r>
        <w:t xml:space="preserve">(this is the only</w:t>
      </w:r>
      <w:r>
        <w:t xml:space="preserve"> </w:t>
      </w:r>
      <m:oMath>
        <m:r>
          <m:t>β</m:t>
        </m:r>
      </m:oMath>
      <w:r>
        <w:t xml:space="preserve"> </w:t>
      </w:r>
      <w:r>
        <w:t xml:space="preserve">estimate when</w:t>
      </w:r>
      <w:r>
        <w:t xml:space="preserve"> </w:t>
      </w:r>
      <m:oMath>
        <m:r>
          <m:t>α</m:t>
        </m:r>
        <m:r>
          <m:rPr>
            <m:sty m:val="p"/>
          </m:rPr>
          <m:t>=</m:t>
        </m:r>
        <m:r>
          <m:t>0</m:t>
        </m:r>
      </m:oMath>
      <w:r>
        <w:t xml:space="preserve">)</w:t>
      </w:r>
      <w:r>
        <w:br/>
      </w:r>
      <w:r>
        <w:t xml:space="preserve">The objective after the refit is stored separately and is not part of the recorded series</w:t>
      </w:r>
      <w:r>
        <w:br/>
      </w:r>
      <m:oMath>
        <m:acc>
          <m:accPr>
            <m:chr m:val="̂"/>
          </m:accPr>
          <m:e>
            <m:r>
              <m:t>W</m:t>
            </m:r>
          </m:e>
        </m:acc>
        <m:r>
          <m:rPr>
            <m:sty m:val="p"/>
          </m:rPr>
          <m:t>=</m:t>
        </m:r>
        <m:sSup>
          <m:e>
            <m:r>
              <m:t>W</m:t>
            </m:r>
          </m:e>
          <m:sup>
            <m:d>
              <m:dPr>
                <m:begChr m:val="("/>
                <m:endChr m:val=")"/>
                <m:sepChr m:val=""/>
                <m:grow/>
              </m:dPr>
              <m:e>
                <m:r>
                  <m:t>t</m:t>
                </m:r>
              </m:e>
            </m:d>
          </m:sup>
        </m:sSup>
        <m:r>
          <m:rPr>
            <m:sty m:val="p"/>
          </m:rPr>
          <m:t>,</m:t>
        </m:r>
        <m:acc>
          <m:accPr>
            <m:chr m:val="̂"/>
          </m:accPr>
          <m:e>
            <m:r>
              <m:t>H</m:t>
            </m:r>
          </m:e>
        </m:acc>
        <m:r>
          <m:rPr>
            <m:sty m:val="p"/>
          </m:rPr>
          <m:t>=</m:t>
        </m:r>
        <m:sSup>
          <m:e>
            <m:r>
              <m:t>H</m:t>
            </m:r>
          </m:e>
          <m:sup>
            <m:d>
              <m:dPr>
                <m:begChr m:val="("/>
                <m:endChr m:val=")"/>
                <m:sepChr m:val=""/>
                <m:grow/>
              </m:dPr>
              <m:e>
                <m:r>
                  <m:t>t</m:t>
                </m:r>
              </m:e>
            </m:d>
          </m:sup>
        </m:sSup>
        <m:r>
          <m:rPr>
            <m:sty m:val="p"/>
          </m:rPr>
          <m:t>,</m:t>
        </m:r>
        <m:acc>
          <m:accPr>
            <m:chr m:val="̂"/>
          </m:accPr>
          <m:e>
            <m:r>
              <m:t>β</m:t>
            </m:r>
          </m:e>
        </m:acc>
        <m:r>
          <m:rPr>
            <m:sty m:val="p"/>
          </m:rPr>
          <m:t>=</m:t>
        </m:r>
        <m:sSub>
          <m:e>
            <m:r>
              <m:t>β</m:t>
            </m:r>
          </m:e>
          <m:sub>
            <m:r>
              <m:rPr>
                <m:sty m:val="p"/>
              </m:rPr>
              <m:t>r</m:t>
            </m:r>
            <m:r>
              <m:rPr>
                <m:sty m:val="p"/>
              </m:rPr>
              <m:t>e</m:t>
            </m:r>
            <m:r>
              <m:rPr>
                <m:sty m:val="p"/>
              </m:rPr>
              <m:t>f</m:t>
            </m:r>
            <m:r>
              <m:rPr>
                <m:sty m:val="p"/>
              </m:rPr>
              <m:t>i</m:t>
            </m:r>
            <m:r>
              <m:rPr>
                <m:sty m:val="p"/>
              </m:rPr>
              <m:t>t</m:t>
            </m:r>
          </m:sub>
        </m:sSub>
      </m:oMath>
    </w:p>
    <w:bookmarkEnd w:id="22"/>
    <w:bookmarkStart w:id="23" w:name="update-for-h"/>
    <w:p>
      <w:pPr>
        <w:pStyle w:val="Heading2"/>
      </w:pPr>
      <w:r>
        <w:t xml:space="preserve">Update for</w:t>
      </w:r>
      <w:r>
        <w:t xml:space="preserve"> </w:t>
      </w:r>
      <m:oMath>
        <m:r>
          <m:t>H</m:t>
        </m:r>
      </m:oMath>
    </w:p>
    <w:p>
      <w:pPr>
        <w:pStyle w:val="FirstParagraph"/>
      </w:pPr>
      <w:r>
        <w:t xml:space="preserve">Conditional on</w:t>
      </w:r>
      <w:r>
        <w:t xml:space="preserve"> </w:t>
      </w:r>
      <m:oMath>
        <m:r>
          <m:t>W</m:t>
        </m:r>
      </m:oMath>
      <w:r>
        <w:t xml:space="preserve">, the loss</w:t>
      </w:r>
      <w:r>
        <w:t xml:space="preserve"> </w:t>
      </w:r>
      <m:oMath>
        <m:r>
          <m:rPr>
            <m:sty m:val="p"/>
            <m:scr m:val="script"/>
          </m:rPr>
          <m:t>L</m:t>
        </m:r>
        <m:d>
          <m:dPr>
            <m:begChr m:val="("/>
            <m:endChr m:val=")"/>
            <m:sepChr m:val=""/>
            <m:grow/>
          </m:dPr>
          <m:e>
            <m:r>
              <m:t>W</m:t>
            </m:r>
            <m:r>
              <m:rPr>
                <m:sty m:val="p"/>
              </m:rPr>
              <m:t>,</m:t>
            </m:r>
            <m:r>
              <m:t>H</m:t>
            </m:r>
            <m:r>
              <m:rPr>
                <m:sty m:val="p"/>
              </m:rPr>
              <m:t>,</m:t>
            </m:r>
            <m:r>
              <m:t>β</m:t>
            </m:r>
          </m:e>
        </m:d>
      </m:oMath>
      <w:r>
        <w:t xml:space="preserve"> </w:t>
      </w:r>
      <w:r>
        <w:t xml:space="preserve">reduces to a</w:t>
      </w:r>
      <w:r>
        <w:t xml:space="preserve"> </w:t>
      </w:r>
      <w:r>
        <w:t xml:space="preserve">convex quadratic function of</w:t>
      </w:r>
      <w:r>
        <w:t xml:space="preserve"> </w:t>
      </w:r>
      <m:oMath>
        <m:r>
          <m:t>H</m:t>
        </m:r>
      </m:oMath>
      <w:r>
        <w:t xml:space="preserve">. We adopt the standard NMF multiplicative</w:t>
      </w:r>
      <w:r>
        <w:t xml:space="preserve"> </w:t>
      </w:r>
      <w:r>
        <w:t xml:space="preserve">update with</w:t>
      </w:r>
      <w:r>
        <w:t xml:space="preserve"> </w:t>
      </w:r>
      <m:oMath>
        <m:sSub>
          <m:e>
            <m:r>
              <m:rPr>
                <m:sty m:val="p"/>
              </m:rPr>
              <m:t>ℓ</m:t>
            </m:r>
          </m:e>
          <m:sub>
            <m:r>
              <m:t>2</m:t>
            </m:r>
          </m:sub>
        </m:sSub>
      </m:oMath>
      <w:r>
        <w:t xml:space="preserve"> </w:t>
      </w:r>
      <w:r>
        <w:t xml:space="preserve">penalty:</w:t>
      </w:r>
    </w:p>
    <w:p>
      <w:pPr>
        <w:pStyle w:val="BodyText"/>
      </w:pPr>
      <m:oMathPara>
        <m:oMathParaPr>
          <m:jc m:val="center"/>
        </m:oMathParaPr>
        <m:oMath>
          <m:r>
            <m:t>H</m:t>
          </m:r>
          <m:r>
            <m:rPr>
              <m:sty m:val="p"/>
            </m:rPr>
            <m:t>←</m:t>
          </m:r>
          <m:r>
            <m:rPr>
              <m:sty m:val="p"/>
            </m:rPr>
            <m:t>max</m:t>
          </m:r>
          <m:r>
            <m:t>​</m:t>
          </m:r>
          <m:d>
            <m:dPr>
              <m:begChr m:val="("/>
              <m:endChr m:val=")"/>
              <m:sepChr m:val=""/>
              <m:grow/>
            </m:dPr>
            <m:e>
              <m:r>
                <m:t>H</m:t>
              </m:r>
              <m:r>
                <m:rPr>
                  <m:sty m:val="p"/>
                </m:rPr>
                <m:t>⊙</m:t>
              </m:r>
              <m:f>
                <m:fPr>
                  <m:type m:val="bar"/>
                </m:fPr>
                <m:num>
                  <m:sSup>
                    <m:e>
                      <m:r>
                        <m:t>W</m:t>
                      </m:r>
                    </m:e>
                    <m:sup>
                      <m:r>
                        <m:rPr>
                          <m:sty m:val="p"/>
                        </m:rPr>
                        <m:t>⊤</m:t>
                      </m:r>
                    </m:sup>
                  </m:sSup>
                  <m:r>
                    <m:t>X</m:t>
                  </m:r>
                </m:num>
                <m:den>
                  <m:sSup>
                    <m:e>
                      <m:r>
                        <m:t>W</m:t>
                      </m:r>
                    </m:e>
                    <m:sup>
                      <m:r>
                        <m:rPr>
                          <m:sty m:val="p"/>
                        </m:rPr>
                        <m:t>⊤</m:t>
                      </m:r>
                    </m:sup>
                  </m:sSup>
                  <m:r>
                    <m:t>W</m:t>
                  </m:r>
                  <m:r>
                    <m:t>H</m:t>
                  </m:r>
                  <m:r>
                    <m:rPr>
                      <m:sty m:val="p"/>
                    </m:rPr>
                    <m:t>+</m:t>
                  </m:r>
                  <m:f>
                    <m:fPr>
                      <m:type m:val="bar"/>
                    </m:fPr>
                    <m:num>
                      <m:r>
                        <m:rPr>
                          <m:sty m:val="p"/>
                        </m:rPr>
                        <m:t>∥</m:t>
                      </m:r>
                      <m:r>
                        <m:t>X</m:t>
                      </m:r>
                      <m:sSubSup>
                        <m:e>
                          <m:r>
                            <m:rPr>
                              <m:sty m:val="p"/>
                            </m:rPr>
                            <m:t>∥</m:t>
                          </m:r>
                        </m:e>
                        <m:sub>
                          <m:r>
                            <m:t>F</m:t>
                          </m:r>
                        </m:sub>
                        <m:sup>
                          <m:r>
                            <m:t>2</m:t>
                          </m:r>
                        </m:sup>
                      </m:sSubSup>
                    </m:num>
                    <m:den>
                      <m:r>
                        <m:t>n</m:t>
                      </m:r>
                      <m:r>
                        <m:t>k</m:t>
                      </m:r>
                    </m:den>
                  </m:f>
                  <m:r>
                    <m:t> </m:t>
                  </m:r>
                  <m:sSub>
                    <m:e>
                      <m:r>
                        <m:t>λ</m:t>
                      </m:r>
                    </m:e>
                    <m:sub>
                      <m:r>
                        <m:t>H</m:t>
                      </m:r>
                    </m:sub>
                  </m:sSub>
                  <m:r>
                    <m:t>H</m:t>
                  </m:r>
                  <m:r>
                    <m:rPr>
                      <m:sty m:val="p"/>
                    </m:rPr>
                    <m:t>+</m:t>
                  </m:r>
                  <m:sSub>
                    <m:e>
                      <m:r>
                        <m:t>ε</m:t>
                      </m:r>
                    </m:e>
                    <m:sub>
                      <m:r>
                        <m:t>H</m:t>
                      </m:r>
                    </m:sub>
                  </m:sSub>
                </m:den>
              </m:f>
              <m:r>
                <m:rPr>
                  <m:sty m:val="p"/>
                </m:rPr>
                <m:t>,</m:t>
              </m:r>
              <m:sSub>
                <m:e>
                  <m:r>
                    <m:t>ε</m:t>
                  </m:r>
                </m:e>
                <m:sub>
                  <m:r>
                    <m:t>H</m:t>
                  </m:r>
                </m:sub>
              </m:sSub>
            </m:e>
          </m:d>
          <m:r>
            <m:rPr>
              <m:sty m:val="p"/>
            </m:rPr>
            <m:t>,</m:t>
          </m:r>
        </m:oMath>
      </m:oMathPara>
    </w:p>
    <w:p>
      <w:pPr>
        <w:pStyle w:val="FirstParagraph"/>
      </w:pPr>
      <w:r>
        <w:t xml:space="preserve">where</w:t>
      </w:r>
      <w:r>
        <w:t xml:space="preserve"> </w:t>
      </w:r>
      <m:oMath>
        <m:r>
          <m:rPr>
            <m:sty m:val="p"/>
          </m:rPr>
          <m:t>⊙</m:t>
        </m:r>
      </m:oMath>
      <w:r>
        <w:t xml:space="preserve"> </w:t>
      </w:r>
      <w:r>
        <w:t xml:space="preserve">denotes elementwise multiplication, all divisions are</w:t>
      </w:r>
      <w:r>
        <w:t xml:space="preserve"> </w:t>
      </w:r>
      <w:r>
        <w:t xml:space="preserve">elementwise, and</w:t>
      </w:r>
      <w:r>
        <w:t xml:space="preserve"> </w:t>
      </w:r>
      <m:oMath>
        <m:sSub>
          <m:e>
            <m:r>
              <m:t>ε</m:t>
            </m:r>
          </m:e>
          <m:sub>
            <m:r>
              <m:t>H</m:t>
            </m:r>
          </m:sub>
        </m:sSub>
        <m:r>
          <m:rPr>
            <m:sty m:val="p"/>
          </m:rPr>
          <m:t>&gt;</m:t>
        </m:r>
        <m:r>
          <m:t>0</m:t>
        </m:r>
      </m:oMath>
      <w:r>
        <w:t xml:space="preserve"> </w:t>
      </w:r>
      <w:r>
        <w:t xml:space="preserve">is a small floor to prevent entries from</w:t>
      </w:r>
      <w:r>
        <w:t xml:space="preserve"> </w:t>
      </w:r>
      <w:r>
        <w:t xml:space="preserve">becoming exactly zero. This update is equivalent to a majorization–minimization</w:t>
      </w:r>
      <w:r>
        <w:t xml:space="preserve"> </w:t>
      </w:r>
      <w:r>
        <w:t xml:space="preserve">step and guarantees a nonincreasing reconstruction term conditional on</w:t>
      </w:r>
      <w:r>
        <w:t xml:space="preserve"> </w:t>
      </w:r>
      <m:oMath>
        <m:r>
          <m:t>W</m:t>
        </m:r>
      </m:oMath>
      <w:hyperlink w:anchor="ref-seung2001algorithms">
        <w:r>
          <w:rPr>
            <w:rStyle w:val="Hyperlink"/>
            <w:vertAlign w:val="superscript"/>
          </w:rPr>
          <w:t xml:space="preserve">1</w:t>
        </w:r>
      </w:hyperlink>
      <w:r>
        <w:rPr>
          <w:vertAlign w:val="superscript"/>
        </w:rPr>
        <w:t xml:space="preserve">,</w:t>
      </w:r>
      <w:hyperlink w:anchor="ref-pascualmontano2006nonsmooth">
        <w:r>
          <w:rPr>
            <w:rStyle w:val="Hyperlink"/>
            <w:vertAlign w:val="superscript"/>
          </w:rPr>
          <w:t xml:space="preserve">2</w:t>
        </w:r>
      </w:hyperlink>
      <w:r>
        <w:t xml:space="preserve">. The</w:t>
      </w:r>
      <w:r>
        <w:t xml:space="preserve"> </w:t>
      </w:r>
      <m:oMath>
        <m:sSub>
          <m:e>
            <m:r>
              <m:t>ε</m:t>
            </m:r>
          </m:e>
          <m:sub>
            <m:r>
              <m:t>H</m:t>
            </m:r>
          </m:sub>
        </m:sSub>
      </m:oMath>
      <w:r>
        <w:t xml:space="preserve">-floor</w:t>
      </w:r>
      <w:r>
        <w:t xml:space="preserve"> </w:t>
      </w:r>
      <w:r>
        <w:t xml:space="preserve">ensures that iterates remain in the interior of the nonnegative orthant, which</w:t>
      </w:r>
      <w:r>
        <w:t xml:space="preserve"> </w:t>
      </w:r>
      <w:r>
        <w:t xml:space="preserve">keeps the multiplicative</w:t>
      </w:r>
      <w:r>
        <w:t xml:space="preserve"> </w:t>
      </w:r>
      <m:oMath>
        <m:r>
          <m:t>H</m:t>
        </m:r>
      </m:oMath>
      <w:r>
        <w:t xml:space="preserve">-update numerically well-defined.</w:t>
      </w:r>
    </w:p>
    <w:bookmarkEnd w:id="23"/>
    <w:bookmarkStart w:id="24" w:name="update-for-w"/>
    <w:p>
      <w:pPr>
        <w:pStyle w:val="Heading2"/>
      </w:pPr>
      <w:r>
        <w:t xml:space="preserve">Update for</w:t>
      </w:r>
      <w:r>
        <w:t xml:space="preserve"> </w:t>
      </w:r>
      <m:oMath>
        <m:r>
          <m:t>W</m:t>
        </m:r>
      </m:oMath>
    </w:p>
    <w:p>
      <w:pPr>
        <w:pStyle w:val="FirstParagraph"/>
      </w:pPr>
      <w:r>
        <w:t xml:space="preserve">For</w:t>
      </w:r>
      <w:r>
        <w:t xml:space="preserve"> </w:t>
      </w:r>
      <m:oMath>
        <m:r>
          <m:t>W</m:t>
        </m:r>
      </m:oMath>
      <w:r>
        <w:t xml:space="preserve">, we construct a hybrid multiplicative update that balances the</w:t>
      </w:r>
      <w:r>
        <w:t xml:space="preserve"> </w:t>
      </w:r>
      <w:r>
        <w:t xml:space="preserve">contributions of the NMF and Cox gradients. Let</w:t>
      </w:r>
      <w:r>
        <w:t xml:space="preserve"> </w:t>
      </w:r>
      <w:r>
        <w:t xml:space="preserve">[</w:t>
      </w:r>
      <w:r>
        <w:t xml:space="preserve"> </w:t>
      </w:r>
      <w:r>
        <w:t xml:space="preserve">\nabla_W \mathcal{L}</w:t>
      </w:r>
      <w:r>
        <w:rPr>
          <w:iCs/>
          <w:i/>
        </w:rPr>
        <w:t xml:space="preserve">{\mathrm{NMF}}(W,H)</w:t>
      </w:r>
      <w:r>
        <w:rPr>
          <w:iCs/>
          <w:i/>
        </w:rPr>
        <w:t xml:space="preserve"> </w:t>
      </w:r>
      <w:r>
        <w:rPr>
          <w:iCs/>
          <w:i/>
        </w:rPr>
        <w:t xml:space="preserve">=</w:t>
      </w:r>
      <w:r>
        <w:rPr>
          <w:iCs/>
          <w:i/>
        </w:rPr>
        <w:t xml:space="preserve"> </w:t>
      </w:r>
      <w:r>
        <w:rPr>
          <w:iCs/>
          <w:i/>
        </w:rPr>
        <w:t xml:space="preserve">\frac{1}{\lVert X \rVert_F^2}(W H - X)H^\top,</w:t>
      </w:r>
      <w:r>
        <w:rPr>
          <w:iCs/>
          <w:i/>
        </w:rPr>
        <w:t xml:space="preserve"> </w:t>
      </w:r>
      <w:r>
        <w:rPr>
          <w:iCs/>
          <w:i/>
        </w:rPr>
        <w:t xml:space="preserve">]</w:t>
      </w:r>
      <w:r>
        <w:rPr>
          <w:iCs/>
          <w:i/>
        </w:rPr>
        <w:t xml:space="preserve"> </w:t>
      </w:r>
      <w:r>
        <w:rPr>
          <w:iCs/>
          <w:i/>
        </w:rPr>
        <w:t xml:space="preserve">and let</w:t>
      </w:r>
      <w:r>
        <w:rPr>
          <w:iCs/>
          <w:i/>
        </w:rPr>
        <w:t xml:space="preserve"> </w:t>
      </w:r>
      <w:r>
        <w:rPr>
          <w:iCs/>
          <w:i/>
        </w:rPr>
        <w:t xml:space="preserve">[</w:t>
      </w:r>
      <w:r>
        <w:rPr>
          <w:iCs/>
          <w:i/>
        </w:rPr>
        <w:t xml:space="preserve"> </w:t>
      </w:r>
      <w:r>
        <w:rPr>
          <w:iCs/>
          <w:i/>
        </w:rPr>
        <w:t xml:space="preserve">G</w:t>
      </w:r>
      <w:r>
        <w:t xml:space="preserve">\ell(W,\beta)</w:t>
      </w:r>
      <w:r>
        <w:t xml:space="preserve"> </w:t>
      </w:r>
      <w:r>
        <w:t xml:space="preserve">=</w:t>
      </w:r>
      <w:r>
        <w:t xml:space="preserve"> </w:t>
      </w:r>
      <w:r>
        <w:t xml:space="preserve">\frac{2}{n_{\mathrm{event}}}\nabla_W \ell(W,\beta)</w:t>
      </w:r>
      <w:r>
        <w:t xml:space="preserve"> </w:t>
      </w:r>
      <w:r>
        <w:t xml:space="preserve">]</w:t>
      </w:r>
      <w:r>
        <w:t xml:space="preserve"> </w:t>
      </w:r>
      <w:r>
        <w:t xml:space="preserve">denote the scaled log-partial-likelihood gradient, where</w:t>
      </w:r>
      <w:r>
        <w:t xml:space="preserve"> </w:t>
      </w:r>
      <m:oMath>
        <m:sSub>
          <m:e>
            <m:r>
              <m:rPr>
                <m:sty m:val="p"/>
              </m:rPr>
              <m:t>∇</m:t>
            </m:r>
          </m:e>
          <m:sub>
            <m:r>
              <m:t>W</m:t>
            </m:r>
          </m:sub>
        </m:sSub>
        <m:r>
          <m:rPr>
            <m:sty m:val="p"/>
          </m:rPr>
          <m:t>ℓ</m:t>
        </m:r>
        <m:d>
          <m:dPr>
            <m:begChr m:val="("/>
            <m:endChr m:val=")"/>
            <m:sepChr m:val=""/>
            <m:grow/>
          </m:dPr>
          <m:e>
            <m:r>
              <m:t>W</m:t>
            </m:r>
            <m:r>
              <m:rPr>
                <m:sty m:val="p"/>
              </m:rPr>
              <m:t>,</m:t>
            </m:r>
            <m:r>
              <m:t>β</m:t>
            </m:r>
          </m:e>
        </m:d>
      </m:oMath>
      <w:r>
        <w:t xml:space="preserve"> </w:t>
      </w:r>
      <w:r>
        <w:t xml:space="preserve">is the gradient of the Cox log-partial likelihood with respect to</w:t>
      </w:r>
      <w:r>
        <w:t xml:space="preserve"> </w:t>
      </w:r>
      <m:oMath>
        <m:r>
          <m:t>W</m:t>
        </m:r>
      </m:oMath>
      <w:r>
        <w:t xml:space="preserve">.</w:t>
      </w:r>
      <w:r>
        <w:t xml:space="preserve"> </w:t>
      </w:r>
      <m:oMath>
        <m:sSub>
          <m:e>
            <m:r>
              <m:t>G</m:t>
            </m:r>
          </m:e>
          <m:sub>
            <m:r>
              <m:rPr>
                <m:sty m:val="p"/>
              </m:rPr>
              <m:t>ℓ</m:t>
            </m:r>
          </m:sub>
        </m:sSub>
      </m:oMath>
      <w:r>
        <w:t xml:space="preserve"> </w:t>
      </w:r>
      <w:r>
        <w:t xml:space="preserve">is not the gradient of the penalized survival component</w:t>
      </w:r>
      <w:r>
        <w:t xml:space="preserve"> </w:t>
      </w:r>
      <m:oMath>
        <m:sSub>
          <m:e>
            <m:r>
              <m:rPr>
                <m:sty m:val="p"/>
                <m:scr m:val="script"/>
              </m:rPr>
              <m:t>L</m:t>
            </m:r>
          </m:e>
          <m:sub>
            <m:r>
              <m:rPr>
                <m:sty m:val="p"/>
              </m:rPr>
              <m:t>C</m:t>
            </m:r>
            <m:r>
              <m:rPr>
                <m:sty m:val="p"/>
              </m:rPr>
              <m:t>o</m:t>
            </m:r>
            <m:r>
              <m:rPr>
                <m:sty m:val="p"/>
              </m:rPr>
              <m:t>x</m:t>
            </m:r>
          </m:sub>
        </m:sSub>
      </m:oMath>
      <w:r>
        <w:t xml:space="preserve"> </w:t>
      </w:r>
      <w:r>
        <w:t xml:space="preserve">of Model details, whose penalty depends on</w:t>
      </w:r>
      <w:r>
        <w:t xml:space="preserve"> </w:t>
      </w:r>
      <m:oMath>
        <m:r>
          <m:t>W</m:t>
        </m:r>
      </m:oMath>
      <w:r>
        <w:t xml:space="preserve"> </w:t>
      </w:r>
      <w:r>
        <w:t xml:space="preserve">through</w:t>
      </w:r>
      <w:r>
        <w:t xml:space="preserve"> </w:t>
      </w:r>
      <m:oMath>
        <m:sSub>
          <m:e>
            <m:r>
              <m:t>D</m:t>
            </m:r>
          </m:e>
          <m:sub>
            <m:r>
              <m:t>Z</m:t>
            </m:r>
          </m:sub>
        </m:sSub>
      </m:oMath>
      <w:r>
        <w:t xml:space="preserve">. A closed-form expression for</w:t>
      </w:r>
      <w:r>
        <w:t xml:space="preserve"> </w:t>
      </w:r>
      <m:oMath>
        <m:sSub>
          <m:e>
            <m:r>
              <m:rPr>
                <m:sty m:val="p"/>
              </m:rPr>
              <m:t>∇</m:t>
            </m:r>
          </m:e>
          <m:sub>
            <m:r>
              <m:t>W</m:t>
            </m:r>
          </m:sub>
        </m:sSub>
        <m:r>
          <m:rPr>
            <m:sty m:val="p"/>
          </m:rPr>
          <m:t>ℓ</m:t>
        </m:r>
      </m:oMath>
      <w:r>
        <w:t xml:space="preserve"> </w:t>
      </w:r>
      <w:r>
        <w:t xml:space="preserve">is</w:t>
      </w:r>
    </w:p>
    <w:p>
      <w:pPr>
        <w:pStyle w:val="BodyText"/>
      </w:pPr>
      <m:oMathPara>
        <m:oMathParaPr>
          <m:jc m:val="center"/>
        </m:oMathParaPr>
        <m:oMath>
          <m:sSub>
            <m:e>
              <m:r>
                <m:rPr>
                  <m:sty m:val="p"/>
                </m:rPr>
                <m:t>∇</m:t>
              </m:r>
            </m:e>
            <m:sub>
              <m:r>
                <m:t>W</m:t>
              </m:r>
            </m:sub>
          </m:sSub>
          <m:r>
            <m:rPr>
              <m:sty m:val="p"/>
            </m:rPr>
            <m:t>ℓ</m:t>
          </m:r>
          <m:d>
            <m:dPr>
              <m:begChr m:val="("/>
              <m:endChr m:val=")"/>
              <m:sepChr m:val=""/>
              <m:grow/>
            </m:dPr>
            <m:e>
              <m:r>
                <m:t>W</m:t>
              </m:r>
              <m:r>
                <m:rPr>
                  <m:sty m:val="p"/>
                </m:rPr>
                <m:t>,</m:t>
              </m:r>
              <m:r>
                <m:t>β</m:t>
              </m:r>
            </m:e>
          </m:d>
          <m:r>
            <m:rPr>
              <m:sty m:val="p"/>
            </m:rPr>
            <m:t>=</m:t>
          </m:r>
          <m:nary>
            <m:naryPr>
              <m:chr m:val="∑"/>
              <m:limLoc m:val="undOvr"/>
              <m:subHide m:val="off"/>
              <m:supHide m:val="off"/>
            </m:naryPr>
            <m:sub>
              <m:r>
                <m:t>i</m:t>
              </m:r>
              <m:r>
                <m:rPr>
                  <m:sty m:val="p"/>
                </m:rPr>
                <m:t>=</m:t>
              </m:r>
              <m:r>
                <m:t>1</m:t>
              </m:r>
            </m:sub>
            <m:sup>
              <m:r>
                <m:t>n</m:t>
              </m:r>
            </m:sup>
            <m:e>
              <m:sSub>
                <m:e>
                  <m:r>
                    <m:t>δ</m:t>
                  </m:r>
                </m:e>
                <m:sub>
                  <m:r>
                    <m:t>i</m:t>
                  </m:r>
                </m:sub>
              </m:sSub>
            </m:e>
          </m:nary>
          <m:d>
            <m:dPr>
              <m:begChr m:val="("/>
              <m:endChr m:val=")"/>
              <m:sepChr m:val=""/>
              <m:grow/>
            </m:dPr>
            <m:e>
              <m:sSub>
                <m:e>
                  <m:r>
                    <m:t>x</m:t>
                  </m:r>
                </m:e>
                <m:sub>
                  <m:r>
                    <m:t>i</m:t>
                  </m:r>
                </m:sub>
              </m:sSub>
              <m:r>
                <m:rPr>
                  <m:sty m:val="p"/>
                </m:rPr>
                <m:t>−</m:t>
              </m:r>
              <m:f>
                <m:fPr>
                  <m:type m:val="bar"/>
                </m:fPr>
                <m:num>
                  <m:nary>
                    <m:naryPr>
                      <m:chr m:val="∑"/>
                      <m:limLoc m:val="undOvr"/>
                      <m:subHide m:val="off"/>
                      <m:supHide m:val="on"/>
                    </m:naryPr>
                    <m:sub>
                      <m:r>
                        <m:t>j</m:t>
                      </m:r>
                      <m:r>
                        <m:rPr>
                          <m:sty m:val="p"/>
                        </m:rPr>
                        <m:t>:</m:t>
                      </m:r>
                      <m:sSub>
                        <m:e>
                          <m:r>
                            <m:t>y</m:t>
                          </m:r>
                        </m:e>
                        <m:sub>
                          <m:r>
                            <m:t>j</m:t>
                          </m:r>
                        </m:sub>
                      </m:sSub>
                      <m:r>
                        <m:rPr>
                          <m:sty m:val="p"/>
                        </m:rPr>
                        <m:t>≥</m:t>
                      </m:r>
                      <m:sSub>
                        <m:e>
                          <m:r>
                            <m:t>y</m:t>
                          </m:r>
                        </m:e>
                        <m:sub>
                          <m:r>
                            <m:t>i</m:t>
                          </m:r>
                        </m:sub>
                      </m:sSub>
                    </m:sub>
                    <m:sup>
                      <m:r>
                        <m:t>​</m:t>
                      </m:r>
                    </m:sup>
                    <m:e>
                      <m:sSub>
                        <m:e>
                          <m:r>
                            <m:t>x</m:t>
                          </m:r>
                        </m:e>
                        <m:sub>
                          <m:r>
                            <m:t>j</m:t>
                          </m:r>
                        </m:sub>
                      </m:sSub>
                    </m:e>
                  </m:nary>
                  <m:r>
                    <m:rPr>
                      <m:sty m:val="p"/>
                    </m:rPr>
                    <m:t>exp</m:t>
                  </m:r>
                  <m:d>
                    <m:dPr>
                      <m:begChr m:val="("/>
                      <m:endChr m:val=")"/>
                      <m:sepChr m:val=""/>
                      <m:grow/>
                    </m:dPr>
                    <m:e>
                      <m:sSubSup>
                        <m:e>
                          <m:r>
                            <m:t>x</m:t>
                          </m:r>
                        </m:e>
                        <m:sub>
                          <m:r>
                            <m:t>j</m:t>
                          </m:r>
                        </m:sub>
                        <m:sup>
                          <m:r>
                            <m:rPr>
                              <m:sty m:val="p"/>
                            </m:rPr>
                            <m:t>⊤</m:t>
                          </m:r>
                        </m:sup>
                      </m:sSubSup>
                      <m:r>
                        <m:t>W</m:t>
                      </m:r>
                      <m:r>
                        <m:t>β</m:t>
                      </m:r>
                    </m:e>
                  </m:d>
                </m:num>
                <m:den>
                  <m:nary>
                    <m:naryPr>
                      <m:chr m:val="∑"/>
                      <m:limLoc m:val="undOvr"/>
                      <m:subHide m:val="off"/>
                      <m:supHide m:val="on"/>
                    </m:naryPr>
                    <m:sub>
                      <m:r>
                        <m:t>j</m:t>
                      </m:r>
                      <m:r>
                        <m:rPr>
                          <m:sty m:val="p"/>
                        </m:rPr>
                        <m:t>:</m:t>
                      </m:r>
                      <m:sSub>
                        <m:e>
                          <m:r>
                            <m:t>y</m:t>
                          </m:r>
                        </m:e>
                        <m:sub>
                          <m:r>
                            <m:t>j</m:t>
                          </m:r>
                        </m:sub>
                      </m:sSub>
                      <m:r>
                        <m:rPr>
                          <m:sty m:val="p"/>
                        </m:rPr>
                        <m:t>≥</m:t>
                      </m:r>
                      <m:sSub>
                        <m:e>
                          <m:r>
                            <m:t>y</m:t>
                          </m:r>
                        </m:e>
                        <m:sub>
                          <m:r>
                            <m:t>i</m:t>
                          </m:r>
                        </m:sub>
                      </m:sSub>
                    </m:sub>
                    <m:sup>
                      <m:r>
                        <m:t>​</m:t>
                      </m:r>
                    </m:sup>
                    <m:e>
                      <m:r>
                        <m:rPr>
                          <m:sty m:val="p"/>
                        </m:rPr>
                        <m:t>exp</m:t>
                      </m:r>
                    </m:e>
                  </m:nary>
                  <m:d>
                    <m:dPr>
                      <m:begChr m:val="("/>
                      <m:endChr m:val=")"/>
                      <m:sepChr m:val=""/>
                      <m:grow/>
                    </m:dPr>
                    <m:e>
                      <m:sSubSup>
                        <m:e>
                          <m:r>
                            <m:t>x</m:t>
                          </m:r>
                        </m:e>
                        <m:sub>
                          <m:r>
                            <m:t>j</m:t>
                          </m:r>
                        </m:sub>
                        <m:sup>
                          <m:r>
                            <m:rPr>
                              <m:sty m:val="p"/>
                            </m:rPr>
                            <m:t>⊤</m:t>
                          </m:r>
                        </m:sup>
                      </m:sSubSup>
                      <m:r>
                        <m:t>W</m:t>
                      </m:r>
                      <m:r>
                        <m:t>β</m:t>
                      </m:r>
                    </m:e>
                  </m:d>
                </m:den>
              </m:f>
            </m:e>
          </m:d>
          <m:sSup>
            <m:e>
              <m:r>
                <m:t>β</m:t>
              </m:r>
            </m:e>
            <m:sup>
              <m:r>
                <m:rPr>
                  <m:sty m:val="p"/>
                </m:rPr>
                <m:t>⊤</m:t>
              </m:r>
            </m:sup>
          </m:sSup>
          <m:r>
            <m:rPr>
              <m:sty m:val="p"/>
            </m:rPr>
            <m:t>,</m:t>
          </m:r>
        </m:oMath>
      </m:oMathPara>
    </w:p>
    <w:p>
      <w:pPr>
        <w:pStyle w:val="FirstParagraph"/>
      </w:pPr>
      <w:r>
        <w:t xml:space="preserve">where</w:t>
      </w:r>
      <w:r>
        <w:t xml:space="preserve"> </w:t>
      </w:r>
      <m:oMath>
        <m:sSub>
          <m:e>
            <m:r>
              <m:t>x</m:t>
            </m:r>
          </m:e>
          <m:sub>
            <m:r>
              <m:t>i</m:t>
            </m:r>
          </m:sub>
        </m:sSub>
      </m:oMath>
      <w:r>
        <w:t xml:space="preserve"> </w:t>
      </w:r>
      <w:r>
        <w:t xml:space="preserve">denotes the</w:t>
      </w:r>
      <w:r>
        <w:t xml:space="preserve"> </w:t>
      </w:r>
      <m:oMath>
        <m:r>
          <m:t>i</m:t>
        </m:r>
      </m:oMath>
      <w:r>
        <w:t xml:space="preserve">th column of</w:t>
      </w:r>
      <w:r>
        <w:t xml:space="preserve"> </w:t>
      </w:r>
      <m:oMath>
        <m:r>
          <m:t>X</m:t>
        </m:r>
      </m:oMath>
      <w:r>
        <w:t xml:space="preserve">.</w:t>
      </w:r>
    </w:p>
    <w:p>
      <w:pPr>
        <w:pStyle w:val="BodyText"/>
      </w:pPr>
      <w:r>
        <w:t xml:space="preserve">We define a gradient-scaling heuristic</w:t>
      </w:r>
    </w:p>
    <w:p>
      <w:pPr>
        <w:pStyle w:val="BodyText"/>
      </w:pPr>
      <m:oMathPara>
        <m:oMathParaPr>
          <m:jc m:val="center"/>
        </m:oMathParaPr>
        <m:oMath>
          <m:sSup>
            <m:e>
              <m:r>
                <m:t>ζ</m:t>
              </m:r>
            </m:e>
            <m:sup>
              <m:d>
                <m:dPr>
                  <m:begChr m:val="("/>
                  <m:endChr m:val=")"/>
                  <m:sepChr m:val=""/>
                  <m:grow/>
                </m:dPr>
                <m:e>
                  <m:r>
                    <m:t>t</m:t>
                  </m:r>
                </m:e>
              </m:d>
            </m:sup>
          </m:sSup>
          <m:r>
            <m:rPr>
              <m:sty m:val="p"/>
            </m:rPr>
            <m:t>=</m:t>
          </m:r>
          <m:f>
            <m:fPr>
              <m:type m:val="bar"/>
            </m:fPr>
            <m:num>
              <m:sSub>
                <m:e>
                  <m:d>
                    <m:dPr>
                      <m:begChr m:val="∥"/>
                      <m:endChr m:val="∥"/>
                      <m:sepChr m:val=""/>
                      <m:grow/>
                    </m:dPr>
                    <m:e>
                      <m:d>
                        <m:dPr>
                          <m:begChr m:val="("/>
                          <m:endChr m:val=")"/>
                          <m:sepChr m:val=""/>
                          <m:grow/>
                        </m:dPr>
                        <m:e>
                          <m:r>
                            <m:t>1</m:t>
                          </m:r>
                          <m:r>
                            <m:rPr>
                              <m:sty m:val="p"/>
                            </m:rPr>
                            <m:t>−</m:t>
                          </m:r>
                          <m:r>
                            <m:t>α</m:t>
                          </m:r>
                        </m:e>
                      </m:d>
                      <m:sSub>
                        <m:e>
                          <m:r>
                            <m:rPr>
                              <m:sty m:val="p"/>
                            </m:rPr>
                            <m:t>∇</m:t>
                          </m:r>
                        </m:e>
                        <m:sub>
                          <m:r>
                            <m:t>W</m:t>
                          </m:r>
                        </m:sub>
                      </m:sSub>
                      <m:sSub>
                        <m:e>
                          <m:r>
                            <m:rPr>
                              <m:sty m:val="p"/>
                              <m:scr m:val="script"/>
                            </m:rPr>
                            <m:t>L</m:t>
                          </m:r>
                        </m:e>
                        <m:sub>
                          <m:r>
                            <m:rPr>
                              <m:sty m:val="p"/>
                            </m:rPr>
                            <m:t>N</m:t>
                          </m:r>
                          <m:r>
                            <m:rPr>
                              <m:sty m:val="p"/>
                            </m:rPr>
                            <m:t>M</m:t>
                          </m:r>
                          <m:r>
                            <m:rPr>
                              <m:sty m:val="p"/>
                            </m:rPr>
                            <m:t>F</m:t>
                          </m:r>
                        </m:sub>
                      </m:sSub>
                      <m:d>
                        <m:dPr>
                          <m:begChr m:val="("/>
                          <m:endChr m:val=")"/>
                          <m:sepChr m:val=""/>
                          <m:grow/>
                        </m:dPr>
                        <m:e>
                          <m:sSup>
                            <m:e>
                              <m:r>
                                <m:t>W</m:t>
                              </m:r>
                            </m:e>
                            <m:sup>
                              <m:d>
                                <m:dPr>
                                  <m:begChr m:val="("/>
                                  <m:endChr m:val=")"/>
                                  <m:sepChr m:val=""/>
                                  <m:grow/>
                                </m:dPr>
                                <m:e>
                                  <m:r>
                                    <m:t>t</m:t>
                                  </m:r>
                                </m:e>
                              </m:d>
                            </m:sup>
                          </m:sSup>
                          <m:r>
                            <m:rPr>
                              <m:sty m:val="p"/>
                            </m:rPr>
                            <m:t>,</m:t>
                          </m:r>
                          <m:sSup>
                            <m:e>
                              <m:r>
                                <m:t>H</m:t>
                              </m:r>
                            </m:e>
                            <m:sup>
                              <m:d>
                                <m:dPr>
                                  <m:begChr m:val="("/>
                                  <m:endChr m:val=")"/>
                                  <m:sepChr m:val=""/>
                                  <m:grow/>
                                </m:dPr>
                                <m:e>
                                  <m:r>
                                    <m:t>t</m:t>
                                  </m:r>
                                  <m:r>
                                    <m:rPr>
                                      <m:sty m:val="p"/>
                                    </m:rPr>
                                    <m:t>+</m:t>
                                  </m:r>
                                  <m:r>
                                    <m:t>1</m:t>
                                  </m:r>
                                </m:e>
                              </m:d>
                            </m:sup>
                          </m:sSup>
                        </m:e>
                      </m:d>
                    </m:e>
                  </m:d>
                </m:e>
                <m:sub>
                  <m:r>
                    <m:t>F</m:t>
                  </m:r>
                </m:sub>
              </m:sSub>
              <m:r>
                <m:rPr>
                  <m:sty m:val="p"/>
                </m:rPr>
                <m:t>+</m:t>
              </m:r>
              <m:sSub>
                <m:e>
                  <m:r>
                    <m:t>ε</m:t>
                  </m:r>
                </m:e>
                <m:sub>
                  <m:r>
                    <m:t>ζ</m:t>
                  </m:r>
                </m:sub>
              </m:sSub>
            </m:num>
            <m:den>
              <m:sSub>
                <m:e>
                  <m:d>
                    <m:dPr>
                      <m:begChr m:val="∥"/>
                      <m:endChr m:val="∥"/>
                      <m:sepChr m:val=""/>
                      <m:grow/>
                    </m:dPr>
                    <m:e>
                      <m:r>
                        <m:t>α</m:t>
                      </m:r>
                      <m:r>
                        <m:t> </m:t>
                      </m:r>
                      <m:sSub>
                        <m:e>
                          <m:r>
                            <m:t>G</m:t>
                          </m:r>
                        </m:e>
                        <m:sub>
                          <m:r>
                            <m:rPr>
                              <m:sty m:val="p"/>
                            </m:rPr>
                            <m:t>ℓ</m:t>
                          </m:r>
                        </m:sub>
                      </m:sSub>
                      <m:d>
                        <m:dPr>
                          <m:begChr m:val="("/>
                          <m:endChr m:val=")"/>
                          <m:sepChr m:val=""/>
                          <m:grow/>
                        </m:dPr>
                        <m:e>
                          <m:sSup>
                            <m:e>
                              <m:r>
                                <m:t>W</m:t>
                              </m:r>
                            </m:e>
                            <m:sup>
                              <m:d>
                                <m:dPr>
                                  <m:begChr m:val="("/>
                                  <m:endChr m:val=")"/>
                                  <m:sepChr m:val=""/>
                                  <m:grow/>
                                </m:dPr>
                                <m:e>
                                  <m:r>
                                    <m:t>t</m:t>
                                  </m:r>
                                </m:e>
                              </m:d>
                            </m:sup>
                          </m:sSup>
                          <m:r>
                            <m:rPr>
                              <m:sty m:val="p"/>
                            </m:rPr>
                            <m:t>,</m:t>
                          </m:r>
                          <m:sSup>
                            <m:e>
                              <m:r>
                                <m:t>β</m:t>
                              </m:r>
                            </m:e>
                            <m:sup>
                              <m:d>
                                <m:dPr>
                                  <m:begChr m:val="("/>
                                  <m:endChr m:val=")"/>
                                  <m:sepChr m:val=""/>
                                  <m:grow/>
                                </m:dPr>
                                <m:e>
                                  <m:r>
                                    <m:t>t</m:t>
                                  </m:r>
                                </m:e>
                              </m:d>
                            </m:sup>
                          </m:sSup>
                        </m:e>
                      </m:d>
                    </m:e>
                  </m:d>
                </m:e>
                <m:sub>
                  <m:r>
                    <m:t>F</m:t>
                  </m:r>
                </m:sub>
              </m:sSub>
              <m:r>
                <m:rPr>
                  <m:sty m:val="p"/>
                </m:rPr>
                <m:t>+</m:t>
              </m:r>
              <m:sSub>
                <m:e>
                  <m:r>
                    <m:t>ε</m:t>
                  </m:r>
                </m:e>
                <m:sub>
                  <m:r>
                    <m:t>ζ</m:t>
                  </m:r>
                </m:sub>
              </m:sSub>
            </m:den>
          </m:f>
          <m:r>
            <m:rPr>
              <m:sty m:val="p"/>
            </m:rPr>
            <m:t>,</m:t>
          </m:r>
        </m:oMath>
      </m:oMathPara>
    </w:p>
    <w:p>
      <w:pPr>
        <w:pStyle w:val="FirstParagraph"/>
      </w:pPr>
      <w:r>
        <w:t xml:space="preserve">with a numerical stabilizer</w:t>
      </w:r>
      <w:r>
        <w:t xml:space="preserve"> </w:t>
      </w:r>
      <m:oMath>
        <m:sSub>
          <m:e>
            <m:r>
              <m:t>ε</m:t>
            </m:r>
          </m:e>
          <m:sub>
            <m:r>
              <m:t>ζ</m:t>
            </m:r>
          </m:sub>
        </m:sSub>
        <m:r>
          <m:rPr>
            <m:sty m:val="p"/>
          </m:rPr>
          <m:t>=</m:t>
        </m:r>
        <m:sSup>
          <m:e>
            <m:r>
              <m:t>10</m:t>
            </m:r>
          </m:e>
          <m:sup>
            <m:r>
              <m:rPr>
                <m:sty m:val="p"/>
              </m:rPr>
              <m:t>−</m:t>
            </m:r>
            <m:r>
              <m:t>12</m:t>
            </m:r>
          </m:sup>
        </m:sSup>
      </m:oMath>
      <w:r>
        <w:t xml:space="preserve"> </w:t>
      </w:r>
      <w:r>
        <w:t xml:space="preserve">in each norm, and clip</w:t>
      </w:r>
      <w:r>
        <w:t xml:space="preserve"> </w:t>
      </w:r>
      <m:oMath>
        <m:sSup>
          <m:e>
            <m:r>
              <m:t>ζ</m:t>
            </m:r>
          </m:e>
          <m:sup>
            <m:d>
              <m:dPr>
                <m:begChr m:val="("/>
                <m:endChr m:val=")"/>
                <m:sepChr m:val=""/>
                <m:grow/>
              </m:dPr>
              <m:e>
                <m:r>
                  <m:t>t</m:t>
                </m:r>
              </m:e>
            </m:d>
          </m:sup>
        </m:sSup>
      </m:oMath>
      <w:r>
        <w:t xml:space="preserve"> </w:t>
      </w:r>
      <w:r>
        <w:t xml:space="preserve">to avoid extreme values:</w:t>
      </w:r>
      <w:r>
        <w:t xml:space="preserve"> </w:t>
      </w:r>
      <m:oMath>
        <m:sSup>
          <m:e>
            <m:r>
              <m:t>ζ</m:t>
            </m:r>
          </m:e>
          <m:sup>
            <m:d>
              <m:dPr>
                <m:begChr m:val="("/>
                <m:endChr m:val=")"/>
                <m:sepChr m:val=""/>
                <m:grow/>
              </m:dPr>
              <m:e>
                <m:r>
                  <m:t>t</m:t>
                </m:r>
              </m:e>
            </m:d>
          </m:sup>
        </m:sSup>
        <m:r>
          <m:rPr>
            <m:sty m:val="p"/>
          </m:rPr>
          <m:t>←</m:t>
        </m:r>
        <m:r>
          <m:rPr>
            <m:sty m:val="p"/>
          </m:rPr>
          <m:t>min</m:t>
        </m:r>
        <m:d>
          <m:dPr>
            <m:begChr m:val="("/>
            <m:endChr m:val=")"/>
            <m:sepChr m:val=""/>
            <m:grow/>
          </m:dPr>
          <m:e>
            <m:sSup>
              <m:e>
                <m:r>
                  <m:t>ζ</m:t>
                </m:r>
              </m:e>
              <m:sup>
                <m:d>
                  <m:dPr>
                    <m:begChr m:val="("/>
                    <m:endChr m:val=")"/>
                    <m:sepChr m:val=""/>
                    <m:grow/>
                  </m:dPr>
                  <m:e>
                    <m:r>
                      <m:t>t</m:t>
                    </m:r>
                  </m:e>
                </m:d>
              </m:sup>
            </m:sSup>
            <m:r>
              <m:rPr>
                <m:sty m:val="p"/>
              </m:rPr>
              <m:t>,</m:t>
            </m:r>
            <m:sSub>
              <m:e>
                <m:r>
                  <m:t>ζ</m:t>
                </m:r>
              </m:e>
              <m:sub>
                <m:r>
                  <m:rPr>
                    <m:sty m:val="p"/>
                  </m:rPr>
                  <m:t>max</m:t>
                </m:r>
              </m:sub>
            </m:sSub>
          </m:e>
        </m:d>
      </m:oMath>
      <w:r>
        <w:t xml:space="preserve"> </w:t>
      </w:r>
      <w:r>
        <w:t xml:space="preserve">with</w:t>
      </w:r>
      <w:r>
        <w:t xml:space="preserve"> </w:t>
      </w:r>
      <m:oMath>
        <m:sSub>
          <m:e>
            <m:r>
              <m:t>ζ</m:t>
            </m:r>
          </m:e>
          <m:sub>
            <m:r>
              <m:rPr>
                <m:sty m:val="p"/>
              </m:rPr>
              <m:t>max</m:t>
            </m:r>
          </m:sub>
        </m:sSub>
        <m:r>
          <m:rPr>
            <m:sty m:val="p"/>
          </m:rPr>
          <m:t>=</m:t>
        </m:r>
        <m:sSup>
          <m:e>
            <m:r>
              <m:t>10</m:t>
            </m:r>
          </m:e>
          <m:sup>
            <m:r>
              <m:t>6</m:t>
            </m:r>
          </m:sup>
        </m:sSup>
      </m:oMath>
      <w:r>
        <w:t xml:space="preserve"> </w:t>
      </w:r>
      <w:r>
        <w:t xml:space="preserve">in all experiments; below we write</w:t>
      </w:r>
      <w:r>
        <w:t xml:space="preserve"> </w:t>
      </w:r>
      <m:oMath>
        <m:r>
          <m:t>ζ</m:t>
        </m:r>
      </m:oMath>
      <w:r>
        <w:t xml:space="preserve"> </w:t>
      </w:r>
      <w:r>
        <w:t xml:space="preserve">for</w:t>
      </w:r>
      <w:r>
        <w:t xml:space="preserve"> </w:t>
      </w:r>
      <m:oMath>
        <m:sSup>
          <m:e>
            <m:r>
              <m:t>ζ</m:t>
            </m:r>
          </m:e>
          <m:sup>
            <m:d>
              <m:dPr>
                <m:begChr m:val="("/>
                <m:endChr m:val=")"/>
                <m:sepChr m:val=""/>
                <m:grow/>
              </m:dPr>
              <m:e>
                <m:r>
                  <m:t>t</m:t>
                </m:r>
              </m:e>
            </m:d>
          </m:sup>
        </m:sSup>
      </m:oMath>
      <w:r>
        <w:t xml:space="preserve"> </w:t>
      </w:r>
      <w:r>
        <w:t xml:space="preserve">where the iteration index is not needed. The proposal rescales the</w:t>
      </w:r>
      <w:r>
        <w:t xml:space="preserve"> </w:t>
      </w:r>
      <w:r>
        <w:t xml:space="preserve">weighted reconstruction and survival gradients using this norm-based factor,</w:t>
      </w:r>
      <w:r>
        <w:t xml:space="preserve"> </w:t>
      </w:r>
      <w:r>
        <w:t xml:space="preserve">subject to its numerical stabilizer</w:t>
      </w:r>
      <w:r>
        <w:t xml:space="preserve"> </w:t>
      </w:r>
      <m:oMath>
        <m:sSub>
          <m:e>
            <m:r>
              <m:t>ε</m:t>
            </m:r>
          </m:e>
          <m:sub>
            <m:r>
              <m:t>ζ</m:t>
            </m:r>
          </m:sub>
        </m:sSub>
      </m:oMath>
      <w:r>
        <w:t xml:space="preserve"> </w:t>
      </w:r>
      <w:r>
        <w:t xml:space="preserve">and the cap</w:t>
      </w:r>
      <w:r>
        <w:t xml:space="preserve"> </w:t>
      </w:r>
      <m:oMath>
        <m:sSub>
          <m:e>
            <m:r>
              <m:t>ζ</m:t>
            </m:r>
          </m:e>
          <m:sub>
            <m:r>
              <m:rPr>
                <m:sty m:val="p"/>
              </m:rPr>
              <m:t>max</m:t>
            </m:r>
          </m:sub>
        </m:sSub>
      </m:oMath>
      <w:r>
        <w:t xml:space="preserve">, before the additional factor</w:t>
      </w:r>
      <w:r>
        <w:t xml:space="preserve"> </w:t>
      </w:r>
      <m:oMath>
        <m:r>
          <m:t>α</m:t>
        </m:r>
      </m:oMath>
      <w:r>
        <w:t xml:space="preserve"> </w:t>
      </w:r>
      <w:r>
        <w:t xml:space="preserve">below controls the relative</w:t>
      </w:r>
      <w:r>
        <w:t xml:space="preserve"> </w:t>
      </w:r>
      <w:r>
        <w:t xml:space="preserve">Cox contribution. Because</w:t>
      </w:r>
      <w:r>
        <w:t xml:space="preserve"> </w:t>
      </w:r>
      <w:r>
        <w:t xml:space="preserve">the Cox gradient entering</w:t>
      </w:r>
      <w:r>
        <w:t xml:space="preserve"> </w:t>
      </w:r>
      <m:oMath>
        <m:r>
          <m:t>ζ</m:t>
        </m:r>
      </m:oMath>
      <w:r>
        <w:t xml:space="preserve"> </w:t>
      </w:r>
      <w:r>
        <w:t xml:space="preserve">is already weighted by</w:t>
      </w:r>
      <w:r>
        <w:t xml:space="preserve"> </w:t>
      </w:r>
      <m:oMath>
        <m:r>
          <m:t>α</m:t>
        </m:r>
      </m:oMath>
      <w:r>
        <w:t xml:space="preserve">, the additional</w:t>
      </w:r>
      <w:r>
        <w:t xml:space="preserve"> </w:t>
      </w:r>
      <w:r>
        <w:t xml:space="preserve">explicit factor of</w:t>
      </w:r>
      <w:r>
        <w:t xml:space="preserve"> </w:t>
      </w:r>
      <m:oMath>
        <m:r>
          <m:t>α</m:t>
        </m:r>
      </m:oMath>
      <w:r>
        <w:t xml:space="preserve"> </w:t>
      </w:r>
      <w:r>
        <w:t xml:space="preserve">in the</w:t>
      </w:r>
      <w:r>
        <w:t xml:space="preserve"> </w:t>
      </w:r>
      <m:oMath>
        <m:r>
          <m:t>W</m:t>
        </m:r>
      </m:oMath>
      <w:r>
        <w:t xml:space="preserve"> </w:t>
      </w:r>
      <w:r>
        <w:t xml:space="preserve">update below makes the scaled Cox</w:t>
      </w:r>
      <w:r>
        <w:t xml:space="preserve"> </w:t>
      </w:r>
      <w:r>
        <w:t xml:space="preserve">contribution approximately</w:t>
      </w:r>
      <w:r>
        <w:t xml:space="preserve"> </w:t>
      </w:r>
      <m:oMath>
        <m:r>
          <m:t>α</m:t>
        </m:r>
      </m:oMath>
      <w:r>
        <w:t xml:space="preserve"> </w:t>
      </w:r>
      <w:r>
        <w:t xml:space="preserve">times the weighted reconstruction-gradient</w:t>
      </w:r>
      <w:r>
        <w:t xml:space="preserve"> </w:t>
      </w:r>
      <w:r>
        <w:t xml:space="preserve">norm when the cap is inactive, up to the numerical stabilizer; the two factors of</w:t>
      </w:r>
      <w:r>
        <w:t xml:space="preserve"> </w:t>
      </w:r>
      <m:oMath>
        <m:r>
          <m:t>α</m:t>
        </m:r>
      </m:oMath>
      <w:r>
        <w:t xml:space="preserve"> </w:t>
      </w:r>
      <w:r>
        <w:t xml:space="preserve">in that update are therefore not a duplication.</w:t>
      </w:r>
    </w:p>
    <w:p>
      <w:pPr>
        <w:pStyle w:val="BodyText"/>
      </w:pPr>
      <w:r>
        <w:t xml:space="preserve">In the reported consensus fit,</w:t>
      </w:r>
      <w:r>
        <w:t xml:space="preserve"> </w:t>
      </w:r>
      <m:oMath>
        <m:r>
          <m:t>ζ</m:t>
        </m:r>
      </m:oMath>
      <w:r>
        <w:t xml:space="preserve"> </w:t>
      </w:r>
      <w:r>
        <w:t xml:space="preserve">decreased from</w:t>
      </w:r>
      <w:r>
        <w:t xml:space="preserve"> </w:t>
      </w:r>
      <m:oMath>
        <m:r>
          <m:t>0.71</m:t>
        </m:r>
      </m:oMath>
      <w:r>
        <w:t xml:space="preserve"> </w:t>
      </w:r>
      <w:r>
        <w:t xml:space="preserve">after the first iteration to</w:t>
      </w:r>
      <w:r>
        <w:t xml:space="preserve"> </w:t>
      </w:r>
      <m:oMath>
        <m:r>
          <m:t>0.059</m:t>
        </m:r>
      </m:oMath>
      <w:r>
        <w:t xml:space="preserve"> </w:t>
      </w:r>
      <w:r>
        <w:t xml:space="preserve">at convergence, and the scaled Cox</w:t>
      </w:r>
      <w:r>
        <w:t xml:space="preserve"> </w:t>
      </w:r>
      <w:r>
        <w:t xml:space="preserve">contribution was then 1.6%</w:t>
      </w:r>
      <w:r>
        <w:t xml:space="preserve"> </w:t>
      </w:r>
      <w:r>
        <w:t xml:space="preserve">of the reconstruction term in the numerator. The cap was reached only at</w:t>
      </w:r>
      <w:r>
        <w:t xml:space="preserve"> </w:t>
      </w:r>
      <w:r>
        <w:t xml:space="preserve">initialization, where</w:t>
      </w:r>
      <w:r>
        <w:t xml:space="preserve"> </w:t>
      </w:r>
      <m:oMath>
        <m:r>
          <m:t>β</m:t>
        </m:r>
        <m:r>
          <m:rPr>
            <m:sty m:val="p"/>
          </m:rPr>
          <m:t>=</m:t>
        </m:r>
        <m:r>
          <m:t>0</m:t>
        </m:r>
      </m:oMath>
      <w:r>
        <w:t xml:space="preserve"> </w:t>
      </w:r>
      <w:r>
        <w:t xml:space="preserve">makes the Cox gradient itself zero, so the</w:t>
      </w:r>
      <w:r>
        <w:t xml:space="preserve"> </w:t>
      </w:r>
      <w:r>
        <w:t xml:space="preserve">cap contributed no update; across the 100 single-run endpoints</w:t>
      </w:r>
      <w:r>
        <w:t xml:space="preserve"> </w:t>
      </w:r>
      <m:oMath>
        <m:r>
          <m:t>ζ</m:t>
        </m:r>
      </m:oMath>
      <w:r>
        <w:t xml:space="preserve"> </w:t>
      </w:r>
      <w:r>
        <w:t xml:space="preserve">ranged from</w:t>
      </w:r>
      <w:r>
        <w:t xml:space="preserve"> </w:t>
      </w:r>
      <m:oMath>
        <m:r>
          <m:t>0.003</m:t>
        </m:r>
      </m:oMath>
      <w:r>
        <w:t xml:space="preserve"> </w:t>
      </w:r>
      <w:r>
        <w:t xml:space="preserve">to</w:t>
      </w:r>
      <w:r>
        <w:t xml:space="preserve"> </w:t>
      </w:r>
      <m:oMath>
        <m:r>
          <m:t>0.031</m:t>
        </m:r>
      </m:oMath>
      <w:r>
        <w:t xml:space="preserve"> </w:t>
      </w:r>
      <w:r>
        <w:t xml:space="preserve">and was never capped</w:t>
      </w:r>
      <w:r>
        <w:t xml:space="preserve"> </w:t>
      </w:r>
      <w:r>
        <w:t xml:space="preserve">(the</w:t>
      </w:r>
      <w:r>
        <w:t xml:space="preserve"> </w:t>
      </w:r>
      <m:oMath>
        <m:r>
          <m:t>ζ</m:t>
        </m:r>
      </m:oMath>
      <w:r>
        <w:t xml:space="preserve">-trace script, Table [tab:scripts], reconstructs the production</w:t>
      </w:r>
      <w:r>
        <w:t xml:space="preserve"> </w:t>
      </w:r>
      <w:r>
        <w:t xml:space="preserve">optimization path from the cached seed fits and checks it against the cached</w:t>
      </w:r>
      <w:r>
        <w:t xml:space="preserve"> </w:t>
      </w:r>
      <w:r>
        <w:t xml:space="preserve">final fit to a declared tolerance).</w:t>
      </w:r>
    </w:p>
    <w:p>
      <w:pPr>
        <w:pStyle w:val="BodyText"/>
      </w:pPr>
      <w:r>
        <w:t xml:space="preserve">The multiplicative factor for</w:t>
      </w:r>
      <w:r>
        <w:t xml:space="preserve"> </w:t>
      </w:r>
      <m:oMath>
        <m:r>
          <m:t>W</m:t>
        </m:r>
      </m:oMath>
      <w:r>
        <w:t xml:space="preserve"> </w:t>
      </w:r>
      <w:r>
        <w:t xml:space="preserve">is then</w:t>
      </w:r>
    </w:p>
    <w:p>
      <w:pPr>
        <w:pStyle w:val="BodyText"/>
      </w:pPr>
      <m:oMathPara>
        <m:oMathParaPr>
          <m:jc m:val="center"/>
        </m:oMathParaPr>
        <m:oMath>
          <m:sSup>
            <m:e>
              <m:r>
                <m:t>R</m:t>
              </m:r>
            </m:e>
            <m:sup>
              <m:d>
                <m:dPr>
                  <m:begChr m:val="("/>
                  <m:endChr m:val=")"/>
                  <m:sepChr m:val=""/>
                  <m:grow/>
                </m:dPr>
                <m:e>
                  <m:r>
                    <m:t>t</m:t>
                  </m:r>
                </m:e>
              </m:d>
            </m:sup>
          </m:sSup>
          <m:r>
            <m:rPr>
              <m:sty m:val="p"/>
            </m:rPr>
            <m:t>=</m:t>
          </m:r>
          <m:f>
            <m:fPr>
              <m:type m:val="bar"/>
            </m:fPr>
            <m:num>
              <m:f>
                <m:fPr>
                  <m:type m:val="bar"/>
                </m:fPr>
                <m:num>
                  <m:d>
                    <m:dPr>
                      <m:begChr m:val="("/>
                      <m:endChr m:val=")"/>
                      <m:sepChr m:val=""/>
                      <m:grow/>
                    </m:dPr>
                    <m:e>
                      <m:r>
                        <m:t>1</m:t>
                      </m:r>
                      <m:r>
                        <m:rPr>
                          <m:sty m:val="p"/>
                        </m:rPr>
                        <m:t>−</m:t>
                      </m:r>
                      <m:r>
                        <m:t>α</m:t>
                      </m:r>
                    </m:e>
                  </m:d>
                </m:num>
                <m:den>
                  <m:r>
                    <m:rPr>
                      <m:sty m:val="p"/>
                    </m:rPr>
                    <m:t>∥</m:t>
                  </m:r>
                  <m:r>
                    <m:t>X</m:t>
                  </m:r>
                  <m:sSubSup>
                    <m:e>
                      <m:r>
                        <m:rPr>
                          <m:sty m:val="p"/>
                        </m:rPr>
                        <m:t>∥</m:t>
                      </m:r>
                    </m:e>
                    <m:sub>
                      <m:r>
                        <m:t>F</m:t>
                      </m:r>
                    </m:sub>
                    <m:sup>
                      <m:r>
                        <m:t>2</m:t>
                      </m:r>
                    </m:sup>
                  </m:sSubSup>
                </m:den>
              </m:f>
              <m:r>
                <m:t>X</m:t>
              </m:r>
              <m:sSup>
                <m:e>
                  <m:r>
                    <m:t>H</m:t>
                  </m:r>
                </m:e>
                <m:sup>
                  <m:d>
                    <m:dPr>
                      <m:begChr m:val="("/>
                      <m:endChr m:val=")"/>
                      <m:sepChr m:val=""/>
                      <m:grow/>
                    </m:dPr>
                    <m:e>
                      <m:r>
                        <m:t>t</m:t>
                      </m:r>
                      <m:r>
                        <m:rPr>
                          <m:sty m:val="p"/>
                        </m:rPr>
                        <m:t>+</m:t>
                      </m:r>
                      <m:r>
                        <m:t>1</m:t>
                      </m:r>
                    </m:e>
                  </m:d>
                  <m:r>
                    <m:rPr>
                      <m:sty m:val="p"/>
                    </m:rPr>
                    <m:t>⊤</m:t>
                  </m:r>
                </m:sup>
              </m:sSup>
              <m:r>
                <m:rPr>
                  <m:sty m:val="p"/>
                </m:rPr>
                <m:t>+</m:t>
              </m:r>
              <m:r>
                <m:t>α</m:t>
              </m:r>
              <m:r>
                <m:t> </m:t>
              </m:r>
              <m:sSup>
                <m:e>
                  <m:r>
                    <m:t>ζ</m:t>
                  </m:r>
                </m:e>
                <m:sup>
                  <m:d>
                    <m:dPr>
                      <m:begChr m:val="("/>
                      <m:endChr m:val=")"/>
                      <m:sepChr m:val=""/>
                      <m:grow/>
                    </m:dPr>
                    <m:e>
                      <m:r>
                        <m:t>t</m:t>
                      </m:r>
                    </m:e>
                  </m:d>
                </m:sup>
              </m:sSup>
              <m:r>
                <m:t> </m:t>
              </m:r>
              <m:f>
                <m:fPr>
                  <m:type m:val="bar"/>
                </m:fPr>
                <m:num>
                  <m:r>
                    <m:t>2</m:t>
                  </m:r>
                  <m:r>
                    <m:t>α</m:t>
                  </m:r>
                </m:num>
                <m:den>
                  <m:sSub>
                    <m:e>
                      <m:r>
                        <m:t>n</m:t>
                      </m:r>
                    </m:e>
                    <m:sub>
                      <m:r>
                        <m:rPr>
                          <m:sty m:val="p"/>
                        </m:rPr>
                        <m:t>e</m:t>
                      </m:r>
                      <m:r>
                        <m:rPr>
                          <m:sty m:val="p"/>
                        </m:rPr>
                        <m:t>v</m:t>
                      </m:r>
                      <m:r>
                        <m:rPr>
                          <m:sty m:val="p"/>
                        </m:rPr>
                        <m:t>e</m:t>
                      </m:r>
                      <m:r>
                        <m:rPr>
                          <m:sty m:val="p"/>
                        </m:rPr>
                        <m:t>n</m:t>
                      </m:r>
                      <m:r>
                        <m:rPr>
                          <m:sty m:val="p"/>
                        </m:rPr>
                        <m:t>t</m:t>
                      </m:r>
                    </m:sub>
                  </m:sSub>
                </m:den>
              </m:f>
              <m:r>
                <m:t> </m:t>
              </m:r>
              <m:sSub>
                <m:e>
                  <m:r>
                    <m:rPr>
                      <m:sty m:val="p"/>
                    </m:rPr>
                    <m:t>∇</m:t>
                  </m:r>
                </m:e>
                <m:sub>
                  <m:r>
                    <m:t>W</m:t>
                  </m:r>
                </m:sub>
              </m:sSub>
              <m:r>
                <m:rPr>
                  <m:sty m:val="p"/>
                </m:rPr>
                <m:t>ℓ</m:t>
              </m:r>
              <m:d>
                <m:dPr>
                  <m:begChr m:val="("/>
                  <m:endChr m:val=")"/>
                  <m:sepChr m:val=""/>
                  <m:grow/>
                </m:dPr>
                <m:e>
                  <m:sSup>
                    <m:e>
                      <m:r>
                        <m:t>W</m:t>
                      </m:r>
                    </m:e>
                    <m:sup>
                      <m:d>
                        <m:dPr>
                          <m:begChr m:val="("/>
                          <m:endChr m:val=")"/>
                          <m:sepChr m:val=""/>
                          <m:grow/>
                        </m:dPr>
                        <m:e>
                          <m:r>
                            <m:t>t</m:t>
                          </m:r>
                        </m:e>
                      </m:d>
                    </m:sup>
                  </m:sSup>
                  <m:r>
                    <m:rPr>
                      <m:sty m:val="p"/>
                    </m:rPr>
                    <m:t>,</m:t>
                  </m:r>
                  <m:sSup>
                    <m:e>
                      <m:r>
                        <m:t>β</m:t>
                      </m:r>
                    </m:e>
                    <m:sup>
                      <m:d>
                        <m:dPr>
                          <m:begChr m:val="("/>
                          <m:endChr m:val=")"/>
                          <m:sepChr m:val=""/>
                          <m:grow/>
                        </m:dPr>
                        <m:e>
                          <m:r>
                            <m:t>t</m:t>
                          </m:r>
                        </m:e>
                      </m:d>
                    </m:sup>
                  </m:sSup>
                </m:e>
              </m:d>
            </m:num>
            <m:den>
              <m:f>
                <m:fPr>
                  <m:type m:val="bar"/>
                </m:fPr>
                <m:num>
                  <m:d>
                    <m:dPr>
                      <m:begChr m:val="("/>
                      <m:endChr m:val=")"/>
                      <m:sepChr m:val=""/>
                      <m:grow/>
                    </m:dPr>
                    <m:e>
                      <m:r>
                        <m:t>1</m:t>
                      </m:r>
                      <m:r>
                        <m:rPr>
                          <m:sty m:val="p"/>
                        </m:rPr>
                        <m:t>−</m:t>
                      </m:r>
                      <m:r>
                        <m:t>α</m:t>
                      </m:r>
                    </m:e>
                  </m:d>
                </m:num>
                <m:den>
                  <m:r>
                    <m:rPr>
                      <m:sty m:val="p"/>
                    </m:rPr>
                    <m:t>∥</m:t>
                  </m:r>
                  <m:r>
                    <m:t>X</m:t>
                  </m:r>
                  <m:sSubSup>
                    <m:e>
                      <m:r>
                        <m:rPr>
                          <m:sty m:val="p"/>
                        </m:rPr>
                        <m:t>∥</m:t>
                      </m:r>
                    </m:e>
                    <m:sub>
                      <m:r>
                        <m:t>F</m:t>
                      </m:r>
                    </m:sub>
                    <m:sup>
                      <m:r>
                        <m:t>2</m:t>
                      </m:r>
                    </m:sup>
                  </m:sSubSup>
                </m:den>
              </m:f>
              <m:sSup>
                <m:e>
                  <m:r>
                    <m:t>W</m:t>
                  </m:r>
                </m:e>
                <m:sup>
                  <m:d>
                    <m:dPr>
                      <m:begChr m:val="("/>
                      <m:endChr m:val=")"/>
                      <m:sepChr m:val=""/>
                      <m:grow/>
                    </m:dPr>
                    <m:e>
                      <m:r>
                        <m:t>t</m:t>
                      </m:r>
                    </m:e>
                  </m:d>
                </m:sup>
              </m:sSup>
              <m:sSup>
                <m:e>
                  <m:r>
                    <m:t>H</m:t>
                  </m:r>
                </m:e>
                <m:sup>
                  <m:d>
                    <m:dPr>
                      <m:begChr m:val="("/>
                      <m:endChr m:val=")"/>
                      <m:sepChr m:val=""/>
                      <m:grow/>
                    </m:dPr>
                    <m:e>
                      <m:r>
                        <m:t>t</m:t>
                      </m:r>
                      <m:r>
                        <m:rPr>
                          <m:sty m:val="p"/>
                        </m:rPr>
                        <m:t>+</m:t>
                      </m:r>
                      <m:r>
                        <m:t>1</m:t>
                      </m:r>
                    </m:e>
                  </m:d>
                </m:sup>
              </m:sSup>
              <m:sSup>
                <m:e>
                  <m:r>
                    <m:t>H</m:t>
                  </m:r>
                </m:e>
                <m:sup>
                  <m:d>
                    <m:dPr>
                      <m:begChr m:val="("/>
                      <m:endChr m:val=")"/>
                      <m:sepChr m:val=""/>
                      <m:grow/>
                    </m:dPr>
                    <m:e>
                      <m:r>
                        <m:t>t</m:t>
                      </m:r>
                      <m:r>
                        <m:rPr>
                          <m:sty m:val="p"/>
                        </m:rPr>
                        <m:t>+</m:t>
                      </m:r>
                      <m:r>
                        <m:t>1</m:t>
                      </m:r>
                    </m:e>
                  </m:d>
                  <m:r>
                    <m:rPr>
                      <m:sty m:val="p"/>
                    </m:rPr>
                    <m:t>⊤</m:t>
                  </m:r>
                </m:sup>
              </m:sSup>
              <m:r>
                <m:rPr>
                  <m:sty m:val="p"/>
                </m:rPr>
                <m:t>+</m:t>
              </m:r>
              <m:sSub>
                <m:e>
                  <m:r>
                    <m:t>ε</m:t>
                  </m:r>
                </m:e>
                <m:sub>
                  <m:r>
                    <m:t>W</m:t>
                  </m:r>
                </m:sub>
              </m:sSub>
            </m:den>
          </m:f>
          <m:r>
            <m:rPr>
              <m:sty m:val="p"/>
            </m:rPr>
            <m:t>,</m:t>
          </m:r>
        </m:oMath>
      </m:oMathPara>
    </w:p>
    <w:p>
      <w:pPr>
        <w:pStyle w:val="FirstParagraph"/>
      </w:pPr>
      <m:oMath>
        <m:sSup>
          <m:e>
            <m:r>
              <m:t>R</m:t>
            </m:r>
          </m:e>
          <m:sup>
            <m:d>
              <m:dPr>
                <m:begChr m:val="("/>
                <m:endChr m:val=")"/>
                <m:sepChr m:val=""/>
                <m:grow/>
              </m:dPr>
              <m:e>
                <m:r>
                  <m:t>t</m:t>
                </m:r>
              </m:e>
            </m:d>
          </m:sup>
        </m:sSup>
      </m:oMath>
      <w:r>
        <w:t xml:space="preserve"> </w:t>
      </w:r>
      <w:r>
        <w:t xml:space="preserve">is clamped elementwise to</w:t>
      </w:r>
      <w:r>
        <w:t xml:space="preserve"> </w:t>
      </w:r>
      <m:oMath>
        <m:d>
          <m:dPr>
            <m:begChr m:val="["/>
            <m:endChr m:val="]"/>
            <m:sepChr m:val=""/>
            <m:grow/>
          </m:dPr>
          <m:e>
            <m:r>
              <m:t>0.2</m:t>
            </m:r>
            <m:r>
              <m:rPr>
                <m:sty m:val="p"/>
              </m:rPr>
              <m:t>,</m:t>
            </m:r>
            <m:r>
              <m:t>5</m:t>
            </m:r>
          </m:e>
        </m:d>
      </m:oMath>
      <w:r>
        <w:t xml:space="preserve"> </w:t>
      </w:r>
      <w:r>
        <w:t xml:space="preserve">before use, which bounds the</w:t>
      </w:r>
      <w:r>
        <w:t xml:space="preserve"> </w:t>
      </w:r>
      <w:r>
        <w:t xml:space="preserve">change of any entry of</w:t>
      </w:r>
      <w:r>
        <w:t xml:space="preserve"> </w:t>
      </w:r>
      <m:oMath>
        <m:r>
          <m:t>W</m:t>
        </m:r>
      </m:oMath>
      <w:r>
        <w:t xml:space="preserve"> </w:t>
      </w:r>
      <w:r>
        <w:t xml:space="preserve">in a single step, and the proposed update is</w:t>
      </w:r>
    </w:p>
    <w:p>
      <w:pPr>
        <w:pStyle w:val="BodyText"/>
      </w:pPr>
      <m:oMathPara>
        <m:oMathParaPr>
          <m:jc m:val="center"/>
        </m:oMathParaPr>
        <m:oMath>
          <m:sSup>
            <m:e>
              <m:r>
                <m:t>W</m:t>
              </m:r>
            </m:e>
            <m:sup>
              <m:d>
                <m:dPr>
                  <m:begChr m:val="("/>
                  <m:endChr m:val=")"/>
                  <m:sepChr m:val=""/>
                  <m:grow/>
                </m:dPr>
                <m:e>
                  <m:r>
                    <m:t>t</m:t>
                  </m:r>
                  <m:r>
                    <m:rPr>
                      <m:sty m:val="p"/>
                    </m:rPr>
                    <m:t>+</m:t>
                  </m:r>
                  <m:r>
                    <m:t>1</m:t>
                  </m:r>
                </m:e>
              </m:d>
            </m:sup>
          </m:sSup>
          <m:r>
            <m:rPr>
              <m:sty m:val="p"/>
            </m:rPr>
            <m:t>=</m:t>
          </m:r>
          <m:r>
            <m:rPr>
              <m:sty m:val="p"/>
            </m:rPr>
            <m:t>max</m:t>
          </m:r>
          <m:r>
            <m:t>​</m:t>
          </m:r>
          <m:d>
            <m:dPr>
              <m:begChr m:val="("/>
              <m:endChr m:val=")"/>
              <m:sepChr m:val=""/>
              <m:grow/>
            </m:dPr>
            <m:e>
              <m:sSup>
                <m:e>
                  <m:r>
                    <m:t>W</m:t>
                  </m:r>
                </m:e>
                <m:sup>
                  <m:d>
                    <m:dPr>
                      <m:begChr m:val="("/>
                      <m:endChr m:val=")"/>
                      <m:sepChr m:val=""/>
                      <m:grow/>
                    </m:dPr>
                    <m:e>
                      <m:r>
                        <m:t>t</m:t>
                      </m:r>
                    </m:e>
                  </m:d>
                </m:sup>
              </m:sSup>
              <m:r>
                <m:rPr>
                  <m:sty m:val="p"/>
                </m:rPr>
                <m:t>⊙</m:t>
              </m:r>
              <m:sSup>
                <m:e>
                  <m:r>
                    <m:t>R</m:t>
                  </m:r>
                </m:e>
                <m:sup>
                  <m:d>
                    <m:dPr>
                      <m:begChr m:val="("/>
                      <m:endChr m:val=")"/>
                      <m:sepChr m:val=""/>
                      <m:grow/>
                    </m:dPr>
                    <m:e>
                      <m:r>
                        <m:t>t</m:t>
                      </m:r>
                    </m:e>
                  </m:d>
                </m:sup>
              </m:sSup>
              <m:r>
                <m:rPr>
                  <m:sty m:val="p"/>
                </m:rPr>
                <m:t>,</m:t>
              </m:r>
              <m:sSub>
                <m:e>
                  <m:r>
                    <m:t>ε</m:t>
                  </m:r>
                </m:e>
                <m:sub>
                  <m:r>
                    <m:t>W</m:t>
                  </m:r>
                </m:sub>
              </m:sSub>
            </m:e>
          </m:d>
          <m:r>
            <m:rPr>
              <m:sty m:val="p"/>
            </m:rPr>
            <m:t>,</m:t>
          </m:r>
        </m:oMath>
      </m:oMathPara>
    </w:p>
    <w:p>
      <w:pPr>
        <w:pStyle w:val="FirstParagraph"/>
      </w:pPr>
      <w:r>
        <w:t xml:space="preserve">with a small floor</w:t>
      </w:r>
      <w:r>
        <w:t xml:space="preserve"> </w:t>
      </w:r>
      <m:oMath>
        <m:sSub>
          <m:e>
            <m:r>
              <m:t>ε</m:t>
            </m:r>
          </m:e>
          <m:sub>
            <m:r>
              <m:t>W</m:t>
            </m:r>
          </m:sub>
        </m:sSub>
        <m:r>
          <m:rPr>
            <m:sty m:val="p"/>
          </m:rPr>
          <m:t>&gt;</m:t>
        </m:r>
        <m:r>
          <m:t>0</m:t>
        </m:r>
      </m:oMath>
      <w:r>
        <w:t xml:space="preserve">. When</w:t>
      </w:r>
      <w:r>
        <w:t xml:space="preserve"> </w:t>
      </w:r>
      <m:oMath>
        <m:r>
          <m:t>α</m:t>
        </m:r>
        <m:r>
          <m:rPr>
            <m:sty m:val="p"/>
          </m:rPr>
          <m:t>=</m:t>
        </m:r>
        <m:r>
          <m:t>0</m:t>
        </m:r>
      </m:oMath>
      <w:r>
        <w:t xml:space="preserve">, this reduces</w:t>
      </w:r>
      <w:r>
        <w:t xml:space="preserve"> </w:t>
      </w:r>
      <w:r>
        <w:t xml:space="preserve">to the standard multiplicative update for NMF</w:t>
      </w:r>
      <w:hyperlink w:anchor="ref-seung2001algorithms">
        <w:r>
          <w:rPr>
            <w:rStyle w:val="Hyperlink"/>
            <w:vertAlign w:val="superscript"/>
          </w:rPr>
          <w:t xml:space="preserve">1</w:t>
        </w:r>
      </w:hyperlink>
      <w:r>
        <w:t xml:space="preserve">;</w:t>
      </w:r>
      <w:r>
        <w:t xml:space="preserve"> </w:t>
      </w:r>
      <w:r>
        <w:t xml:space="preserve">for</w:t>
      </w:r>
      <w:r>
        <w:t xml:space="preserve"> </w:t>
      </w:r>
      <m:oMath>
        <m:r>
          <m:t>α</m:t>
        </m:r>
        <m:r>
          <m:rPr>
            <m:sty m:val="p"/>
          </m:rPr>
          <m:t>&gt;</m:t>
        </m:r>
        <m:r>
          <m:t>0</m:t>
        </m:r>
      </m:oMath>
      <w:r>
        <w:t xml:space="preserve">, the Cox gradient perturbs the update in a direction that</w:t>
      </w:r>
      <w:r>
        <w:t xml:space="preserve"> </w:t>
      </w:r>
      <w:r>
        <w:t xml:space="preserve">decreases the supervised loss.</w:t>
      </w:r>
    </w:p>
    <w:p>
      <w:pPr>
        <w:pStyle w:val="BodyText"/>
      </w:pPr>
      <w:r>
        <w:t xml:space="preserve">The proposal uses the reconstruction and Cox log-partial-likelihood derivatives</w:t>
      </w:r>
      <w:r>
        <w:t xml:space="preserve"> </w:t>
      </w:r>
      <w:r>
        <w:t xml:space="preserve">only. It does not differentiate the</w:t>
      </w:r>
      <w:r>
        <w:t xml:space="preserve"> </w:t>
      </w:r>
      <m:oMath>
        <m:r>
          <m:t>W</m:t>
        </m:r>
      </m:oMath>
      <w:r>
        <w:t xml:space="preserve">-dependent penalty on the</w:t>
      </w:r>
      <w:r>
        <w:t xml:space="preserve"> </w:t>
      </w:r>
      <w:r>
        <w:t xml:space="preserve">standardized-score coefficients</w:t>
      </w:r>
      <w:r>
        <w:t xml:space="preserve"> </w:t>
      </w:r>
      <m:oMath>
        <m:r>
          <m:t>b</m:t>
        </m:r>
        <m:r>
          <m:rPr>
            <m:sty m:val="p"/>
          </m:rPr>
          <m:t>=</m:t>
        </m:r>
        <m:sSub>
          <m:e>
            <m:r>
              <m:t>D</m:t>
            </m:r>
          </m:e>
          <m:sub>
            <m:r>
              <m:t>Z</m:t>
            </m:r>
          </m:sub>
        </m:sSub>
        <m:r>
          <m:t>β</m:t>
        </m:r>
      </m:oMath>
      <w:r>
        <w:t xml:space="preserve">, so it is not the gradient of the</w:t>
      </w:r>
      <w:r>
        <w:t xml:space="preserve"> </w:t>
      </w:r>
      <w:r>
        <w:t xml:space="preserve">full objective</w:t>
      </w:r>
      <w:r>
        <w:t xml:space="preserve"> </w:t>
      </w:r>
      <m:oMath>
        <m:r>
          <m:rPr>
            <m:sty m:val="p"/>
            <m:scr m:val="script"/>
          </m:rPr>
          <m:t>L</m:t>
        </m:r>
      </m:oMath>
      <w:r>
        <w:t xml:space="preserve">, and candidate acceptance is instead evaluated using</w:t>
      </w:r>
      <w:r>
        <w:t xml:space="preserve"> </w:t>
      </w:r>
      <w:r>
        <w:t xml:space="preserve">the full objective.</w:t>
      </w:r>
    </w:p>
    <w:p>
      <w:pPr>
        <w:pStyle w:val="BodyText"/>
      </w:pPr>
      <w:r>
        <w:t xml:space="preserve">Because the combined multiplicative step does not, by itself, guarantee a</w:t>
      </w:r>
      <w:r>
        <w:t xml:space="preserve"> </w:t>
      </w:r>
      <w:r>
        <w:t xml:space="preserve">nonincrease in the full loss</w:t>
      </w:r>
      <w:r>
        <w:t xml:space="preserve"> </w:t>
      </w:r>
      <m:oMath>
        <m:r>
          <m:rPr>
            <m:sty m:val="p"/>
            <m:scr m:val="script"/>
          </m:rPr>
          <m:t>L</m:t>
        </m:r>
      </m:oMath>
      <w:r>
        <w:t xml:space="preserve">, we embed it in a backtracking</w:t>
      </w:r>
      <w:r>
        <w:t xml:space="preserve"> </w:t>
      </w:r>
      <w:r>
        <w:t xml:space="preserve">line search.</w:t>
      </w:r>
    </w:p>
    <w:p>
      <w:pPr>
        <w:pStyle w:val="BodyText"/>
      </w:pPr>
      <m:oMath>
        <m:r>
          <m:t>W</m:t>
        </m:r>
      </m:oMath>
      <w:r>
        <w:rPr>
          <w:bCs/>
          <w:b/>
        </w:rPr>
        <w:t xml:space="preserve"> </w:t>
      </w:r>
      <w:r>
        <w:rPr>
          <w:bCs/>
          <w:b/>
        </w:rPr>
        <w:t xml:space="preserve">update with backtracking</w:t>
      </w:r>
    </w:p>
    <w:p>
      <w:pPr>
        <w:pStyle w:val="BodyText"/>
      </w:pPr>
      <w:r>
        <w:t xml:space="preserve">Input:</w:t>
      </w:r>
      <w:r>
        <w:t xml:space="preserve"> </w:t>
      </w:r>
      <m:oMath>
        <m:r>
          <m:t>W</m:t>
        </m:r>
      </m:oMath>
      <w:r>
        <w:t xml:space="preserve"> </w:t>
      </w:r>
      <w:r>
        <w:t xml:space="preserve">at the previous iteration</w:t>
      </w:r>
      <w:r>
        <w:t xml:space="preserve"> </w:t>
      </w:r>
      <m:oMath>
        <m:r>
          <m:t>t</m:t>
        </m:r>
      </m:oMath>
      <w:r>
        <w:t xml:space="preserve">,</w:t>
      </w:r>
      <w:r>
        <w:t xml:space="preserve"> </w:t>
      </w:r>
      <m:oMath>
        <m:sSup>
          <m:e>
            <m:r>
              <m:t>W</m:t>
            </m:r>
          </m:e>
          <m:sup>
            <m:d>
              <m:dPr>
                <m:begChr m:val="("/>
                <m:endChr m:val=")"/>
                <m:sepChr m:val=""/>
                <m:grow/>
              </m:dPr>
              <m:e>
                <m:r>
                  <m:t>t</m:t>
                </m:r>
              </m:e>
            </m:d>
          </m:sup>
        </m:sSup>
      </m:oMath>
      <w:r>
        <w:t xml:space="preserve">; the multiplicative update term at the current iteration</w:t>
      </w:r>
      <w:r>
        <w:t xml:space="preserve"> </w:t>
      </w:r>
      <m:oMath>
        <m:sSup>
          <m:e>
            <m:r>
              <m:t>R</m:t>
            </m:r>
          </m:e>
          <m:sup>
            <m:d>
              <m:dPr>
                <m:begChr m:val="("/>
                <m:endChr m:val=")"/>
                <m:sepChr m:val=""/>
                <m:grow/>
              </m:dPr>
              <m:e>
                <m:r>
                  <m:t>t</m:t>
                </m:r>
              </m:e>
            </m:d>
          </m:sup>
        </m:sSup>
      </m:oMath>
      <w:r>
        <w:t xml:space="preserve">, the max number of backtracking updates</w:t>
      </w:r>
      <w:r>
        <w:t xml:space="preserve"> </w:t>
      </w:r>
      <m:oMath>
        <m:r>
          <m:t>m</m:t>
        </m:r>
        <m:r>
          <m:t>a</m:t>
        </m:r>
        <m:r>
          <m:t>x</m:t>
        </m:r>
        <m:r>
          <m:rPr>
            <m:sty m:val="p"/>
          </m:rPr>
          <m:t>_</m:t>
        </m:r>
        <m:r>
          <m:t>b</m:t>
        </m:r>
        <m:r>
          <m:t>t</m:t>
        </m:r>
      </m:oMath>
      <w:r>
        <w:t xml:space="preserve">, the initial step</w:t>
      </w:r>
      <w:r>
        <w:t xml:space="preserve"> </w:t>
      </w:r>
      <m:oMath>
        <m:sSub>
          <m:e>
            <m:r>
              <m:t>s</m:t>
            </m:r>
          </m:e>
          <m:sub>
            <m:r>
              <m:t>0</m:t>
            </m:r>
          </m:sub>
        </m:sSub>
        <m:r>
          <m:rPr>
            <m:sty m:val="p"/>
          </m:rPr>
          <m:t>∈</m:t>
        </m:r>
        <m:r>
          <m:rPr>
            <m:sty m:val="p"/>
          </m:rPr>
          <m:t>(</m:t>
        </m:r>
        <m:r>
          <m:t>0</m:t>
        </m:r>
        <m:r>
          <m:rPr>
            <m:sty m:val="p"/>
          </m:rPr>
          <m:t>,</m:t>
        </m:r>
        <m:r>
          <m:t>1</m:t>
        </m:r>
        <m:r>
          <m:rPr>
            <m:sty m:val="p"/>
          </m:rPr>
          <m:t>]</m:t>
        </m:r>
      </m:oMath>
      <w:r>
        <w:t xml:space="preserve">, the backtracking factor</w:t>
      </w:r>
      <w:r>
        <w:t xml:space="preserve"> </w:t>
      </w:r>
      <m:oMath>
        <m:r>
          <m:t>γ</m:t>
        </m:r>
        <m:r>
          <m:rPr>
            <m:sty m:val="p"/>
          </m:rPr>
          <m:t>∈</m:t>
        </m:r>
        <m:d>
          <m:dPr>
            <m:begChr m:val="("/>
            <m:endChr m:val=")"/>
            <m:sepChr m:val=""/>
            <m:grow/>
          </m:dPr>
          <m:e>
            <m:r>
              <m:t>0</m:t>
            </m:r>
            <m:r>
              <m:rPr>
                <m:sty m:val="p"/>
              </m:rPr>
              <m:t>,</m:t>
            </m:r>
            <m:r>
              <m:t>1</m:t>
            </m:r>
          </m:e>
        </m:d>
      </m:oMath>
      <w:r>
        <w:br/>
      </w:r>
      <w:r>
        <w:t xml:space="preserve">Output:</w:t>
      </w:r>
      <w:r>
        <w:t xml:space="preserve"> </w:t>
      </w:r>
      <m:oMath>
        <m:sSup>
          <m:e>
            <m:r>
              <m:t>W</m:t>
            </m:r>
          </m:e>
          <m:sup>
            <m:d>
              <m:dPr>
                <m:begChr m:val="("/>
                <m:endChr m:val=")"/>
                <m:sepChr m:val=""/>
                <m:grow/>
              </m:dPr>
              <m:e>
                <m:r>
                  <m:t>t</m:t>
                </m:r>
                <m:r>
                  <m:rPr>
                    <m:sty m:val="p"/>
                  </m:rPr>
                  <m:t>+</m:t>
                </m:r>
                <m:r>
                  <m:t>1</m:t>
                </m:r>
              </m:e>
            </m:d>
          </m:sup>
        </m:sSup>
      </m:oMath>
      <w:r>
        <w:br/>
      </w:r>
      <m:oMath>
        <m:r>
          <m:t>s</m:t>
        </m:r>
        <m:r>
          <m:rPr>
            <m:sty m:val="p"/>
          </m:rPr>
          <m:t>=</m:t>
        </m:r>
        <m:sSub>
          <m:e>
            <m:r>
              <m:t>s</m:t>
            </m:r>
          </m:e>
          <m:sub>
            <m:r>
              <m:t>0</m:t>
            </m:r>
          </m:sub>
        </m:sSub>
      </m:oMath>
      <w:r>
        <w:br/>
      </w:r>
      <w:r>
        <w:t xml:space="preserve">b = 1</w:t>
      </w:r>
      <w:r>
        <w:br/>
      </w:r>
      <m:oMath>
        <m:r>
          <m:t>f</m:t>
        </m:r>
        <m:r>
          <m:t>l</m:t>
        </m:r>
        <m:r>
          <m:t>a</m:t>
        </m:r>
        <m:r>
          <m:t>g</m:t>
        </m:r>
        <m:r>
          <m:rPr>
            <m:sty m:val="p"/>
          </m:rPr>
          <m:t>_</m:t>
        </m:r>
        <m:r>
          <m:t>a</m:t>
        </m:r>
        <m:r>
          <m:t>c</m:t>
        </m:r>
        <m:r>
          <m:t>c</m:t>
        </m:r>
        <m:r>
          <m:t>e</m:t>
        </m:r>
        <m:r>
          <m:t>p</m:t>
        </m:r>
        <m:r>
          <m:t>t</m:t>
        </m:r>
        <m:r>
          <m:rPr>
            <m:sty m:val="p"/>
          </m:rPr>
          <m:t>=</m:t>
        </m:r>
        <m:r>
          <m:t>F</m:t>
        </m:r>
        <m:r>
          <m:t>A</m:t>
        </m:r>
        <m:r>
          <m:t>L</m:t>
        </m:r>
        <m:r>
          <m:t>S</m:t>
        </m:r>
        <m:r>
          <m:t>E</m:t>
        </m:r>
      </m:oMath>
      <w:r>
        <w:br/>
      </w:r>
      <w:r>
        <w:t xml:space="preserve">while</w:t>
      </w:r>
      <w:r>
        <w:t xml:space="preserve"> </w:t>
      </w:r>
      <m:oMath>
        <m:r>
          <m:t>b</m:t>
        </m:r>
        <m:r>
          <m:rPr>
            <m:sty m:val="p"/>
          </m:rPr>
          <m:t>≤</m:t>
        </m:r>
        <m:r>
          <m:t>m</m:t>
        </m:r>
        <m:r>
          <m:t>a</m:t>
        </m:r>
        <m:r>
          <m:t>x</m:t>
        </m:r>
        <m:r>
          <m:rPr>
            <m:sty m:val="p"/>
          </m:rPr>
          <m:t>_</m:t>
        </m:r>
        <m:r>
          <m:t>b</m:t>
        </m:r>
        <m:r>
          <m:t>t</m:t>
        </m:r>
      </m:oMath>
      <w:r>
        <w:t xml:space="preserve"> </w:t>
      </w:r>
      <w:r>
        <w:t xml:space="preserve">do</w:t>
      </w:r>
      <w:r>
        <w:br/>
      </w:r>
      <m:oMath>
        <m:sSubSup>
          <m:e>
            <m:r>
              <m:t>W</m:t>
            </m:r>
          </m:e>
          <m:sub>
            <m:r>
              <m:t>c</m:t>
            </m:r>
            <m:r>
              <m:t>a</m:t>
            </m:r>
            <m:r>
              <m:t>n</m:t>
            </m:r>
            <m:r>
              <m:t>d</m:t>
            </m:r>
          </m:sub>
          <m:sup>
            <m:d>
              <m:dPr>
                <m:begChr m:val="("/>
                <m:endChr m:val=")"/>
                <m:sepChr m:val=""/>
                <m:grow/>
              </m:dPr>
              <m:e>
                <m:r>
                  <m:t>t</m:t>
                </m:r>
                <m:r>
                  <m:rPr>
                    <m:sty m:val="p"/>
                  </m:rPr>
                  <m:t>+</m:t>
                </m:r>
                <m:r>
                  <m:t>1</m:t>
                </m:r>
              </m:e>
            </m:d>
          </m:sup>
        </m:sSubSup>
        <m:r>
          <m:rPr>
            <m:sty m:val="p"/>
          </m:rPr>
          <m:t>=</m:t>
        </m:r>
        <m:r>
          <m:rPr>
            <m:sty m:val="p"/>
          </m:rPr>
          <m:t>max</m:t>
        </m:r>
        <m:r>
          <m:t>​</m:t>
        </m:r>
        <m:d>
          <m:dPr>
            <m:begChr m:val="("/>
            <m:endChr m:val=")"/>
            <m:sepChr m:val=""/>
            <m:grow/>
          </m:dPr>
          <m:e>
            <m:sSup>
              <m:e>
                <m:r>
                  <m:t>W</m:t>
                </m:r>
              </m:e>
              <m:sup>
                <m:d>
                  <m:dPr>
                    <m:begChr m:val="("/>
                    <m:endChr m:val=")"/>
                    <m:sepChr m:val=""/>
                    <m:grow/>
                  </m:dPr>
                  <m:e>
                    <m:r>
                      <m:t>t</m:t>
                    </m:r>
                  </m:e>
                </m:d>
              </m:sup>
            </m:sSup>
            <m:r>
              <m:rPr>
                <m:sty m:val="p"/>
              </m:rPr>
              <m:t>⊙</m:t>
            </m:r>
            <m:d>
              <m:dPr>
                <m:begChr m:val="["/>
                <m:endChr m:val="]"/>
                <m:sepChr m:val=""/>
                <m:grow/>
              </m:dPr>
              <m:e>
                <m:d>
                  <m:dPr>
                    <m:begChr m:val="("/>
                    <m:endChr m:val=")"/>
                    <m:sepChr m:val=""/>
                    <m:grow/>
                  </m:dPr>
                  <m:e>
                    <m:r>
                      <m:t>1</m:t>
                    </m:r>
                    <m:r>
                      <m:rPr>
                        <m:sty m:val="p"/>
                      </m:rPr>
                      <m:t>−</m:t>
                    </m:r>
                    <m:r>
                      <m:t>s</m:t>
                    </m:r>
                  </m:e>
                </m:d>
                <m:r>
                  <m:rPr>
                    <m:sty m:val="p"/>
                  </m:rPr>
                  <m:t>+</m:t>
                </m:r>
                <m:r>
                  <m:t>s</m:t>
                </m:r>
                <m:sSup>
                  <m:e>
                    <m:r>
                      <m:t>R</m:t>
                    </m:r>
                  </m:e>
                  <m:sup>
                    <m:d>
                      <m:dPr>
                        <m:begChr m:val="("/>
                        <m:endChr m:val=")"/>
                        <m:sepChr m:val=""/>
                        <m:grow/>
                      </m:dPr>
                      <m:e>
                        <m:r>
                          <m:t>t</m:t>
                        </m:r>
                      </m:e>
                    </m:d>
                  </m:sup>
                </m:sSup>
              </m:e>
            </m:d>
            <m:r>
              <m:rPr>
                <m:sty m:val="p"/>
              </m:rPr>
              <m:t>,</m:t>
            </m:r>
            <m:r>
              <m:t> </m:t>
            </m:r>
            <m:sSub>
              <m:e>
                <m:r>
                  <m:t>ε</m:t>
                </m:r>
              </m:e>
              <m:sub>
                <m:r>
                  <m:t>W</m:t>
                </m:r>
              </m:sub>
            </m:sSub>
          </m:e>
        </m:d>
      </m:oMath>
      <w:r>
        <w:br/>
      </w:r>
      <w:r>
        <w:rPr>
          <w:bCs/>
          <w:b/>
        </w:rPr>
        <w:t xml:space="preserve">(Column normalization)</w:t>
      </w:r>
      <w:r>
        <w:br/>
      </w:r>
      <w:r>
        <w:t xml:space="preserve">Compute</w:t>
      </w:r>
      <w:r>
        <w:t xml:space="preserve"> </w:t>
      </w:r>
      <m:oMath>
        <m:r>
          <m:t>D</m:t>
        </m:r>
        <m:r>
          <m:rPr>
            <m:sty m:val="p"/>
          </m:rPr>
          <m:t>=</m:t>
        </m:r>
        <m:r>
          <m:rPr>
            <m:sty m:val="p"/>
          </m:rPr>
          <m:t>d</m:t>
        </m:r>
        <m:r>
          <m:rPr>
            <m:sty m:val="p"/>
          </m:rPr>
          <m:t>i</m:t>
        </m:r>
        <m:r>
          <m:rPr>
            <m:sty m:val="p"/>
          </m:rPr>
          <m:t>a</m:t>
        </m:r>
        <m:r>
          <m:rPr>
            <m:sty m:val="p"/>
          </m:rPr>
          <m:t>g</m:t>
        </m:r>
        <m:r>
          <m:t>​</m:t>
        </m:r>
        <m:d>
          <m:dPr>
            <m:begChr m:val="("/>
            <m:endChr m:val=")"/>
            <m:sepChr m:val=""/>
            <m:grow/>
          </m:dPr>
          <m:e>
            <m:r>
              <m:rPr>
                <m:sty m:val="p"/>
              </m:rPr>
              <m:t>∥</m:t>
            </m:r>
            <m:sSubSup>
              <m:e>
                <m:r>
                  <m:t>W</m:t>
                </m:r>
              </m:e>
              <m:sub>
                <m:d>
                  <m:dPr>
                    <m:begChr m:val="("/>
                    <m:endChr m:val=")"/>
                    <m:sepChr m:val=""/>
                    <m:grow/>
                  </m:dPr>
                  <m:e>
                    <m:r>
                      <m:rPr>
                        <m:sty m:val="p"/>
                      </m:rPr>
                      <m:t>:</m:t>
                    </m:r>
                    <m:r>
                      <m:rPr>
                        <m:sty m:val="p"/>
                      </m:rPr>
                      <m:t>,</m:t>
                    </m:r>
                    <m:r>
                      <m:t>1</m:t>
                    </m:r>
                  </m:e>
                </m:d>
                <m:r>
                  <m:t>c</m:t>
                </m:r>
                <m:r>
                  <m:t>a</m:t>
                </m:r>
                <m:r>
                  <m:t>n</m:t>
                </m:r>
                <m:r>
                  <m:t>d</m:t>
                </m:r>
              </m:sub>
              <m:sup>
                <m:d>
                  <m:dPr>
                    <m:begChr m:val="("/>
                    <m:endChr m:val=")"/>
                    <m:sepChr m:val=""/>
                    <m:grow/>
                  </m:dPr>
                  <m:e>
                    <m:r>
                      <m:t>t</m:t>
                    </m:r>
                    <m:r>
                      <m:rPr>
                        <m:sty m:val="p"/>
                      </m:rPr>
                      <m:t>+</m:t>
                    </m:r>
                    <m:r>
                      <m:t>1</m:t>
                    </m:r>
                  </m:e>
                </m:d>
              </m:sup>
            </m:sSubSup>
            <m:sSub>
              <m:e>
                <m:r>
                  <m:rPr>
                    <m:sty m:val="p"/>
                  </m:rPr>
                  <m:t>∥</m:t>
                </m:r>
              </m:e>
              <m:sub>
                <m:r>
                  <m:t>2</m:t>
                </m:r>
              </m:sub>
            </m:sSub>
            <m:r>
              <m:rPr>
                <m:sty m:val="p"/>
              </m:rPr>
              <m:t>,</m:t>
            </m:r>
            <m:r>
              <m:rPr>
                <m:sty m:val="p"/>
              </m:rPr>
              <m:t>…</m:t>
            </m:r>
            <m:r>
              <m:rPr>
                <m:sty m:val="p"/>
              </m:rPr>
              <m:t>,</m:t>
            </m:r>
            <m:r>
              <m:rPr>
                <m:sty m:val="p"/>
              </m:rPr>
              <m:t>∥</m:t>
            </m:r>
            <m:sSubSup>
              <m:e>
                <m:r>
                  <m:t>W</m:t>
                </m:r>
              </m:e>
              <m:sub>
                <m:d>
                  <m:dPr>
                    <m:begChr m:val="("/>
                    <m:endChr m:val=")"/>
                    <m:sepChr m:val=""/>
                    <m:grow/>
                  </m:dPr>
                  <m:e>
                    <m:r>
                      <m:rPr>
                        <m:sty m:val="p"/>
                      </m:rPr>
                      <m:t>:</m:t>
                    </m:r>
                    <m:r>
                      <m:rPr>
                        <m:sty m:val="p"/>
                      </m:rPr>
                      <m:t>,</m:t>
                    </m:r>
                    <m:r>
                      <m:t>k</m:t>
                    </m:r>
                  </m:e>
                </m:d>
                <m:r>
                  <m:t>c</m:t>
                </m:r>
                <m:r>
                  <m:t>a</m:t>
                </m:r>
                <m:r>
                  <m:t>n</m:t>
                </m:r>
                <m:r>
                  <m:t>d</m:t>
                </m:r>
              </m:sub>
              <m:sup>
                <m:d>
                  <m:dPr>
                    <m:begChr m:val="("/>
                    <m:endChr m:val=")"/>
                    <m:sepChr m:val=""/>
                    <m:grow/>
                  </m:dPr>
                  <m:e>
                    <m:r>
                      <m:t>t</m:t>
                    </m:r>
                    <m:r>
                      <m:rPr>
                        <m:sty m:val="p"/>
                      </m:rPr>
                      <m:t>+</m:t>
                    </m:r>
                    <m:r>
                      <m:t>1</m:t>
                    </m:r>
                  </m:e>
                </m:d>
              </m:sup>
            </m:sSubSup>
            <m:sSub>
              <m:e>
                <m:r>
                  <m:rPr>
                    <m:sty m:val="p"/>
                  </m:rPr>
                  <m:t>∥</m:t>
                </m:r>
              </m:e>
              <m:sub>
                <m:r>
                  <m:t>2</m:t>
                </m:r>
              </m:sub>
            </m:sSub>
          </m:e>
        </m:d>
      </m:oMath>
      <w:r>
        <w:br/>
      </w:r>
      <w:r>
        <w:t xml:space="preserve">and set</w:t>
      </w:r>
      <w:r>
        <w:t xml:space="preserve"> </w:t>
      </w:r>
      <m:oMath>
        <m:sSubSup>
          <m:e>
            <m:r>
              <m:t>W</m:t>
            </m:r>
          </m:e>
          <m:sub>
            <m:r>
              <m:t>c</m:t>
            </m:r>
            <m:r>
              <m:t>a</m:t>
            </m:r>
            <m:r>
              <m:t>n</m:t>
            </m:r>
            <m:r>
              <m:t>d</m:t>
            </m:r>
          </m:sub>
          <m:sup>
            <m:d>
              <m:dPr>
                <m:begChr m:val="("/>
                <m:endChr m:val=")"/>
                <m:sepChr m:val=""/>
                <m:grow/>
              </m:dPr>
              <m:e>
                <m:r>
                  <m:t>t</m:t>
                </m:r>
                <m:r>
                  <m:rPr>
                    <m:sty m:val="p"/>
                  </m:rPr>
                  <m:t>+</m:t>
                </m:r>
                <m:r>
                  <m:t>1</m:t>
                </m:r>
              </m:e>
            </m:d>
          </m:sup>
        </m:sSubSup>
        <m:r>
          <m:rPr>
            <m:sty m:val="p"/>
          </m:rPr>
          <m:t>←</m:t>
        </m:r>
        <m:sSubSup>
          <m:e>
            <m:r>
              <m:t>W</m:t>
            </m:r>
          </m:e>
          <m:sub>
            <m:r>
              <m:t>c</m:t>
            </m:r>
            <m:r>
              <m:t>a</m:t>
            </m:r>
            <m:r>
              <m:t>n</m:t>
            </m:r>
            <m:r>
              <m:t>d</m:t>
            </m:r>
          </m:sub>
          <m:sup>
            <m:d>
              <m:dPr>
                <m:begChr m:val="("/>
                <m:endChr m:val=")"/>
                <m:sepChr m:val=""/>
                <m:grow/>
              </m:dPr>
              <m:e>
                <m:r>
                  <m:t>t</m:t>
                </m:r>
                <m:r>
                  <m:rPr>
                    <m:sty m:val="p"/>
                  </m:rPr>
                  <m:t>+</m:t>
                </m:r>
                <m:r>
                  <m:t>1</m:t>
                </m:r>
              </m:e>
            </m:d>
          </m:sup>
        </m:sSubSup>
        <m:sSup>
          <m:e>
            <m:r>
              <m:t>D</m:t>
            </m:r>
          </m:e>
          <m:sup>
            <m:r>
              <m:rPr>
                <m:sty m:val="p"/>
              </m:rPr>
              <m:t>−</m:t>
            </m:r>
            <m:r>
              <m:t>1</m:t>
            </m:r>
          </m:sup>
        </m:sSup>
      </m:oMath>
      <w:r>
        <w:t xml:space="preserve">,</w:t>
      </w:r>
      <w:r>
        <w:t xml:space="preserve"> </w:t>
      </w:r>
      <m:oMath>
        <m:sSubSup>
          <m:e>
            <m:r>
              <m:t>H</m:t>
            </m:r>
          </m:e>
          <m:sub>
            <m:r>
              <m:t>c</m:t>
            </m:r>
            <m:r>
              <m:t>a</m:t>
            </m:r>
            <m:r>
              <m:t>n</m:t>
            </m:r>
            <m:r>
              <m:t>d</m:t>
            </m:r>
          </m:sub>
          <m:sup>
            <m:d>
              <m:dPr>
                <m:begChr m:val="("/>
                <m:endChr m:val=")"/>
                <m:sepChr m:val=""/>
                <m:grow/>
              </m:dPr>
              <m:e>
                <m:r>
                  <m:t>t</m:t>
                </m:r>
                <m:r>
                  <m:rPr>
                    <m:sty m:val="p"/>
                  </m:rPr>
                  <m:t>+</m:t>
                </m:r>
                <m:r>
                  <m:t>1</m:t>
                </m:r>
              </m:e>
            </m:d>
          </m:sup>
        </m:sSubSup>
        <m:r>
          <m:rPr>
            <m:sty m:val="p"/>
          </m:rPr>
          <m:t>←</m:t>
        </m:r>
        <m:r>
          <m:t>D</m:t>
        </m:r>
        <m:sSup>
          <m:e>
            <m:r>
              <m:t>H</m:t>
            </m:r>
          </m:e>
          <m:sup>
            <m:d>
              <m:dPr>
                <m:begChr m:val="("/>
                <m:endChr m:val=")"/>
                <m:sepChr m:val=""/>
                <m:grow/>
              </m:dPr>
              <m:e>
                <m:r>
                  <m:t>t</m:t>
                </m:r>
                <m:r>
                  <m:rPr>
                    <m:sty m:val="p"/>
                  </m:rPr>
                  <m:t>+</m:t>
                </m:r>
                <m:r>
                  <m:t>1</m:t>
                </m:r>
              </m:e>
            </m:d>
          </m:sup>
        </m:sSup>
      </m:oMath>
      <w:r>
        <w:t xml:space="preserve">, and</w:t>
      </w:r>
      <w:r>
        <w:t xml:space="preserve"> </w:t>
      </w:r>
      <m:oMath>
        <m:sSubSup>
          <m:e>
            <m:r>
              <m:t>β</m:t>
            </m:r>
          </m:e>
          <m:sub>
            <m:r>
              <m:t>c</m:t>
            </m:r>
            <m:r>
              <m:t>a</m:t>
            </m:r>
            <m:r>
              <m:t>n</m:t>
            </m:r>
            <m:r>
              <m:t>d</m:t>
            </m:r>
          </m:sub>
          <m:sup>
            <m:d>
              <m:dPr>
                <m:begChr m:val="("/>
                <m:endChr m:val=")"/>
                <m:sepChr m:val=""/>
                <m:grow/>
              </m:dPr>
              <m:e>
                <m:r>
                  <m:t>t</m:t>
                </m:r>
              </m:e>
            </m:d>
          </m:sup>
        </m:sSubSup>
        <m:r>
          <m:rPr>
            <m:sty m:val="p"/>
          </m:rPr>
          <m:t>←</m:t>
        </m:r>
        <m:r>
          <m:t>D</m:t>
        </m:r>
        <m:sSup>
          <m:e>
            <m:r>
              <m:t>β</m:t>
            </m:r>
          </m:e>
          <m:sup>
            <m:d>
              <m:dPr>
                <m:begChr m:val="("/>
                <m:endChr m:val=")"/>
                <m:sepChr m:val=""/>
                <m:grow/>
              </m:dPr>
              <m:e>
                <m:r>
                  <m:t>t</m:t>
                </m:r>
              </m:e>
            </m:d>
          </m:sup>
        </m:sSup>
      </m:oMath>
      <w:r>
        <w:br/>
      </w:r>
      <w:r>
        <w:t xml:space="preserve">if</w:t>
      </w:r>
      <w:r>
        <w:t xml:space="preserve"> </w:t>
      </w:r>
      <m:oMath>
        <m:r>
          <m:rPr>
            <m:sty m:val="p"/>
            <m:scr m:val="script"/>
          </m:rPr>
          <m:t>L</m:t>
        </m:r>
        <m:d>
          <m:dPr>
            <m:begChr m:val="("/>
            <m:endChr m:val=")"/>
            <m:sepChr m:val=""/>
            <m:grow/>
          </m:dPr>
          <m:e>
            <m:sSubSup>
              <m:e>
                <m:r>
                  <m:t>W</m:t>
                </m:r>
              </m:e>
              <m:sub>
                <m:r>
                  <m:t>c</m:t>
                </m:r>
                <m:r>
                  <m:t>a</m:t>
                </m:r>
                <m:r>
                  <m:t>n</m:t>
                </m:r>
                <m:r>
                  <m:t>d</m:t>
                </m:r>
              </m:sub>
              <m:sup>
                <m:d>
                  <m:dPr>
                    <m:begChr m:val="("/>
                    <m:endChr m:val=")"/>
                    <m:sepChr m:val=""/>
                    <m:grow/>
                  </m:dPr>
                  <m:e>
                    <m:r>
                      <m:t>t</m:t>
                    </m:r>
                    <m:r>
                      <m:rPr>
                        <m:sty m:val="p"/>
                      </m:rPr>
                      <m:t>+</m:t>
                    </m:r>
                    <m:r>
                      <m:t>1</m:t>
                    </m:r>
                  </m:e>
                </m:d>
              </m:sup>
            </m:sSubSup>
            <m:r>
              <m:rPr>
                <m:sty m:val="p"/>
              </m:rPr>
              <m:t>,</m:t>
            </m:r>
            <m:sSubSup>
              <m:e>
                <m:r>
                  <m:t>H</m:t>
                </m:r>
              </m:e>
              <m:sub>
                <m:r>
                  <m:t>c</m:t>
                </m:r>
                <m:r>
                  <m:t>a</m:t>
                </m:r>
                <m:r>
                  <m:t>n</m:t>
                </m:r>
                <m:r>
                  <m:t>d</m:t>
                </m:r>
              </m:sub>
              <m:sup>
                <m:d>
                  <m:dPr>
                    <m:begChr m:val="("/>
                    <m:endChr m:val=")"/>
                    <m:sepChr m:val=""/>
                    <m:grow/>
                  </m:dPr>
                  <m:e>
                    <m:r>
                      <m:t>t</m:t>
                    </m:r>
                    <m:r>
                      <m:rPr>
                        <m:sty m:val="p"/>
                      </m:rPr>
                      <m:t>+</m:t>
                    </m:r>
                    <m:r>
                      <m:t>1</m:t>
                    </m:r>
                  </m:e>
                </m:d>
              </m:sup>
            </m:sSubSup>
            <m:r>
              <m:rPr>
                <m:sty m:val="p"/>
              </m:rPr>
              <m:t>,</m:t>
            </m:r>
            <m:sSubSup>
              <m:e>
                <m:r>
                  <m:t>β</m:t>
                </m:r>
              </m:e>
              <m:sub>
                <m:r>
                  <m:t>c</m:t>
                </m:r>
                <m:r>
                  <m:t>a</m:t>
                </m:r>
                <m:r>
                  <m:t>n</m:t>
                </m:r>
                <m:r>
                  <m:t>d</m:t>
                </m:r>
              </m:sub>
              <m:sup>
                <m:d>
                  <m:dPr>
                    <m:begChr m:val="("/>
                    <m:endChr m:val=")"/>
                    <m:sepChr m:val=""/>
                    <m:grow/>
                  </m:dPr>
                  <m:e>
                    <m:r>
                      <m:t>t</m:t>
                    </m:r>
                  </m:e>
                </m:d>
              </m:sup>
            </m:sSubSup>
          </m:e>
        </m:d>
        <m:r>
          <m:rPr>
            <m:sty m:val="p"/>
          </m:rPr>
          <m:t>≤</m:t>
        </m:r>
        <m:r>
          <m:rPr>
            <m:sty m:val="p"/>
            <m:scr m:val="script"/>
          </m:rPr>
          <m:t>L</m:t>
        </m:r>
        <m:d>
          <m:dPr>
            <m:begChr m:val="("/>
            <m:endChr m:val=")"/>
            <m:sepChr m:val=""/>
            <m:grow/>
          </m:dPr>
          <m:e>
            <m:sSup>
              <m:e>
                <m:r>
                  <m:t>W</m:t>
                </m:r>
              </m:e>
              <m:sup>
                <m:d>
                  <m:dPr>
                    <m:begChr m:val="("/>
                    <m:endChr m:val=")"/>
                    <m:sepChr m:val=""/>
                    <m:grow/>
                  </m:dPr>
                  <m:e>
                    <m:r>
                      <m:t>t</m:t>
                    </m:r>
                  </m:e>
                </m:d>
              </m:sup>
            </m:sSup>
            <m:r>
              <m:rPr>
                <m:sty m:val="p"/>
              </m:rPr>
              <m:t>,</m:t>
            </m:r>
            <m:sSup>
              <m:e>
                <m:r>
                  <m:t>H</m:t>
                </m:r>
              </m:e>
              <m:sup>
                <m:d>
                  <m:dPr>
                    <m:begChr m:val="("/>
                    <m:endChr m:val=")"/>
                    <m:sepChr m:val=""/>
                    <m:grow/>
                  </m:dPr>
                  <m:e>
                    <m:r>
                      <m:t>t</m:t>
                    </m:r>
                    <m:r>
                      <m:rPr>
                        <m:sty m:val="p"/>
                      </m:rPr>
                      <m:t>+</m:t>
                    </m:r>
                    <m:r>
                      <m:t>1</m:t>
                    </m:r>
                  </m:e>
                </m:d>
              </m:sup>
            </m:sSup>
            <m:r>
              <m:rPr>
                <m:sty m:val="p"/>
              </m:rPr>
              <m:t>,</m:t>
            </m:r>
            <m:sSup>
              <m:e>
                <m:r>
                  <m:t>β</m:t>
                </m:r>
              </m:e>
              <m:sup>
                <m:d>
                  <m:dPr>
                    <m:begChr m:val="("/>
                    <m:endChr m:val=")"/>
                    <m:sepChr m:val=""/>
                    <m:grow/>
                  </m:dPr>
                  <m:e>
                    <m:r>
                      <m:t>t</m:t>
                    </m:r>
                  </m:e>
                </m:d>
              </m:sup>
            </m:sSup>
          </m:e>
        </m:d>
      </m:oMath>
      <w:r>
        <w:t xml:space="preserve"> </w:t>
      </w:r>
      <w:r>
        <w:t xml:space="preserve">then</w:t>
      </w:r>
      <w:r>
        <w:br/>
      </w:r>
      <m:oMath>
        <m:sSup>
          <m:e>
            <m:r>
              <m:t>W</m:t>
            </m:r>
          </m:e>
          <m:sup>
            <m:d>
              <m:dPr>
                <m:begChr m:val="("/>
                <m:endChr m:val=")"/>
                <m:sepChr m:val=""/>
                <m:grow/>
              </m:dPr>
              <m:e>
                <m:r>
                  <m:t>t</m:t>
                </m:r>
                <m:r>
                  <m:rPr>
                    <m:sty m:val="p"/>
                  </m:rPr>
                  <m:t>+</m:t>
                </m:r>
                <m:r>
                  <m:t>1</m:t>
                </m:r>
              </m:e>
            </m:d>
          </m:sup>
        </m:sSup>
        <m:r>
          <m:rPr>
            <m:sty m:val="p"/>
          </m:rPr>
          <m:t>=</m:t>
        </m:r>
        <m:sSubSup>
          <m:e>
            <m:r>
              <m:t>W</m:t>
            </m:r>
          </m:e>
          <m:sub>
            <m:r>
              <m:t>c</m:t>
            </m:r>
            <m:r>
              <m:t>a</m:t>
            </m:r>
            <m:r>
              <m:t>n</m:t>
            </m:r>
            <m:r>
              <m:t>d</m:t>
            </m:r>
          </m:sub>
          <m:sup>
            <m:d>
              <m:dPr>
                <m:begChr m:val="("/>
                <m:endChr m:val=")"/>
                <m:sepChr m:val=""/>
                <m:grow/>
              </m:dPr>
              <m:e>
                <m:r>
                  <m:t>t</m:t>
                </m:r>
                <m:r>
                  <m:rPr>
                    <m:sty m:val="p"/>
                  </m:rPr>
                  <m:t>+</m:t>
                </m:r>
                <m:r>
                  <m:t>1</m:t>
                </m:r>
              </m:e>
            </m:d>
          </m:sup>
        </m:sSubSup>
      </m:oMath>
      <w:r>
        <w:br/>
      </w:r>
      <m:oMath>
        <m:sSup>
          <m:e>
            <m:r>
              <m:t>H</m:t>
            </m:r>
          </m:e>
          <m:sup>
            <m:d>
              <m:dPr>
                <m:begChr m:val="("/>
                <m:endChr m:val=")"/>
                <m:sepChr m:val=""/>
                <m:grow/>
              </m:dPr>
              <m:e>
                <m:r>
                  <m:t>t</m:t>
                </m:r>
                <m:r>
                  <m:rPr>
                    <m:sty m:val="p"/>
                  </m:rPr>
                  <m:t>+</m:t>
                </m:r>
                <m:r>
                  <m:t>1</m:t>
                </m:r>
              </m:e>
            </m:d>
          </m:sup>
        </m:sSup>
        <m:r>
          <m:rPr>
            <m:sty m:val="p"/>
          </m:rPr>
          <m:t>=</m:t>
        </m:r>
        <m:sSubSup>
          <m:e>
            <m:r>
              <m:t>H</m:t>
            </m:r>
          </m:e>
          <m:sub>
            <m:r>
              <m:t>c</m:t>
            </m:r>
            <m:r>
              <m:t>a</m:t>
            </m:r>
            <m:r>
              <m:t>n</m:t>
            </m:r>
            <m:r>
              <m:t>d</m:t>
            </m:r>
          </m:sub>
          <m:sup>
            <m:d>
              <m:dPr>
                <m:begChr m:val="("/>
                <m:endChr m:val=")"/>
                <m:sepChr m:val=""/>
                <m:grow/>
              </m:dPr>
              <m:e>
                <m:r>
                  <m:t>t</m:t>
                </m:r>
                <m:r>
                  <m:rPr>
                    <m:sty m:val="p"/>
                  </m:rPr>
                  <m:t>+</m:t>
                </m:r>
                <m:r>
                  <m:t>1</m:t>
                </m:r>
              </m:e>
            </m:d>
          </m:sup>
        </m:sSubSup>
      </m:oMath>
      <w:r>
        <w:br/>
      </w:r>
      <m:oMath>
        <m:sSup>
          <m:e>
            <m:r>
              <m:t>β</m:t>
            </m:r>
          </m:e>
          <m:sup>
            <m:d>
              <m:dPr>
                <m:begChr m:val="("/>
                <m:endChr m:val=")"/>
                <m:sepChr m:val=""/>
                <m:grow/>
              </m:dPr>
              <m:e>
                <m:r>
                  <m:t>t</m:t>
                </m:r>
              </m:e>
            </m:d>
          </m:sup>
        </m:sSup>
        <m:r>
          <m:rPr>
            <m:sty m:val="p"/>
          </m:rPr>
          <m:t>=</m:t>
        </m:r>
        <m:sSubSup>
          <m:e>
            <m:r>
              <m:t>β</m:t>
            </m:r>
          </m:e>
          <m:sub>
            <m:r>
              <m:t>c</m:t>
            </m:r>
            <m:r>
              <m:t>a</m:t>
            </m:r>
            <m:r>
              <m:t>n</m:t>
            </m:r>
            <m:r>
              <m:t>d</m:t>
            </m:r>
          </m:sub>
          <m:sup>
            <m:d>
              <m:dPr>
                <m:begChr m:val="("/>
                <m:endChr m:val=")"/>
                <m:sepChr m:val=""/>
                <m:grow/>
              </m:dPr>
              <m:e>
                <m:r>
                  <m:t>t</m:t>
                </m:r>
              </m:e>
            </m:d>
          </m:sup>
        </m:sSubSup>
      </m:oMath>
      <w:r>
        <w:br/>
      </w:r>
      <m:oMath>
        <m:r>
          <m:t>f</m:t>
        </m:r>
        <m:r>
          <m:t>l</m:t>
        </m:r>
        <m:r>
          <m:t>a</m:t>
        </m:r>
        <m:r>
          <m:t>g</m:t>
        </m:r>
        <m:r>
          <m:rPr>
            <m:sty m:val="p"/>
          </m:rPr>
          <m:t>_</m:t>
        </m:r>
        <m:r>
          <m:t>a</m:t>
        </m:r>
        <m:r>
          <m:t>c</m:t>
        </m:r>
        <m:r>
          <m:t>c</m:t>
        </m:r>
        <m:r>
          <m:t>e</m:t>
        </m:r>
        <m:r>
          <m:t>p</m:t>
        </m:r>
        <m:r>
          <m:t>t</m:t>
        </m:r>
        <m:r>
          <m:rPr>
            <m:sty m:val="p"/>
          </m:rPr>
          <m:t>=</m:t>
        </m:r>
        <m:r>
          <m:t>T</m:t>
        </m:r>
        <m:r>
          <m:t>R</m:t>
        </m:r>
        <m:r>
          <m:t>U</m:t>
        </m:r>
        <m:r>
          <m:t>E</m:t>
        </m:r>
      </m:oMath>
      <w:r>
        <w:br/>
      </w:r>
      <w:r>
        <w:t xml:space="preserve">break</w:t>
      </w:r>
      <w:r>
        <w:br/>
      </w:r>
      <w:r>
        <w:t xml:space="preserve">end if</w:t>
      </w:r>
      <w:r>
        <w:br/>
      </w:r>
      <m:oMath>
        <m:r>
          <m:t>s</m:t>
        </m:r>
        <m:r>
          <m:rPr>
            <m:sty m:val="p"/>
          </m:rPr>
          <m:t>=</m:t>
        </m:r>
        <m:r>
          <m:t>s</m:t>
        </m:r>
        <m:r>
          <m:t>γ</m:t>
        </m:r>
      </m:oMath>
      <w:r>
        <w:br/>
      </w:r>
      <m:oMath>
        <m:r>
          <m:t>b</m:t>
        </m:r>
        <m:r>
          <m:rPr>
            <m:sty m:val="p"/>
          </m:rPr>
          <m:t>=</m:t>
        </m:r>
        <m:r>
          <m:t>b</m:t>
        </m:r>
        <m:r>
          <m:rPr>
            <m:sty m:val="p"/>
          </m:rPr>
          <m:t>+</m:t>
        </m:r>
        <m:r>
          <m:t>1</m:t>
        </m:r>
      </m:oMath>
      <w:r>
        <w:br/>
      </w:r>
      <w:r>
        <w:t xml:space="preserve">end while</w:t>
      </w:r>
      <w:r>
        <w:br/>
      </w:r>
      <w:r>
        <w:t xml:space="preserve">if</w:t>
      </w:r>
      <w:r>
        <w:t xml:space="preserve"> </w:t>
      </w:r>
      <m:oMath>
        <m:r>
          <m:t>f</m:t>
        </m:r>
        <m:r>
          <m:t>l</m:t>
        </m:r>
        <m:r>
          <m:t>a</m:t>
        </m:r>
        <m:r>
          <m:t>g</m:t>
        </m:r>
        <m:r>
          <m:rPr>
            <m:sty m:val="p"/>
          </m:rPr>
          <m:t>_</m:t>
        </m:r>
        <m:r>
          <m:t>a</m:t>
        </m:r>
        <m:r>
          <m:t>c</m:t>
        </m:r>
        <m:r>
          <m:t>c</m:t>
        </m:r>
        <m:r>
          <m:t>e</m:t>
        </m:r>
        <m:r>
          <m:t>p</m:t>
        </m:r>
        <m:r>
          <m:t>t</m:t>
        </m:r>
        <m:r>
          <m:rPr>
            <m:sty m:val="p"/>
          </m:rPr>
          <m:t>=</m:t>
        </m:r>
        <m:r>
          <m:t>F</m:t>
        </m:r>
        <m:r>
          <m:t>A</m:t>
        </m:r>
        <m:r>
          <m:t>L</m:t>
        </m:r>
        <m:r>
          <m:t>S</m:t>
        </m:r>
        <m:r>
          <m:t>E</m:t>
        </m:r>
      </m:oMath>
      <w:r>
        <w:t xml:space="preserve"> </w:t>
      </w:r>
      <w:r>
        <w:t xml:space="preserve">then</w:t>
      </w:r>
      <w:r>
        <w:br/>
      </w:r>
      <m:oMath>
        <m:sSup>
          <m:e>
            <m:r>
              <m:t>W</m:t>
            </m:r>
          </m:e>
          <m:sup>
            <m:d>
              <m:dPr>
                <m:begChr m:val="("/>
                <m:endChr m:val=")"/>
                <m:sepChr m:val=""/>
                <m:grow/>
              </m:dPr>
              <m:e>
                <m:r>
                  <m:t>t</m:t>
                </m:r>
                <m:r>
                  <m:rPr>
                    <m:sty m:val="p"/>
                  </m:rPr>
                  <m:t>+</m:t>
                </m:r>
                <m:r>
                  <m:t>1</m:t>
                </m:r>
              </m:e>
            </m:d>
          </m:sup>
        </m:sSup>
        <m:r>
          <m:rPr>
            <m:sty m:val="p"/>
          </m:rPr>
          <m:t>=</m:t>
        </m:r>
        <m:sSup>
          <m:e>
            <m:r>
              <m:t>W</m:t>
            </m:r>
          </m:e>
          <m:sup>
            <m:d>
              <m:dPr>
                <m:begChr m:val="("/>
                <m:endChr m:val=")"/>
                <m:sepChr m:val=""/>
                <m:grow/>
              </m:dPr>
              <m:e>
                <m:r>
                  <m:t>t</m:t>
                </m:r>
              </m:e>
            </m:d>
          </m:sup>
        </m:sSup>
      </m:oMath>
      <w:r>
        <w:br/>
      </w:r>
      <w:r>
        <w:t xml:space="preserve">end if</w:t>
      </w:r>
    </w:p>
    <w:p>
      <w:pPr>
        <w:pStyle w:val="BodyText"/>
      </w:pPr>
      <w:r>
        <w:t xml:space="preserve">In all reported fits</w:t>
      </w:r>
      <w:r>
        <w:t xml:space="preserve"> </w:t>
      </w:r>
      <m:oMath>
        <m:sSub>
          <m:e>
            <m:r>
              <m:t>s</m:t>
            </m:r>
          </m:e>
          <m:sub>
            <m:r>
              <m:t>0</m:t>
            </m:r>
          </m:sub>
        </m:sSub>
        <m:r>
          <m:rPr>
            <m:sty m:val="p"/>
          </m:rPr>
          <m:t>=</m:t>
        </m:r>
        <m:r>
          <m:t>0.5</m:t>
        </m:r>
      </m:oMath>
      <w:r>
        <w:t xml:space="preserve">,</w:t>
      </w:r>
      <w:r>
        <w:t xml:space="preserve"> </w:t>
      </w:r>
      <m:oMath>
        <m:r>
          <m:t>γ</m:t>
        </m:r>
        <m:r>
          <m:rPr>
            <m:sty m:val="p"/>
          </m:rPr>
          <m:t>=</m:t>
        </m:r>
        <m:r>
          <m:t>0.5</m:t>
        </m:r>
      </m:oMath>
      <w:r>
        <w:t xml:space="preserve"> </w:t>
      </w:r>
      <w:r>
        <w:t xml:space="preserve">and</w:t>
      </w:r>
      <w:r>
        <w:t xml:space="preserve"> </w:t>
      </w:r>
      <m:oMath>
        <m:r>
          <m:t>m</m:t>
        </m:r>
        <m:r>
          <m:t>a</m:t>
        </m:r>
        <m:r>
          <m:t>x</m:t>
        </m:r>
        <m:r>
          <m:rPr>
            <m:sty m:val="p"/>
          </m:rPr>
          <m:t>_</m:t>
        </m:r>
        <m:r>
          <m:t>b</m:t>
        </m:r>
        <m:r>
          <m:t>t</m:t>
        </m:r>
        <m:r>
          <m:rPr>
            <m:sty m:val="p"/>
          </m:rPr>
          <m:t>=</m:t>
        </m:r>
        <m:r>
          <m:t>10</m:t>
        </m:r>
      </m:oMath>
      <w:r>
        <w:t xml:space="preserve"> </w:t>
      </w:r>
      <w:r>
        <w:t xml:space="preserve">(the values passed by the package’s R wrapper to the optimizer).</w:t>
      </w:r>
      <w:r>
        <w:t xml:space="preserve"> </w:t>
      </w:r>
      <w:r>
        <w:t xml:space="preserve">The column normalization inside the line search is described in Normalization</w:t>
      </w:r>
      <w:r>
        <w:t xml:space="preserve"> </w:t>
      </w:r>
      <w:r>
        <w:t xml:space="preserve">of</w:t>
      </w:r>
      <w:r>
        <w:t xml:space="preserve"> </w:t>
      </w:r>
      <m:oMath>
        <m:r>
          <m:t>W</m:t>
        </m:r>
      </m:oMath>
      <w:r>
        <w:t xml:space="preserve"> </w:t>
      </w:r>
      <w:r>
        <w:t xml:space="preserve">below; it is applied to each candidate before the objective is compared,</w:t>
      </w:r>
      <w:r>
        <w:t xml:space="preserve"> </w:t>
      </w:r>
      <w:r>
        <w:t xml:space="preserve">so the accepted update is the normalized one. The score standard deviations</w:t>
      </w:r>
      <w:r>
        <w:t xml:space="preserve"> </w:t>
      </w:r>
      <m:oMath>
        <m:sSub>
          <m:e>
            <m:r>
              <m:t>D</m:t>
            </m:r>
          </m:e>
          <m:sub>
            <m:r>
              <m:t>Z</m:t>
            </m:r>
          </m:sub>
        </m:sSub>
      </m:oMath>
      <w:r>
        <w:t xml:space="preserve"> </w:t>
      </w:r>
      <w:r>
        <w:t xml:space="preserve">that enter the penalty (Model details) are recomputed from each candidate,</w:t>
      </w:r>
      <w:r>
        <w:t xml:space="preserve"> </w:t>
      </w:r>
      <w:r>
        <w:t xml:space="preserve">as</w:t>
      </w:r>
      <w:r>
        <w:t xml:space="preserve"> </w:t>
      </w:r>
      <m:oMath>
        <m:r>
          <m:rPr>
            <m:sty m:val="p"/>
          </m:rPr>
          <m:t>s</m:t>
        </m:r>
        <m:r>
          <m:rPr>
            <m:sty m:val="p"/>
          </m:rPr>
          <m:t>d</m:t>
        </m:r>
        <m:d>
          <m:dPr>
            <m:begChr m:val="("/>
            <m:endChr m:val=")"/>
            <m:sepChr m:val=""/>
            <m:grow/>
          </m:dPr>
          <m:e>
            <m:sSub>
              <m:e>
                <m:r>
                  <m:t>Z</m:t>
                </m:r>
              </m:e>
              <m:sub>
                <m:r>
                  <m:t>j</m:t>
                </m:r>
                <m:r>
                  <m:rPr>
                    <m:sty m:val="p"/>
                  </m:rPr>
                  <m:t>⋅</m:t>
                </m:r>
              </m:sub>
            </m:sSub>
          </m:e>
        </m:d>
      </m:oMath>
      <w:r>
        <w:t xml:space="preserve"> </w:t>
      </w:r>
      <w:r>
        <w:t xml:space="preserve">with</w:t>
      </w:r>
      <w:r>
        <w:t xml:space="preserve"> </w:t>
      </w:r>
      <m:oMath>
        <m:r>
          <m:t>Z</m:t>
        </m:r>
        <m:r>
          <m:rPr>
            <m:sty m:val="p"/>
          </m:rPr>
          <m:t>=</m:t>
        </m:r>
        <m:sSubSup>
          <m:e>
            <m:r>
              <m:t>W</m:t>
            </m:r>
          </m:e>
          <m:sub>
            <m:r>
              <m:t>c</m:t>
            </m:r>
            <m:r>
              <m:t>a</m:t>
            </m:r>
            <m:r>
              <m:t>n</m:t>
            </m:r>
            <m:r>
              <m:t>d</m:t>
            </m:r>
          </m:sub>
          <m:sup>
            <m:r>
              <m:rPr>
                <m:sty m:val="p"/>
              </m:rPr>
              <m:t>⊤</m:t>
            </m:r>
          </m:sup>
        </m:sSubSup>
        <m:r>
          <m:t>X</m:t>
        </m:r>
      </m:oMath>
      <w:r>
        <w:t xml:space="preserve">, and are carried forward</w:t>
      </w:r>
      <w:r>
        <w:t xml:space="preserve"> </w:t>
      </w:r>
      <w:r>
        <w:t xml:space="preserve">only when that candidate is accepted; a rejected candidate leaves</w:t>
      </w:r>
      <w:r>
        <w:t xml:space="preserve"> </w:t>
      </w:r>
      <m:oMath>
        <m:r>
          <m:t>W</m:t>
        </m:r>
      </m:oMath>
      <w:r>
        <w:t xml:space="preserve">,</w:t>
      </w:r>
      <w:r>
        <w:t xml:space="preserve"> </w:t>
      </w:r>
      <m:oMath>
        <m:r>
          <m:t>H</m:t>
        </m:r>
      </m:oMath>
      <w:r>
        <w:t xml:space="preserve">,</w:t>
      </w:r>
      <w:r>
        <w:t xml:space="preserve"> </w:t>
      </w:r>
      <m:oMath>
        <m:r>
          <m:t>β</m:t>
        </m:r>
      </m:oMath>
      <w:r>
        <w:t xml:space="preserve"> </w:t>
      </w:r>
      <w:r>
        <w:t xml:space="preserve">and</w:t>
      </w:r>
      <w:r>
        <w:t xml:space="preserve"> </w:t>
      </w:r>
      <m:oMath>
        <m:sSub>
          <m:e>
            <m:r>
              <m:t>D</m:t>
            </m:r>
          </m:e>
          <m:sub>
            <m:r>
              <m:t>Z</m:t>
            </m:r>
          </m:sub>
        </m:sSub>
      </m:oMath>
      <w:r>
        <w:t xml:space="preserve"> </w:t>
      </w:r>
      <w:r>
        <w:t xml:space="preserve">at their previous values.</w:t>
      </w:r>
    </w:p>
    <w:bookmarkEnd w:id="24"/>
    <w:bookmarkStart w:id="25" w:name="update-for-beta"/>
    <w:p>
      <w:pPr>
        <w:pStyle w:val="Heading2"/>
      </w:pPr>
      <w:r>
        <w:t xml:space="preserve">Update for</w:t>
      </w:r>
      <w:r>
        <w:t xml:space="preserve"> </w:t>
      </w:r>
      <m:oMath>
        <m:r>
          <m:t>β</m:t>
        </m:r>
      </m:oMath>
    </w:p>
    <w:p>
      <w:pPr>
        <w:pStyle w:val="FirstParagraph"/>
      </w:pPr>
      <w:r>
        <w:t xml:space="preserve">Conditional on</w:t>
      </w:r>
      <w:r>
        <w:t xml:space="preserve"> </w:t>
      </w:r>
      <m:oMath>
        <m:d>
          <m:dPr>
            <m:begChr m:val="("/>
            <m:endChr m:val=")"/>
            <m:sepChr m:val=""/>
            <m:grow/>
          </m:dPr>
          <m:e>
            <m:r>
              <m:t>W</m:t>
            </m:r>
            <m:r>
              <m:rPr>
                <m:sty m:val="p"/>
              </m:rPr>
              <m:t>,</m:t>
            </m:r>
            <m:r>
              <m:t>H</m:t>
            </m:r>
          </m:e>
        </m:d>
      </m:oMath>
      <w:r>
        <w:t xml:space="preserve">, the loss in</w:t>
      </w:r>
      <w:r>
        <w:t xml:space="preserve"> </w:t>
      </w:r>
      <m:oMath>
        <m:r>
          <m:t>β</m:t>
        </m:r>
      </m:oMath>
      <w:r>
        <w:t xml:space="preserve"> </w:t>
      </w:r>
      <w:r>
        <w:t xml:space="preserve">reduces to a convex</w:t>
      </w:r>
      <w:r>
        <w:t xml:space="preserve"> </w:t>
      </w:r>
      <w:r>
        <w:t xml:space="preserve">elastic-net–penalized Cox problem in the standardized-score coefficients</w:t>
      </w:r>
      <w:r>
        <w:t xml:space="preserve"> </w:t>
      </w:r>
      <m:oMath>
        <m:r>
          <m:t>b</m:t>
        </m:r>
        <m:r>
          <m:rPr>
            <m:sty m:val="p"/>
          </m:rPr>
          <m:t>=</m:t>
        </m:r>
        <m:sSub>
          <m:e>
            <m:r>
              <m:t>D</m:t>
            </m:r>
          </m:e>
          <m:sub>
            <m:r>
              <m:t>Z</m:t>
            </m:r>
          </m:sub>
        </m:sSub>
        <m:r>
          <m:t>β</m:t>
        </m:r>
      </m:oMath>
      <w:r>
        <w:t xml:space="preserve">; the common factor</w:t>
      </w:r>
      <w:r>
        <w:t xml:space="preserve"> </w:t>
      </w:r>
      <m:oMath>
        <m:r>
          <m:t>α</m:t>
        </m:r>
        <m:r>
          <m:rPr>
            <m:sty m:val="p"/>
          </m:rPr>
          <m:t>&gt;</m:t>
        </m:r>
        <m:r>
          <m:t>0</m:t>
        </m:r>
      </m:oMath>
      <w:r>
        <w:t xml:space="preserve"> </w:t>
      </w:r>
      <w:r>
        <w:t xml:space="preserve">multiplies both</w:t>
      </w:r>
      <w:r>
        <w:t xml:space="preserve"> </w:t>
      </w:r>
      <w:r>
        <w:t xml:space="preserve">the log-partial-likelihood and the penalty in the joint loss (main-text Equation 1) and is</w:t>
      </w:r>
      <w:r>
        <w:t xml:space="preserve"> </w:t>
      </w:r>
      <w:r>
        <w:t xml:space="preserve">dropped here, as it does not affect the minimizer,</w:t>
      </w:r>
      <w:r>
        <w:t xml:space="preserve"> </w:t>
      </w:r>
      <w:r>
        <w:t xml:space="preserve">[</w:t>
      </w:r>
      <w:r>
        <w:t xml:space="preserve"> </w:t>
      </w:r>
      <w:r>
        <w:t xml:space="preserve">\min_{b \in \mathbb{R}^k}</w:t>
      </w:r>
      <w:r>
        <w:t xml:space="preserve"> </w:t>
      </w:r>
      <w:r>
        <w:t xml:space="preserve">\left{</w:t>
      </w:r>
      <w:r>
        <w:t xml:space="preserve"> </w:t>
      </w:r>
      <w:r>
        <w:t xml:space="preserve">-\frac{2}{n_{\mathrm{event}}},\ell(W, D_Z^{-1} b)</w:t>
      </w:r>
      <w:r>
        <w:t xml:space="preserve"> </w:t>
      </w:r>
      <w:r>
        <w:t xml:space="preserve">+</w:t>
      </w:r>
      <w:r>
        <w:t xml:space="preserve"> </w:t>
      </w:r>
      <w:r>
        <w:t xml:space="preserve">\lambda\left(</w:t>
      </w:r>
      <w:r>
        <w:t xml:space="preserve"> </w:t>
      </w:r>
      <w:r>
        <w:t xml:space="preserve">\xi \lVert b \rVert_1</w:t>
      </w:r>
      <w:r>
        <w:t xml:space="preserve"> </w:t>
      </w:r>
      <w:r>
        <w:t xml:space="preserve">+\frac{1-\xi}{2} \lVert b \rVert_2^2</w:t>
      </w:r>
      <w:r>
        <w:t xml:space="preserve"> </w:t>
      </w:r>
      <w:r>
        <w:t xml:space="preserve">\right)</w:t>
      </w:r>
      <w:r>
        <w:t xml:space="preserve"> </w:t>
      </w:r>
      <w:r>
        <w:t xml:space="preserve">\right},</w:t>
      </w:r>
      <w:r>
        <w:t xml:space="preserve"> </w:t>
      </w:r>
      <w:r>
        <w:t xml:space="preserve">]</w:t>
      </w:r>
      <w:r>
        <w:t xml:space="preserve"> </w:t>
      </w:r>
      <w:r>
        <w:t xml:space="preserve">with</w:t>
      </w:r>
      <w:r>
        <w:t xml:space="preserve"> </w:t>
      </w:r>
      <m:oMath>
        <m:sSub>
          <m:e>
            <m:r>
              <m:t>D</m:t>
            </m:r>
          </m:e>
          <m:sub>
            <m:r>
              <m:t>Z</m:t>
            </m:r>
          </m:sub>
        </m:sSub>
      </m:oMath>
      <w:r>
        <w:t xml:space="preserve"> </w:t>
      </w:r>
      <w:r>
        <w:t xml:space="preserve">held at the value implied by the current</w:t>
      </w:r>
      <w:r>
        <w:t xml:space="preserve"> </w:t>
      </w:r>
      <m:oMath>
        <m:r>
          <m:t>W</m:t>
        </m:r>
      </m:oMath>
      <w:r>
        <w:t xml:space="preserve">. The coefficients</w:t>
      </w:r>
      <w:r>
        <w:t xml:space="preserve"> </w:t>
      </w:r>
      <w:r>
        <w:t xml:space="preserve">reported throughout the manuscript are the raw-score coefficients</w:t>
      </w:r>
      <w:r>
        <w:t xml:space="preserve"> </w:t>
      </w:r>
      <m:oMath>
        <m:r>
          <m:t>β</m:t>
        </m:r>
        <m:r>
          <m:rPr>
            <m:sty m:val="p"/>
          </m:rPr>
          <m:t>=</m:t>
        </m:r>
        <m:sSubSup>
          <m:e>
            <m:r>
              <m:t>D</m:t>
            </m:r>
          </m:e>
          <m:sub>
            <m:r>
              <m:t>Z</m:t>
            </m:r>
          </m:sub>
          <m:sup>
            <m:r>
              <m:rPr>
                <m:sty m:val="p"/>
              </m:rPr>
              <m:t>−</m:t>
            </m:r>
            <m:r>
              <m:t>1</m:t>
            </m:r>
          </m:sup>
        </m:sSubSup>
        <m:r>
          <m:t>b</m:t>
        </m:r>
      </m:oMath>
      <w:r>
        <w:t xml:space="preserve"> </w:t>
      </w:r>
      <w:r>
        <w:t xml:space="preserve">on the retained rows.</w:t>
      </w:r>
      <w:r>
        <w:t xml:space="preserve"> </w:t>
      </w:r>
      <w:r>
        <w:t xml:space="preserve">We update</w:t>
      </w:r>
      <w:r>
        <w:t xml:space="preserve"> </w:t>
      </w:r>
      <m:oMath>
        <m:r>
          <m:t>b</m:t>
        </m:r>
      </m:oMath>
      <w:r>
        <w:t xml:space="preserve"> </w:t>
      </w:r>
      <w:r>
        <w:t xml:space="preserve">by cyclic coordinate descent following</w:t>
      </w:r>
      <w:hyperlink w:anchor="ref-simon2011regularization">
        <w:r>
          <w:rPr>
            <w:rStyle w:val="Hyperlink"/>
            <w:vertAlign w:val="superscript"/>
          </w:rPr>
          <w:t xml:space="preserve">3</w:t>
        </w:r>
      </w:hyperlink>
      <w:r>
        <w:t xml:space="preserve">. Let</w:t>
      </w:r>
      <w:r>
        <w:t xml:space="preserve"> </w:t>
      </w:r>
      <m:oMath>
        <m:sSub>
          <m:e>
            <m:acc>
              <m:accPr>
                <m:chr m:val="̃"/>
              </m:accPr>
              <m:e>
                <m:r>
                  <m:t>z</m:t>
                </m:r>
              </m:e>
            </m:acc>
          </m:e>
          <m:sub>
            <m:r>
              <m:t>i</m:t>
            </m:r>
          </m:sub>
        </m:sSub>
        <m:r>
          <m:rPr>
            <m:sty m:val="p"/>
          </m:rPr>
          <m:t>=</m:t>
        </m:r>
        <m:sSubSup>
          <m:e>
            <m:r>
              <m:t>D</m:t>
            </m:r>
          </m:e>
          <m:sub>
            <m:r>
              <m:t>Z</m:t>
            </m:r>
          </m:sub>
          <m:sup>
            <m:r>
              <m:rPr>
                <m:sty m:val="p"/>
              </m:rPr>
              <m:t>−</m:t>
            </m:r>
            <m:r>
              <m:t>1</m:t>
            </m:r>
          </m:sup>
        </m:sSubSup>
        <m:d>
          <m:dPr>
            <m:begChr m:val="("/>
            <m:endChr m:val=")"/>
            <m:sepChr m:val=""/>
            <m:grow/>
          </m:dPr>
          <m:e>
            <m:sSub>
              <m:e>
                <m:r>
                  <m:t>Z</m:t>
                </m:r>
              </m:e>
              <m:sub>
                <m:r>
                  <m:t>i</m:t>
                </m:r>
              </m:sub>
            </m:sSub>
            <m:r>
              <m:rPr>
                <m:sty m:val="p"/>
              </m:rPr>
              <m:t>−</m:t>
            </m:r>
            <m:acc>
              <m:accPr>
                <m:chr m:val="‾"/>
              </m:accPr>
              <m:e>
                <m:r>
                  <m:t>Z</m:t>
                </m:r>
              </m:e>
            </m:acc>
          </m:e>
        </m:d>
      </m:oMath>
      <w:r>
        <w:t xml:space="preserve"> </w:t>
      </w:r>
      <w:r>
        <w:t xml:space="preserve">denote</w:t>
      </w:r>
      <w:r>
        <w:t xml:space="preserve"> </w:t>
      </w:r>
      <w:r>
        <w:t xml:space="preserve">the centered and standardized score vector of sample</w:t>
      </w:r>
      <w:r>
        <w:t xml:space="preserve"> </w:t>
      </w:r>
      <m:oMath>
        <m:r>
          <m:t>i</m:t>
        </m:r>
      </m:oMath>
      <w:r>
        <w:t xml:space="preserve">, with</w:t>
      </w:r>
      <w:r>
        <w:t xml:space="preserve"> </w:t>
      </w:r>
      <m:oMath>
        <m:sSub>
          <m:e>
            <m:r>
              <m:t>Z</m:t>
            </m:r>
          </m:e>
          <m:sub>
            <m:r>
              <m:t>i</m:t>
            </m:r>
          </m:sub>
        </m:sSub>
      </m:oMath>
      <w:r>
        <w:t xml:space="preserve"> </w:t>
      </w:r>
      <w:r>
        <w:t xml:space="preserve">the</w:t>
      </w:r>
      <w:r>
        <w:t xml:space="preserve"> </w:t>
      </w:r>
      <m:oMath>
        <m:r>
          <m:t>i</m:t>
        </m:r>
      </m:oMath>
      <w:r>
        <w:t xml:space="preserve">th</w:t>
      </w:r>
      <w:r>
        <w:t xml:space="preserve"> </w:t>
      </w:r>
      <w:r>
        <w:t xml:space="preserve">column of the raw scores</w:t>
      </w:r>
      <w:r>
        <w:t xml:space="preserve"> </w:t>
      </w:r>
      <m:oMath>
        <m:r>
          <m:t>Z</m:t>
        </m:r>
      </m:oMath>
      <w:r>
        <w:t xml:space="preserve"> </w:t>
      </w:r>
      <w:r>
        <w:t xml:space="preserve">and</w:t>
      </w:r>
      <w:r>
        <w:t xml:space="preserve"> </w:t>
      </w:r>
      <m:oMath>
        <m:acc>
          <m:accPr>
            <m:chr m:val="‾"/>
          </m:accPr>
          <m:e>
            <m:r>
              <m:t>Z</m:t>
            </m:r>
          </m:e>
        </m:acc>
      </m:oMath>
      <w:r>
        <w:t xml:space="preserve"> </w:t>
      </w:r>
      <w:r>
        <w:t xml:space="preserve">the vector of row means, and write</w:t>
      </w:r>
      <w:r>
        <w:t xml:space="preserve"> </w:t>
      </w:r>
      <m:oMath>
        <m:sSub>
          <m:e>
            <m:acc>
              <m:accPr>
                <m:chr m:val="̃"/>
              </m:accPr>
              <m:e>
                <m:r>
                  <m:t>η</m:t>
                </m:r>
              </m:e>
            </m:acc>
          </m:e>
          <m:sub>
            <m:r>
              <m:t>i</m:t>
            </m:r>
          </m:sub>
        </m:sSub>
        <m:r>
          <m:rPr>
            <m:sty m:val="p"/>
          </m:rPr>
          <m:t>=</m:t>
        </m:r>
        <m:sSubSup>
          <m:e>
            <m:acc>
              <m:accPr>
                <m:chr m:val="̃"/>
              </m:accPr>
              <m:e>
                <m:r>
                  <m:t>z</m:t>
                </m:r>
              </m:e>
            </m:acc>
          </m:e>
          <m:sub>
            <m:r>
              <m:t>i</m:t>
            </m:r>
          </m:sub>
          <m:sup>
            <m:r>
              <m:rPr>
                <m:sty m:val="p"/>
              </m:rPr>
              <m:t>⊤</m:t>
            </m:r>
          </m:sup>
        </m:sSubSup>
        <m:r>
          <m:t>b</m:t>
        </m:r>
      </m:oMath>
      <w:r>
        <w:t xml:space="preserve">, which equals</w:t>
      </w:r>
      <w:r>
        <w:t xml:space="preserve"> </w:t>
      </w:r>
      <m:oMath>
        <m:sSubSup>
          <m:e>
            <m:r>
              <m:t>Z</m:t>
            </m:r>
          </m:e>
          <m:sub>
            <m:r>
              <m:t>i</m:t>
            </m:r>
          </m:sub>
          <m:sup>
            <m:r>
              <m:rPr>
                <m:sty m:val="p"/>
              </m:rPr>
              <m:t>⊤</m:t>
            </m:r>
          </m:sup>
        </m:sSubSup>
        <m:r>
          <m:t>β</m:t>
        </m:r>
      </m:oMath>
      <w:r>
        <w:t xml:space="preserve"> </w:t>
      </w:r>
      <w:r>
        <w:t xml:space="preserve">up to an</w:t>
      </w:r>
      <w:r>
        <w:t xml:space="preserve"> </w:t>
      </w:r>
      <w:r>
        <w:t xml:space="preserve">additive constant common to all samples. The update for coordinate</w:t>
      </w:r>
      <w:r>
        <w:t xml:space="preserve"> </w:t>
      </w:r>
      <m:oMath>
        <m:r>
          <m:t>r</m:t>
        </m:r>
      </m:oMath>
      <w:r>
        <w:t xml:space="preserve"> </w:t>
      </w:r>
      <w:r>
        <w:t xml:space="preserve">has the</w:t>
      </w:r>
      <w:r>
        <w:t xml:space="preserve"> </w:t>
      </w:r>
      <w:r>
        <w:t xml:space="preserve">closed form</w:t>
      </w:r>
    </w:p>
    <w:p>
      <w:pPr>
        <w:pStyle w:val="BodyText"/>
      </w:pPr>
      <m:oMathPara>
        <m:oMathParaPr>
          <m:jc m:val="center"/>
        </m:oMathParaPr>
        <m:oMath>
          <m:sSub>
            <m:e>
              <m:acc>
                <m:accPr>
                  <m:chr m:val="̂"/>
                </m:accPr>
                <m:e>
                  <m:r>
                    <m:t>b</m:t>
                  </m:r>
                </m:e>
              </m:acc>
            </m:e>
            <m:sub>
              <m:r>
                <m:t>r</m:t>
              </m:r>
            </m:sub>
          </m:sSub>
          <m:r>
            <m:rPr>
              <m:sty m:val="p"/>
            </m:rPr>
            <m:t>=</m:t>
          </m:r>
          <m:f>
            <m:fPr>
              <m:type m:val="bar"/>
            </m:fPr>
            <m:num>
              <m:r>
                <m:t>S</m:t>
              </m:r>
              <m:r>
                <m:t>​</m:t>
              </m:r>
              <m:d>
                <m:dPr>
                  <m:begChr m:val="("/>
                  <m:endChr m:val=")"/>
                  <m:sepChr m:val=""/>
                  <m:grow/>
                </m:dPr>
                <m:e>
                  <m:f>
                    <m:fPr>
                      <m:type m:val="bar"/>
                    </m:fPr>
                    <m:num>
                      <m:r>
                        <m:t>1</m:t>
                      </m:r>
                    </m:num>
                    <m:den>
                      <m:sSub>
                        <m:e>
                          <m:r>
                            <m:t>n</m:t>
                          </m:r>
                        </m:e>
                        <m:sub>
                          <m:r>
                            <m:rPr>
                              <m:sty m:val="p"/>
                            </m:rPr>
                            <m:t>e</m:t>
                          </m:r>
                          <m:r>
                            <m:rPr>
                              <m:sty m:val="p"/>
                            </m:rPr>
                            <m:t>v</m:t>
                          </m:r>
                          <m:r>
                            <m:rPr>
                              <m:sty m:val="p"/>
                            </m:rPr>
                            <m:t>e</m:t>
                          </m:r>
                          <m:r>
                            <m:rPr>
                              <m:sty m:val="p"/>
                            </m:rPr>
                            <m:t>n</m:t>
                          </m:r>
                          <m:r>
                            <m:rPr>
                              <m:sty m:val="p"/>
                            </m:rPr>
                            <m:t>t</m:t>
                          </m:r>
                        </m:sub>
                      </m:sSub>
                    </m:den>
                  </m:f>
                  <m:nary>
                    <m:naryPr>
                      <m:chr m:val="∑"/>
                      <m:limLoc m:val="undOvr"/>
                      <m:subHide m:val="off"/>
                      <m:supHide m:val="off"/>
                    </m:naryPr>
                    <m:sub>
                      <m:r>
                        <m:t>i</m:t>
                      </m:r>
                      <m:r>
                        <m:rPr>
                          <m:sty m:val="p"/>
                        </m:rPr>
                        <m:t>=</m:t>
                      </m:r>
                      <m:r>
                        <m:t>1</m:t>
                      </m:r>
                    </m:sub>
                    <m:sup>
                      <m:r>
                        <m:t>n</m:t>
                      </m:r>
                    </m:sup>
                    <m:e>
                      <m:r>
                        <m:t>w</m:t>
                      </m:r>
                    </m:e>
                  </m:nary>
                  <m:sSub>
                    <m:e>
                      <m:d>
                        <m:dPr>
                          <m:begChr m:val="("/>
                          <m:endChr m:val=")"/>
                          <m:sepChr m:val=""/>
                          <m:grow/>
                        </m:dPr>
                        <m:e>
                          <m:acc>
                            <m:accPr>
                              <m:chr m:val="̃"/>
                            </m:accPr>
                            <m:e>
                              <m:r>
                                <m:t>η</m:t>
                              </m:r>
                            </m:e>
                          </m:acc>
                        </m:e>
                      </m:d>
                    </m:e>
                    <m:sub>
                      <m:r>
                        <m:t>i</m:t>
                      </m:r>
                    </m:sub>
                  </m:sSub>
                  <m:sSub>
                    <m:e>
                      <m:r>
                        <m:t>z</m:t>
                      </m:r>
                    </m:e>
                    <m:sub>
                      <m:r>
                        <m:t>i</m:t>
                      </m:r>
                      <m:r>
                        <m:rPr>
                          <m:sty m:val="p"/>
                        </m:rPr>
                        <m:t>,</m:t>
                      </m:r>
                      <m:r>
                        <m:t>r</m:t>
                      </m:r>
                    </m:sub>
                  </m:sSub>
                  <m:d>
                    <m:dPr>
                      <m:begChr m:val="["/>
                      <m:endChr m:val="]"/>
                      <m:sepChr m:val=""/>
                      <m:grow/>
                    </m:dPr>
                    <m:e>
                      <m:r>
                        <m:t>v</m:t>
                      </m:r>
                      <m:sSub>
                        <m:e>
                          <m:d>
                            <m:dPr>
                              <m:begChr m:val="("/>
                              <m:endChr m:val=")"/>
                              <m:sepChr m:val=""/>
                              <m:grow/>
                            </m:dPr>
                            <m:e>
                              <m:acc>
                                <m:accPr>
                                  <m:chr m:val="̃"/>
                                </m:accPr>
                                <m:e>
                                  <m:r>
                                    <m:t>η</m:t>
                                  </m:r>
                                </m:e>
                              </m:acc>
                            </m:e>
                          </m:d>
                        </m:e>
                        <m:sub>
                          <m:r>
                            <m:t>i</m:t>
                          </m:r>
                        </m:sub>
                      </m:sSub>
                      <m:r>
                        <m:rPr>
                          <m:sty m:val="p"/>
                        </m:rPr>
                        <m:t>−</m:t>
                      </m:r>
                      <m:nary>
                        <m:naryPr>
                          <m:chr m:val="∑"/>
                          <m:limLoc m:val="undOvr"/>
                          <m:subHide m:val="off"/>
                          <m:supHide m:val="on"/>
                        </m:naryPr>
                        <m:sub>
                          <m:r>
                            <m:t>j</m:t>
                          </m:r>
                          <m:r>
                            <m:rPr>
                              <m:sty m:val="p"/>
                            </m:rPr>
                            <m:t>≠</m:t>
                          </m:r>
                          <m:r>
                            <m:t>r</m:t>
                          </m:r>
                        </m:sub>
                        <m:sup>
                          <m:r>
                            <m:t>​</m:t>
                          </m:r>
                        </m:sup>
                        <m:e>
                          <m:sSub>
                            <m:e>
                              <m:r>
                                <m:t>z</m:t>
                              </m:r>
                            </m:e>
                            <m:sub>
                              <m:r>
                                <m:t>i</m:t>
                              </m:r>
                              <m:r>
                                <m:rPr>
                                  <m:sty m:val="p"/>
                                </m:rPr>
                                <m:t>,</m:t>
                              </m:r>
                              <m:r>
                                <m:t>j</m:t>
                              </m:r>
                            </m:sub>
                          </m:sSub>
                        </m:e>
                      </m:nary>
                      <m:sSub>
                        <m:e>
                          <m:r>
                            <m:t>b</m:t>
                          </m:r>
                        </m:e>
                        <m:sub>
                          <m:r>
                            <m:t>j</m:t>
                          </m:r>
                        </m:sub>
                      </m:sSub>
                    </m:e>
                  </m:d>
                  <m:r>
                    <m:rPr>
                      <m:sty m:val="p"/>
                    </m:rPr>
                    <m:t>,</m:t>
                  </m:r>
                  <m:r>
                    <m:t>λ</m:t>
                  </m:r>
                  <m:r>
                    <m:t>ξ</m:t>
                  </m:r>
                </m:e>
              </m:d>
            </m:num>
            <m:den>
              <m:f>
                <m:fPr>
                  <m:type m:val="bar"/>
                </m:fPr>
                <m:num>
                  <m:r>
                    <m:t>1</m:t>
                  </m:r>
                </m:num>
                <m:den>
                  <m:sSub>
                    <m:e>
                      <m:r>
                        <m:t>n</m:t>
                      </m:r>
                    </m:e>
                    <m:sub>
                      <m:r>
                        <m:rPr>
                          <m:sty m:val="p"/>
                        </m:rPr>
                        <m:t>e</m:t>
                      </m:r>
                      <m:r>
                        <m:rPr>
                          <m:sty m:val="p"/>
                        </m:rPr>
                        <m:t>v</m:t>
                      </m:r>
                      <m:r>
                        <m:rPr>
                          <m:sty m:val="p"/>
                        </m:rPr>
                        <m:t>e</m:t>
                      </m:r>
                      <m:r>
                        <m:rPr>
                          <m:sty m:val="p"/>
                        </m:rPr>
                        <m:t>n</m:t>
                      </m:r>
                      <m:r>
                        <m:rPr>
                          <m:sty m:val="p"/>
                        </m:rPr>
                        <m:t>t</m:t>
                      </m:r>
                    </m:sub>
                  </m:sSub>
                </m:den>
              </m:f>
              <m:nary>
                <m:naryPr>
                  <m:chr m:val="∑"/>
                  <m:limLoc m:val="undOvr"/>
                  <m:subHide m:val="off"/>
                  <m:supHide m:val="off"/>
                </m:naryPr>
                <m:sub>
                  <m:r>
                    <m:t>i</m:t>
                  </m:r>
                  <m:r>
                    <m:rPr>
                      <m:sty m:val="p"/>
                    </m:rPr>
                    <m:t>=</m:t>
                  </m:r>
                  <m:r>
                    <m:t>1</m:t>
                  </m:r>
                </m:sub>
                <m:sup>
                  <m:r>
                    <m:t>n</m:t>
                  </m:r>
                </m:sup>
                <m:e>
                  <m:r>
                    <m:t>w</m:t>
                  </m:r>
                </m:e>
              </m:nary>
              <m:sSub>
                <m:e>
                  <m:d>
                    <m:dPr>
                      <m:begChr m:val="("/>
                      <m:endChr m:val=")"/>
                      <m:sepChr m:val=""/>
                      <m:grow/>
                    </m:dPr>
                    <m:e>
                      <m:acc>
                        <m:accPr>
                          <m:chr m:val="̃"/>
                        </m:accPr>
                        <m:e>
                          <m:r>
                            <m:t>η</m:t>
                          </m:r>
                        </m:e>
                      </m:acc>
                    </m:e>
                  </m:d>
                </m:e>
                <m:sub>
                  <m:r>
                    <m:t>i</m:t>
                  </m:r>
                </m:sub>
              </m:sSub>
              <m:sSubSup>
                <m:e>
                  <m:r>
                    <m:t>z</m:t>
                  </m:r>
                </m:e>
                <m:sub>
                  <m:r>
                    <m:t>i</m:t>
                  </m:r>
                  <m:r>
                    <m:rPr>
                      <m:sty m:val="p"/>
                    </m:rPr>
                    <m:t>,</m:t>
                  </m:r>
                  <m:r>
                    <m:t>r</m:t>
                  </m:r>
                </m:sub>
                <m:sup>
                  <m:r>
                    <m:t>2</m:t>
                  </m:r>
                </m:sup>
              </m:sSubSup>
              <m:r>
                <m:rPr>
                  <m:sty m:val="p"/>
                </m:rPr>
                <m:t>+</m:t>
              </m:r>
              <m:r>
                <m:t>λ</m:t>
              </m:r>
              <m:d>
                <m:dPr>
                  <m:begChr m:val="("/>
                  <m:endChr m:val=")"/>
                  <m:sepChr m:val=""/>
                  <m:grow/>
                </m:dPr>
                <m:e>
                  <m:r>
                    <m:t>1</m:t>
                  </m:r>
                  <m:r>
                    <m:rPr>
                      <m:sty m:val="p"/>
                    </m:rPr>
                    <m:t>−</m:t>
                  </m:r>
                  <m:r>
                    <m:t>ξ</m:t>
                  </m:r>
                </m:e>
              </m:d>
            </m:den>
          </m:f>
          <m:r>
            <m:rPr>
              <m:sty m:val="p"/>
            </m:rPr>
            <m:t>,</m:t>
          </m:r>
        </m:oMath>
      </m:oMathPara>
    </w:p>
    <w:p>
      <w:pPr>
        <w:pStyle w:val="FirstParagraph"/>
      </w:pPr>
      <w:r>
        <w:t xml:space="preserve">where</w:t>
      </w:r>
      <w:r>
        <w:t xml:space="preserve"> </w:t>
      </w:r>
      <m:oMath>
        <m:r>
          <m:t>S</m:t>
        </m:r>
        <m:d>
          <m:dPr>
            <m:begChr m:val="("/>
            <m:endChr m:val=")"/>
            <m:sepChr m:val=""/>
            <m:grow/>
          </m:dPr>
          <m:e>
            <m:r>
              <m:t>a</m:t>
            </m:r>
            <m:r>
              <m:rPr>
                <m:sty m:val="p"/>
              </m:rPr>
              <m:t>,</m:t>
            </m:r>
            <m:r>
              <m:t>τ</m:t>
            </m:r>
          </m:e>
        </m:d>
        <m:r>
          <m:rPr>
            <m:sty m:val="p"/>
          </m:rPr>
          <m:t>=</m:t>
        </m:r>
        <m:r>
          <m:rPr>
            <m:sty m:val="p"/>
          </m:rPr>
          <m:t>s</m:t>
        </m:r>
        <m:r>
          <m:rPr>
            <m:sty m:val="p"/>
          </m:rPr>
          <m:t>i</m:t>
        </m:r>
        <m:r>
          <m:rPr>
            <m:sty m:val="p"/>
          </m:rPr>
          <m:t>g</m:t>
        </m:r>
        <m:r>
          <m:rPr>
            <m:sty m:val="p"/>
          </m:rPr>
          <m:t>n</m:t>
        </m:r>
        <m:d>
          <m:dPr>
            <m:begChr m:val="("/>
            <m:endChr m:val=")"/>
            <m:sepChr m:val=""/>
            <m:grow/>
          </m:dPr>
          <m:e>
            <m:r>
              <m:t>a</m:t>
            </m:r>
          </m:e>
        </m:d>
        <m:r>
          <m:rPr>
            <m:sty m:val="p"/>
          </m:rPr>
          <m:t>max</m:t>
        </m:r>
        <m:d>
          <m:dPr>
            <m:begChr m:val="("/>
            <m:endChr m:val=")"/>
            <m:sepChr m:val=""/>
            <m:grow/>
          </m:dPr>
          <m:e>
            <m:d>
              <m:dPr>
                <m:begChr m:val="|"/>
                <m:endChr m:val="|"/>
                <m:sepChr m:val=""/>
                <m:grow/>
              </m:dPr>
              <m:e>
                <m:r>
                  <m:t>a</m:t>
                </m:r>
              </m:e>
            </m:d>
            <m:r>
              <m:rPr>
                <m:sty m:val="p"/>
              </m:rPr>
              <m:t>−</m:t>
            </m:r>
            <m:r>
              <m:t>τ</m:t>
            </m:r>
            <m:r>
              <m:rPr>
                <m:sty m:val="p"/>
              </m:rPr>
              <m:t>,</m:t>
            </m:r>
            <m:r>
              <m:t>0</m:t>
            </m:r>
          </m:e>
        </m:d>
      </m:oMath>
      <w:r>
        <w:t xml:space="preserve"> </w:t>
      </w:r>
      <w:r>
        <w:t xml:space="preserve">is the soft-thresholding</w:t>
      </w:r>
      <w:r>
        <w:t xml:space="preserve"> </w:t>
      </w:r>
      <w:r>
        <w:t xml:space="preserve">operator,</w:t>
      </w:r>
      <w:r>
        <w:t xml:space="preserve"> </w:t>
      </w:r>
      <m:oMath>
        <m:r>
          <m:t>w</m:t>
        </m:r>
        <m:sSub>
          <m:e>
            <m:d>
              <m:dPr>
                <m:begChr m:val="("/>
                <m:endChr m:val=")"/>
                <m:sepChr m:val=""/>
                <m:grow/>
              </m:dPr>
              <m:e>
                <m:acc>
                  <m:accPr>
                    <m:chr m:val="̃"/>
                  </m:accPr>
                  <m:e>
                    <m:r>
                      <m:t>η</m:t>
                    </m:r>
                  </m:e>
                </m:acc>
              </m:e>
            </m:d>
          </m:e>
          <m:sub>
            <m:r>
              <m:t>i</m:t>
            </m:r>
          </m:sub>
        </m:sSub>
      </m:oMath>
      <w:r>
        <w:t xml:space="preserve"> </w:t>
      </w:r>
      <w:r>
        <w:t xml:space="preserve">and</w:t>
      </w:r>
      <w:r>
        <w:t xml:space="preserve"> </w:t>
      </w:r>
      <m:oMath>
        <m:r>
          <m:t>v</m:t>
        </m:r>
        <m:sSub>
          <m:e>
            <m:d>
              <m:dPr>
                <m:begChr m:val="("/>
                <m:endChr m:val=")"/>
                <m:sepChr m:val=""/>
                <m:grow/>
              </m:dPr>
              <m:e>
                <m:acc>
                  <m:accPr>
                    <m:chr m:val="̃"/>
                  </m:accPr>
                  <m:e>
                    <m:r>
                      <m:t>η</m:t>
                    </m:r>
                  </m:e>
                </m:acc>
              </m:e>
            </m:d>
          </m:e>
          <m:sub>
            <m:r>
              <m:t>i</m:t>
            </m:r>
          </m:sub>
        </m:sSub>
      </m:oMath>
      <w:r>
        <w:t xml:space="preserve"> </w:t>
      </w:r>
      <w:r>
        <w:t xml:space="preserve">are the standard local</w:t>
      </w:r>
      <w:r>
        <w:t xml:space="preserve"> </w:t>
      </w:r>
      <w:r>
        <w:t xml:space="preserve">quadratic-approximation weight and working response for sample</w:t>
      </w:r>
      <w:r>
        <w:t xml:space="preserve"> </w:t>
      </w:r>
      <m:oMath>
        <m:r>
          <m:t>i</m:t>
        </m:r>
      </m:oMath>
      <w:r>
        <w:t xml:space="preserve"> </w:t>
      </w:r>
      <w:r>
        <w:t xml:space="preserve">in the Cox</w:t>
      </w:r>
      <w:r>
        <w:t xml:space="preserve"> </w:t>
      </w:r>
      <w:r>
        <w:t xml:space="preserve">log-partial likelihood</w:t>
      </w:r>
      <w:hyperlink w:anchor="ref-simon2011regularization">
        <w:r>
          <w:rPr>
            <w:rStyle w:val="Hyperlink"/>
            <w:vertAlign w:val="superscript"/>
          </w:rPr>
          <w:t xml:space="preserve">3</w:t>
        </w:r>
      </w:hyperlink>
      <w:r>
        <w:t xml:space="preserve">,</w:t>
      </w:r>
      <w:r>
        <w:t xml:space="preserve"> </w:t>
      </w:r>
      <w:r>
        <w:t xml:space="preserve">and</w:t>
      </w:r>
      <w:r>
        <w:t xml:space="preserve"> </w:t>
      </w:r>
      <m:oMath>
        <m:sSub>
          <m:e>
            <m:r>
              <m:t>z</m:t>
            </m:r>
          </m:e>
          <m:sub>
            <m:r>
              <m:t>i</m:t>
            </m:r>
            <m:r>
              <m:rPr>
                <m:sty m:val="p"/>
              </m:rPr>
              <m:t>,</m:t>
            </m:r>
            <m:r>
              <m:t>r</m:t>
            </m:r>
          </m:sub>
        </m:sSub>
      </m:oMath>
      <w:r>
        <w:t xml:space="preserve"> </w:t>
      </w:r>
      <w:r>
        <w:t xml:space="preserve">denotes the standardized score of factor</w:t>
      </w:r>
      <w:r>
        <w:t xml:space="preserve"> </w:t>
      </w:r>
      <m:oMath>
        <m:r>
          <m:t>r</m:t>
        </m:r>
      </m:oMath>
      <w:r>
        <w:t xml:space="preserve"> </w:t>
      </w:r>
      <w:r>
        <w:t xml:space="preserve">in sample</w:t>
      </w:r>
      <w:r>
        <w:t xml:space="preserve"> </w:t>
      </w:r>
      <m:oMath>
        <m:r>
          <m:t>i</m:t>
        </m:r>
      </m:oMath>
      <w:r>
        <w:t xml:space="preserve">, the</w:t>
      </w:r>
      <w:r>
        <w:t xml:space="preserve"> </w:t>
      </w:r>
      <m:oMath>
        <m:r>
          <m:t>r</m:t>
        </m:r>
      </m:oMath>
      <w:r>
        <w:t xml:space="preserve">th entry of</w:t>
      </w:r>
      <w:r>
        <w:t xml:space="preserve"> </w:t>
      </w:r>
      <m:oMath>
        <m:sSub>
          <m:e>
            <m:acc>
              <m:accPr>
                <m:chr m:val="̃"/>
              </m:accPr>
              <m:e>
                <m:r>
                  <m:t>z</m:t>
                </m:r>
              </m:e>
            </m:acc>
          </m:e>
          <m:sub>
            <m:r>
              <m:t>i</m:t>
            </m:r>
          </m:sub>
        </m:sSub>
      </m:oMath>
      <w:r>
        <w:t xml:space="preserve">. After the sweeps, the raw-score coefficients are</w:t>
      </w:r>
      <w:r>
        <w:t xml:space="preserve"> </w:t>
      </w:r>
      <w:r>
        <w:t xml:space="preserve">recovered as</w:t>
      </w:r>
      <w:r>
        <w:t xml:space="preserve"> </w:t>
      </w:r>
      <m:oMath>
        <m:r>
          <m:t>β</m:t>
        </m:r>
        <m:r>
          <m:rPr>
            <m:sty m:val="p"/>
          </m:rPr>
          <m:t>=</m:t>
        </m:r>
        <m:sSubSup>
          <m:e>
            <m:r>
              <m:t>D</m:t>
            </m:r>
          </m:e>
          <m:sub>
            <m:r>
              <m:t>Z</m:t>
            </m:r>
          </m:sub>
          <m:sup>
            <m:r>
              <m:rPr>
                <m:sty m:val="p"/>
              </m:rPr>
              <m:t>−</m:t>
            </m:r>
            <m:r>
              <m:t>1</m:t>
            </m:r>
          </m:sup>
        </m:sSubSup>
        <m:r>
          <m:t>b</m:t>
        </m:r>
      </m:oMath>
      <w:r>
        <w:t xml:space="preserve"> </w:t>
      </w:r>
      <w:r>
        <w:t xml:space="preserve">on the retained rows.</w:t>
      </w:r>
    </w:p>
    <w:p>
      <w:pPr>
        <w:pStyle w:val="BodyText"/>
      </w:pPr>
      <w:r>
        <w:t xml:space="preserve">The sweeps operate on centered and standardized scores, the parameterization in</w:t>
      </w:r>
      <w:r>
        <w:t xml:space="preserve"> </w:t>
      </w:r>
      <w:r>
        <w:t xml:space="preserve">which</w:t>
      </w:r>
      <w:r>
        <w:t xml:space="preserve"> </w:t>
      </w:r>
      <m:oMath>
        <m:r>
          <m:rPr>
            <m:sty m:val="p"/>
            <m:scr m:val="script"/>
          </m:rPr>
          <m:t>L</m:t>
        </m:r>
      </m:oMath>
      <w:r>
        <w:t xml:space="preserve"> </w:t>
      </w:r>
      <w:r>
        <w:t xml:space="preserve">is defined. The</w:t>
      </w:r>
      <w:r>
        <w:t xml:space="preserve"> </w:t>
      </w:r>
      <m:oMath>
        <m:r>
          <m:t>k</m:t>
        </m:r>
      </m:oMath>
      <w:r>
        <w:t xml:space="preserve"> </w:t>
      </w:r>
      <w:r>
        <w:t xml:space="preserve">rows of</w:t>
      </w:r>
      <w:r>
        <w:t xml:space="preserve"> </w:t>
      </w:r>
      <m:oMath>
        <m:r>
          <m:t>Z</m:t>
        </m:r>
      </m:oMath>
      <w:r>
        <w:t xml:space="preserve"> </w:t>
      </w:r>
      <w:r>
        <w:t xml:space="preserve">are centered and scaled to</w:t>
      </w:r>
      <w:r>
        <w:t xml:space="preserve"> </w:t>
      </w:r>
      <w:r>
        <w:t xml:space="preserve">unit standard deviation across samples, rows whose standard deviation falls below</w:t>
      </w:r>
      <w:r>
        <w:t xml:space="preserve"> </w:t>
      </w:r>
      <m:oMath>
        <m:sSup>
          <m:e>
            <m:r>
              <m:t>10</m:t>
            </m:r>
          </m:e>
          <m:sup>
            <m:r>
              <m:rPr>
                <m:sty m:val="p"/>
              </m:rPr>
              <m:t>−</m:t>
            </m:r>
            <m:r>
              <m:t>12</m:t>
            </m:r>
          </m:sup>
        </m:sSup>
      </m:oMath>
      <w:r>
        <w:t xml:space="preserve"> </w:t>
      </w:r>
      <w:r>
        <w:t xml:space="preserve">are dropped and assigned coefficient zero, the sweeps estimate</w:t>
      </w:r>
      <w:r>
        <w:t xml:space="preserve"> </w:t>
      </w:r>
      <m:oMath>
        <m:r>
          <m:t>b</m:t>
        </m:r>
      </m:oMath>
      <w:r>
        <w:t xml:space="preserve">,</w:t>
      </w:r>
      <w:r>
        <w:t xml:space="preserve"> </w:t>
      </w:r>
      <w:r>
        <w:t xml:space="preserve">and the estimates are divided back by the same standard deviations to give the</w:t>
      </w:r>
      <w:r>
        <w:t xml:space="preserve"> </w:t>
      </w:r>
      <w:r>
        <w:t xml:space="preserve">reported</w:t>
      </w:r>
      <w:r>
        <w:t xml:space="preserve"> </w:t>
      </w:r>
      <m:oMath>
        <m:r>
          <m:t>β</m:t>
        </m:r>
        <m:r>
          <m:rPr>
            <m:sty m:val="p"/>
          </m:rPr>
          <m:t>=</m:t>
        </m:r>
        <m:sSubSup>
          <m:e>
            <m:r>
              <m:t>D</m:t>
            </m:r>
          </m:e>
          <m:sub>
            <m:r>
              <m:t>Z</m:t>
            </m:r>
          </m:sub>
          <m:sup>
            <m:r>
              <m:rPr>
                <m:sty m:val="p"/>
              </m:rPr>
              <m:t>−</m:t>
            </m:r>
            <m:r>
              <m:t>1</m:t>
            </m:r>
          </m:sup>
        </m:sSubSup>
        <m:r>
          <m:t>b</m:t>
        </m:r>
      </m:oMath>
      <w:r>
        <w:t xml:space="preserve"> </w:t>
      </w:r>
      <w:r>
        <w:t xml:space="preserve">on the retained rows. Each update is initialized</w:t>
      </w:r>
      <w:r>
        <w:t xml:space="preserve"> </w:t>
      </w:r>
      <w:r>
        <w:t xml:space="preserve">from the current raw coefficients, taken after the</w:t>
      </w:r>
      <w:r>
        <w:t xml:space="preserve"> </w:t>
      </w:r>
      <m:oMath>
        <m:r>
          <m:t>W</m:t>
        </m:r>
      </m:oMath>
      <w:r>
        <w:t xml:space="preserve">-normalization step and</w:t>
      </w:r>
      <w:r>
        <w:t xml:space="preserve"> </w:t>
      </w:r>
      <w:r>
        <w:t xml:space="preserve">read through the current</w:t>
      </w:r>
      <w:r>
        <w:t xml:space="preserve"> </w:t>
      </w:r>
      <m:oMath>
        <m:sSub>
          <m:e>
            <m:r>
              <m:t>D</m:t>
            </m:r>
          </m:e>
          <m:sub>
            <m:r>
              <m:t>Z</m:t>
            </m:r>
          </m:sub>
        </m:sSub>
      </m:oMath>
      <w:r>
        <w:t xml:space="preserve">. Centering the scores changes the linear predictor</w:t>
      </w:r>
      <w:r>
        <w:t xml:space="preserve"> </w:t>
      </w:r>
      <w:r>
        <w:t xml:space="preserve">by a common additive constant, which cancels from the Cox partial likelihood.</w:t>
      </w:r>
      <w:r>
        <w:t xml:space="preserve"> </w:t>
      </w:r>
      <w:r>
        <w:t xml:space="preserve">Given that parameterization, the implemented update departs from an exact</w:t>
      </w:r>
      <w:r>
        <w:t xml:space="preserve"> </w:t>
      </w:r>
      <w:r>
        <w:t xml:space="preserve">conditional minimization of</w:t>
      </w:r>
      <w:r>
        <w:t xml:space="preserve"> </w:t>
      </w:r>
      <m:oMath>
        <m:r>
          <m:rPr>
            <m:sty m:val="p"/>
            <m:scr m:val="script"/>
          </m:rPr>
          <m:t>L</m:t>
        </m:r>
      </m:oMath>
      <w:r>
        <w:t xml:space="preserve"> </w:t>
      </w:r>
      <w:r>
        <w:t xml:space="preserve">in two ways, which we state explicitly</w:t>
      </w:r>
      <w:r>
        <w:t xml:space="preserve"> </w:t>
      </w:r>
      <w:r>
        <w:t xml:space="preserve">because Equation 1 of the main text, reproduced as</w:t>
      </w:r>
      <w:r>
        <w:t xml:space="preserve"> </w:t>
      </w:r>
      <m:oMath>
        <m:r>
          <m:rPr>
            <m:sty m:val="p"/>
            <m:scr m:val="script"/>
          </m:rPr>
          <m:t>L</m:t>
        </m:r>
      </m:oMath>
      <w:r>
        <w:t xml:space="preserve"> </w:t>
      </w:r>
      <w:r>
        <w:t xml:space="preserve">above, is the</w:t>
      </w:r>
      <w:r>
        <w:t xml:space="preserve"> </w:t>
      </w:r>
      <w:r>
        <w:t xml:space="preserve">objective the algorithm evaluates and records. First, the quadratic</w:t>
      </w:r>
      <w:r>
        <w:t xml:space="preserve"> </w:t>
      </w:r>
      <w:r>
        <w:t xml:space="preserve">approximation entering Eq. [eqn:beta_update] carries likelihood weight</w:t>
      </w:r>
      <w:r>
        <w:t xml:space="preserve"> </w:t>
      </w:r>
      <m:oMath>
        <m:r>
          <m:t>1</m:t>
        </m:r>
        <m:r>
          <m:rPr>
            <m:sty m:val="p"/>
          </m:rPr>
          <m:t>/</m:t>
        </m:r>
        <m:sSub>
          <m:e>
            <m:r>
              <m:t>n</m:t>
            </m:r>
          </m:e>
          <m:sub>
            <m:r>
              <m:rPr>
                <m:sty m:val="p"/>
              </m:rPr>
              <m:t>e</m:t>
            </m:r>
            <m:r>
              <m:rPr>
                <m:sty m:val="p"/>
              </m:rPr>
              <m:t>v</m:t>
            </m:r>
            <m:r>
              <m:rPr>
                <m:sty m:val="p"/>
              </m:rPr>
              <m:t>e</m:t>
            </m:r>
            <m:r>
              <m:rPr>
                <m:sty m:val="p"/>
              </m:rPr>
              <m:t>n</m:t>
            </m:r>
            <m:r>
              <m:rPr>
                <m:sty m:val="p"/>
              </m:rPr>
              <m:t>t</m:t>
            </m:r>
          </m:sub>
        </m:sSub>
      </m:oMath>
      <w:r>
        <w:t xml:space="preserve">, whereas the log-partial likelihood in the objective</w:t>
      </w:r>
      <w:r>
        <w:t xml:space="preserve"> </w:t>
      </w:r>
      <w:r>
        <w:t xml:space="preserve">carries weight</w:t>
      </w:r>
      <w:r>
        <w:t xml:space="preserve"> </w:t>
      </w:r>
      <m:oMath>
        <m:r>
          <m:t>2</m:t>
        </m:r>
        <m:r>
          <m:rPr>
            <m:sty m:val="p"/>
          </m:rPr>
          <m:t>/</m:t>
        </m:r>
        <m:sSub>
          <m:e>
            <m:r>
              <m:t>n</m:t>
            </m:r>
          </m:e>
          <m:sub>
            <m:r>
              <m:rPr>
                <m:sty m:val="p"/>
              </m:rPr>
              <m:t>e</m:t>
            </m:r>
            <m:r>
              <m:rPr>
                <m:sty m:val="p"/>
              </m:rPr>
              <m:t>v</m:t>
            </m:r>
            <m:r>
              <m:rPr>
                <m:sty m:val="p"/>
              </m:rPr>
              <m:t>e</m:t>
            </m:r>
            <m:r>
              <m:rPr>
                <m:sty m:val="p"/>
              </m:rPr>
              <m:t>n</m:t>
            </m:r>
            <m:r>
              <m:rPr>
                <m:sty m:val="p"/>
              </m:rPr>
              <m:t>t</m:t>
            </m:r>
          </m:sub>
        </m:sSub>
      </m:oMath>
      <w:r>
        <w:t xml:space="preserve">; relative to that likelihood weight the</w:t>
      </w:r>
      <w:r>
        <w:t xml:space="preserve"> </w:t>
      </w:r>
      <w:r>
        <w:t xml:space="preserve">penalty seen by the coordinate sweeps is therefore effectively</w:t>
      </w:r>
      <w:r>
        <w:t xml:space="preserve"> </w:t>
      </w:r>
      <m:oMath>
        <m:r>
          <m:t>2</m:t>
        </m:r>
        <m:r>
          <m:t>λ</m:t>
        </m:r>
      </m:oMath>
      <w:r>
        <w:t xml:space="preserve">, so the</w:t>
      </w:r>
      <w:r>
        <w:t xml:space="preserve"> </w:t>
      </w:r>
      <w:r>
        <w:t xml:space="preserve">sweeps target a more strongly penalized subproblem than the conditional</w:t>
      </w:r>
      <w:r>
        <w:t xml:space="preserve"> </w:t>
      </w:r>
      <w:r>
        <w:t xml:space="preserve">restriction of</w:t>
      </w:r>
      <w:r>
        <w:t xml:space="preserve"> </w:t>
      </w:r>
      <m:oMath>
        <m:r>
          <m:rPr>
            <m:sty m:val="p"/>
            <m:scr m:val="script"/>
          </m:rPr>
          <m:t>L</m:t>
        </m:r>
      </m:oMath>
      <w:r>
        <w:t xml:space="preserve">. Second, the sweeps are iterated until the largest</w:t>
      </w:r>
      <w:r>
        <w:t xml:space="preserve"> </w:t>
      </w:r>
      <w:r>
        <w:t xml:space="preserve">scaled coefficient change falls below</w:t>
      </w:r>
      <w:r>
        <w:t xml:space="preserve"> </w:t>
      </w:r>
      <m:oMath>
        <m:sSup>
          <m:e>
            <m:r>
              <m:t>10</m:t>
            </m:r>
          </m:e>
          <m:sup>
            <m:r>
              <m:rPr>
                <m:sty m:val="p"/>
              </m:rPr>
              <m:t>−</m:t>
            </m:r>
            <m:r>
              <m:t>6</m:t>
            </m:r>
          </m:sup>
        </m:sSup>
      </m:oMath>
      <w:r>
        <w:t xml:space="preserve"> </w:t>
      </w:r>
      <w:r>
        <w:t xml:space="preserve">or 500 passes have been taken,</w:t>
      </w:r>
      <w:r>
        <w:t xml:space="preserve"> </w:t>
      </w:r>
      <w:r>
        <w:t xml:space="preserve">and the resulting proposal is accepted only if it does not increase the penalized</w:t>
      </w:r>
      <w:r>
        <w:t xml:space="preserve"> </w:t>
      </w:r>
      <w:r>
        <w:t xml:space="preserve">survival loss; otherwise a damped step toward it is taken (backtracking factor</w:t>
      </w:r>
      <w:r>
        <w:t xml:space="preserve"> </w:t>
      </w:r>
      <m:oMath>
        <m:r>
          <m:t>0.9</m:t>
        </m:r>
      </m:oMath>
      <w:r>
        <w:t xml:space="preserve">, at most 30 steps), or the previous</w:t>
      </w:r>
      <w:r>
        <w:t xml:space="preserve"> </w:t>
      </w:r>
      <m:oMath>
        <m:r>
          <m:t>β</m:t>
        </m:r>
      </m:oMath>
      <w:r>
        <w:t xml:space="preserve"> </w:t>
      </w:r>
      <w:r>
        <w:t xml:space="preserve">is retained. That acceptance</w:t>
      </w:r>
      <w:r>
        <w:t xml:space="preserve"> </w:t>
      </w:r>
      <w:r>
        <w:t xml:space="preserve">safeguard makes the</w:t>
      </w:r>
      <w:r>
        <w:t xml:space="preserve"> </w:t>
      </w:r>
      <m:oMath>
        <m:r>
          <m:t>β</m:t>
        </m:r>
      </m:oMath>
      <w:r>
        <w:t xml:space="preserve"> </w:t>
      </w:r>
      <w:r>
        <w:t xml:space="preserve">update non-increasing in the evaluated objective, and</w:t>
      </w:r>
      <w:r>
        <w:t xml:space="preserve"> </w:t>
      </w:r>
      <w:r>
        <w:t xml:space="preserve">it does not establish convergence to a conditional or joint optimum. The</w:t>
      </w:r>
      <w:r>
        <w:t xml:space="preserve"> </w:t>
      </w:r>
      <m:oMath>
        <m:r>
          <m:t>β</m:t>
        </m:r>
      </m:oMath>
      <w:r>
        <w:t xml:space="preserve"> </w:t>
      </w:r>
      <w:r>
        <w:t xml:space="preserve">block is therefore an approximate, monotone conditional update rather than an</w:t>
      </w:r>
      <w:r>
        <w:t xml:space="preserve"> </w:t>
      </w:r>
      <w:r>
        <w:t xml:space="preserve">exact conditional minimizer of</w:t>
      </w:r>
      <w:r>
        <w:t xml:space="preserve"> </w:t>
      </w:r>
      <m:oMath>
        <m:r>
          <m:rPr>
            <m:sty m:val="p"/>
            <m:scr m:val="script"/>
          </m:rPr>
          <m:t>L</m:t>
        </m:r>
      </m:oMath>
      <w:r>
        <w:t xml:space="preserve">. The acceptance safeguards prevent accepted</w:t>
      </w:r>
      <w:r>
        <w:t xml:space="preserve"> </w:t>
      </w:r>
      <m:oMath>
        <m:r>
          <m:t>W</m:t>
        </m:r>
      </m:oMath>
      <w:r>
        <w:t xml:space="preserve"> </w:t>
      </w:r>
      <w:r>
        <w:t xml:space="preserve">and</w:t>
      </w:r>
      <w:r>
        <w:t xml:space="preserve"> </w:t>
      </w:r>
      <m:oMath>
        <m:r>
          <m:t>β</m:t>
        </m:r>
      </m:oMath>
      <w:r>
        <w:t xml:space="preserve"> </w:t>
      </w:r>
      <w:r>
        <w:t xml:space="preserve">updates from</w:t>
      </w:r>
      <w:r>
        <w:t xml:space="preserve"> </w:t>
      </w:r>
      <w:r>
        <w:t xml:space="preserve">increasing the evaluated objective; they do not establish convergence to an</w:t>
      </w:r>
      <w:r>
        <w:t xml:space="preserve"> </w:t>
      </w:r>
      <w:r>
        <w:t xml:space="preserve">optimum. The reported fits are exactly those produced by this procedure. After the outer loop terminates,</w:t>
      </w:r>
      <w:r>
        <w:t xml:space="preserve"> </w:t>
      </w:r>
      <m:oMath>
        <m:r>
          <m:t>β</m:t>
        </m:r>
      </m:oMath>
      <w:r>
        <w:t xml:space="preserve"> </w:t>
      </w:r>
      <w:r>
        <w:t xml:space="preserve">is refit once on the</w:t>
      </w:r>
      <w:r>
        <w:t xml:space="preserve"> </w:t>
      </w:r>
      <w:r>
        <w:t xml:space="preserve">final</w:t>
      </w:r>
      <w:r>
        <w:t xml:space="preserve"> </w:t>
      </w:r>
      <m:oMath>
        <m:r>
          <m:t>W</m:t>
        </m:r>
      </m:oMath>
      <w:r>
        <w:t xml:space="preserve"> </w:t>
      </w:r>
      <w:r>
        <w:t xml:space="preserve">by the same routine under the same tolerance and pass limit</w:t>
      </w:r>
      <w:r>
        <w:t xml:space="preserve"> </w:t>
      </w:r>
      <w:r>
        <w:t xml:space="preserve">(Algorithm [alg:desurv]); this refit is the reported</w:t>
      </w:r>
      <w:r>
        <w:t xml:space="preserve"> </w:t>
      </w:r>
      <m:oMath>
        <m:acc>
          <m:accPr>
            <m:chr m:val="̂"/>
          </m:accPr>
          <m:e>
            <m:r>
              <m:t>β</m:t>
            </m:r>
          </m:e>
        </m:acc>
      </m:oMath>
      <w:r>
        <w:t xml:space="preserve">, and it is</w:t>
      </w:r>
      <w:r>
        <w:t xml:space="preserve"> </w:t>
      </w:r>
      <w:r>
        <w:t xml:space="preserve">the only</w:t>
      </w:r>
      <w:r>
        <w:t xml:space="preserve"> </w:t>
      </w:r>
      <m:oMath>
        <m:r>
          <m:t>β</m:t>
        </m:r>
      </m:oMath>
      <w:r>
        <w:t xml:space="preserve"> </w:t>
      </w:r>
      <w:r>
        <w:t xml:space="preserve">estimate when</w:t>
      </w:r>
      <w:r>
        <w:t xml:space="preserve"> </w:t>
      </w:r>
      <m:oMath>
        <m:r>
          <m:t>α</m:t>
        </m:r>
        <m:r>
          <m:rPr>
            <m:sty m:val="p"/>
          </m:rPr>
          <m:t>=</m:t>
        </m:r>
        <m:r>
          <m:t>0</m:t>
        </m:r>
      </m:oMath>
      <w:r>
        <w:t xml:space="preserve">. The objective after that refit is</w:t>
      </w:r>
      <w:r>
        <w:t xml:space="preserve"> </w:t>
      </w:r>
      <w:r>
        <w:t xml:space="preserve">stored separately and is not part of the recorded outer-loop series.</w:t>
      </w:r>
    </w:p>
    <w:bookmarkEnd w:id="25"/>
    <w:bookmarkStart w:id="26" w:name="normalization-of-w"/>
    <w:p>
      <w:pPr>
        <w:pStyle w:val="Heading2"/>
      </w:pPr>
      <w:r>
        <w:t xml:space="preserve">Normalization of W</w:t>
      </w:r>
    </w:p>
    <w:p>
      <w:pPr>
        <w:pStyle w:val="FirstParagraph"/>
      </w:pPr>
      <w:r>
        <w:t xml:space="preserve">Within each candidate</w:t>
      </w:r>
      <w:r>
        <w:t xml:space="preserve"> </w:t>
      </w:r>
      <m:oMath>
        <m:r>
          <m:t>W</m:t>
        </m:r>
      </m:oMath>
      <w:r>
        <w:t xml:space="preserve"> </w:t>
      </w:r>
      <w:r>
        <w:t xml:space="preserve">update, we normalize the columns of</w:t>
      </w:r>
      <w:r>
        <w:t xml:space="preserve"> </w:t>
      </w:r>
      <m:oMath>
        <m:r>
          <m:t>W</m:t>
        </m:r>
      </m:oMath>
      <w:r>
        <w:t xml:space="preserve"> </w:t>
      </w:r>
      <w:r>
        <w:t xml:space="preserve">as</w:t>
      </w:r>
      <w:r>
        <w:t xml:space="preserve"> </w:t>
      </w:r>
      <m:oMath>
        <m:r>
          <m:t>W</m:t>
        </m:r>
        <m:r>
          <m:rPr>
            <m:sty m:val="p"/>
          </m:rPr>
          <m:t>←</m:t>
        </m:r>
        <m:r>
          <m:t>W</m:t>
        </m:r>
        <m:sSup>
          <m:e>
            <m:r>
              <m:t>D</m:t>
            </m:r>
          </m:e>
          <m:sup>
            <m:r>
              <m:rPr>
                <m:sty m:val="p"/>
              </m:rPr>
              <m:t>−</m:t>
            </m:r>
            <m:r>
              <m:t>1</m:t>
            </m:r>
          </m:sup>
        </m:sSup>
      </m:oMath>
      <w:r>
        <w:t xml:space="preserve">, and adjust</w:t>
      </w:r>
      <w:r>
        <w:t xml:space="preserve"> </w:t>
      </w:r>
      <m:oMath>
        <m:r>
          <m:t>H</m:t>
        </m:r>
      </m:oMath>
      <w:r>
        <w:t xml:space="preserve"> </w:t>
      </w:r>
      <w:r>
        <w:t xml:space="preserve">and</w:t>
      </w:r>
      <w:r>
        <w:t xml:space="preserve"> </w:t>
      </w:r>
      <m:oMath>
        <m:r>
          <m:t>β</m:t>
        </m:r>
      </m:oMath>
      <w:r>
        <w:t xml:space="preserve"> </w:t>
      </w:r>
      <w:r>
        <w:t xml:space="preserve">as</w:t>
      </w:r>
      <w:r>
        <w:t xml:space="preserve"> </w:t>
      </w:r>
      <w:r>
        <w:t xml:space="preserve">[</w:t>
      </w:r>
      <w:r>
        <w:t xml:space="preserve"> </w:t>
      </w:r>
      <w:r>
        <w:t xml:space="preserve">H \leftarrow D H, \qquad \beta \leftarrow D \beta,</w:t>
      </w:r>
      <w:r>
        <w:t xml:space="preserve"> </w:t>
      </w:r>
      <w:r>
        <w:t xml:space="preserve">]</w:t>
      </w:r>
      <w:r>
        <w:t xml:space="preserve"> </w:t>
      </w:r>
      <w:r>
        <w:t xml:space="preserve">where</w:t>
      </w:r>
      <w:r>
        <w:t xml:space="preserve"> </w:t>
      </w:r>
      <m:oMath>
        <m:r>
          <m:t>D</m:t>
        </m:r>
      </m:oMath>
      <w:r>
        <w:t xml:space="preserve"> </w:t>
      </w:r>
      <w:r>
        <w:t xml:space="preserve">is the diagonal matrix containing the column Euclidean norms of the</w:t>
      </w:r>
      <w:r>
        <w:t xml:space="preserve"> </w:t>
      </w:r>
      <w:r>
        <w:t xml:space="preserve">candidate</w:t>
      </w:r>
      <w:r>
        <w:t xml:space="preserve"> </w:t>
      </w:r>
      <m:oMath>
        <m:r>
          <m:t>W</m:t>
        </m:r>
      </m:oMath>
      <w:r>
        <w:t xml:space="preserve">.</w:t>
      </w:r>
      <w:r>
        <w:t xml:space="preserve"> </w:t>
      </w:r>
      <w:r>
        <w:t xml:space="preserve">Because</w:t>
      </w:r>
      <w:r>
        <w:t xml:space="preserve"> </w:t>
      </w:r>
      <m:oMath>
        <m:r>
          <m:t>D</m:t>
        </m:r>
      </m:oMath>
      <w:r>
        <w:t xml:space="preserve"> </w:t>
      </w:r>
      <w:r>
        <w:t xml:space="preserve">has positive diagonal entries, these compensating rescalings preserve</w:t>
      </w:r>
      <w:r>
        <w:t xml:space="preserve"> </w:t>
      </w:r>
      <w:r>
        <w:t xml:space="preserve">the reconstruction</w:t>
      </w:r>
      <w:r>
        <w:t xml:space="preserve"> </w:t>
      </w:r>
      <m:oMath>
        <m:r>
          <m:t>W</m:t>
        </m:r>
        <m:r>
          <m:t>H</m:t>
        </m:r>
      </m:oMath>
      <w:r>
        <w:t xml:space="preserve">, the collapsed gene-weight vector</w:t>
      </w:r>
      <w:r>
        <w:t xml:space="preserve"> </w:t>
      </w:r>
      <m:oMath>
        <m:r>
          <m:t>W</m:t>
        </m:r>
        <m:r>
          <m:t>β</m:t>
        </m:r>
      </m:oMath>
      <w:r>
        <w:t xml:space="preserve"> </w:t>
      </w:r>
      <w:r>
        <w:t xml:space="preserve">and hence the</w:t>
      </w:r>
      <w:r>
        <w:t xml:space="preserve"> </w:t>
      </w:r>
      <w:r>
        <w:t xml:space="preserve">linear predictor</w:t>
      </w:r>
      <w:r>
        <w:t xml:space="preserve"> </w:t>
      </w:r>
      <m:oMath>
        <m:sSup>
          <m:e>
            <m:r>
              <m:t>X</m:t>
            </m:r>
          </m:e>
          <m:sup>
            <m:r>
              <m:rPr>
                <m:sty m:val="p"/>
              </m:rPr>
              <m:t>⊤</m:t>
            </m:r>
          </m:sup>
        </m:sSup>
        <m:r>
          <m:t>W</m:t>
        </m:r>
        <m:r>
          <m:t>β</m:t>
        </m:r>
      </m:oMath>
      <w:r>
        <w:t xml:space="preserve">, and also the standardized-score coefficients</w:t>
      </w:r>
      <w:r>
        <w:t xml:space="preserve"> </w:t>
      </w:r>
      <m:oMath>
        <m:r>
          <m:t>b</m:t>
        </m:r>
        <m:r>
          <m:rPr>
            <m:sty m:val="p"/>
          </m:rPr>
          <m:t>=</m:t>
        </m:r>
        <m:sSub>
          <m:e>
            <m:r>
              <m:t>D</m:t>
            </m:r>
          </m:e>
          <m:sub>
            <m:r>
              <m:t>Z</m:t>
            </m:r>
          </m:sub>
        </m:sSub>
        <m:r>
          <m:t>β</m:t>
        </m:r>
      </m:oMath>
      <w:r>
        <w:t xml:space="preserve">, because</w:t>
      </w:r>
      <w:r>
        <w:t xml:space="preserve"> </w:t>
      </w:r>
      <m:oMath>
        <m:sSub>
          <m:e>
            <m:r>
              <m:t>D</m:t>
            </m:r>
          </m:e>
          <m:sub>
            <m:r>
              <m:t>Z</m:t>
            </m:r>
          </m:sub>
        </m:sSub>
      </m:oMath>
      <w:r>
        <w:t xml:space="preserve"> </w:t>
      </w:r>
      <w:r>
        <w:t xml:space="preserve">is rescaled by</w:t>
      </w:r>
      <w:r>
        <w:t xml:space="preserve"> </w:t>
      </w:r>
      <m:oMath>
        <m:sSup>
          <m:e>
            <m:r>
              <m:t>D</m:t>
            </m:r>
          </m:e>
          <m:sup>
            <m:r>
              <m:rPr>
                <m:sty m:val="p"/>
              </m:rPr>
              <m:t>−</m:t>
            </m:r>
            <m:r>
              <m:t>1</m:t>
            </m:r>
          </m:sup>
        </m:sSup>
      </m:oMath>
      <w:r>
        <w:t xml:space="preserve"> </w:t>
      </w:r>
      <w:r>
        <w:t xml:space="preserve">exactly as</w:t>
      </w:r>
      <w:r>
        <w:t xml:space="preserve"> </w:t>
      </w:r>
      <m:oMath>
        <m:r>
          <m:t>β</m:t>
        </m:r>
      </m:oMath>
      <w:r>
        <w:t xml:space="preserve"> </w:t>
      </w:r>
      <w:r>
        <w:t xml:space="preserve">is</w:t>
      </w:r>
      <w:r>
        <w:t xml:space="preserve"> </w:t>
      </w:r>
      <w:r>
        <w:t xml:space="preserve">rescaled by</w:t>
      </w:r>
      <w:r>
        <w:t xml:space="preserve"> </w:t>
      </w:r>
      <m:oMath>
        <m:r>
          <m:t>D</m:t>
        </m:r>
      </m:oMath>
      <w:r>
        <w:t xml:space="preserve">. With</w:t>
      </w:r>
      <w:r>
        <w:t xml:space="preserve"> </w:t>
      </w:r>
      <m:oMath>
        <m:sSub>
          <m:e>
            <m:r>
              <m:t>λ</m:t>
            </m:r>
          </m:e>
          <m:sub>
            <m:r>
              <m:t>H</m:t>
            </m:r>
          </m:sub>
        </m:sSub>
        <m:r>
          <m:rPr>
            <m:sty m:val="p"/>
          </m:rPr>
          <m:t>=</m:t>
        </m:r>
        <m:sSub>
          <m:e>
            <m:r>
              <m:t>λ</m:t>
            </m:r>
          </m:e>
          <m:sub>
            <m:r>
              <m:t>W</m:t>
            </m:r>
          </m:sub>
        </m:sSub>
        <m:r>
          <m:rPr>
            <m:sty m:val="p"/>
          </m:rPr>
          <m:t>=</m:t>
        </m:r>
        <m:r>
          <m:t>0</m:t>
        </m:r>
      </m:oMath>
      <w:r>
        <w:t xml:space="preserve">, as in every reported fit,</w:t>
      </w:r>
      <w:r>
        <w:t xml:space="preserve"> </w:t>
      </w:r>
      <w:r>
        <w:t xml:space="preserve">normalization alone therefore leaves the displayed objective unchanged. Each</w:t>
      </w:r>
      <w:r>
        <w:t xml:space="preserve"> </w:t>
      </w:r>
      <w:r>
        <w:t xml:space="preserve">normalized candidate is nonetheless evaluated under the full objective within</w:t>
      </w:r>
      <w:r>
        <w:t xml:space="preserve"> </w:t>
      </w:r>
      <w:r>
        <w:t xml:space="preserve">the backtracking procedure for the</w:t>
      </w:r>
      <w:r>
        <w:t xml:space="preserve"> </w:t>
      </w:r>
      <m:oMath>
        <m:r>
          <m:t>W</m:t>
        </m:r>
      </m:oMath>
      <w:r>
        <w:t xml:space="preserve"> </w:t>
      </w:r>
      <w:r>
        <w:t xml:space="preserve">update rather than assumed loss-invariant. Normalization</w:t>
      </w:r>
      <w:r>
        <w:t xml:space="preserve"> </w:t>
      </w:r>
      <w:r>
        <w:t xml:space="preserve">prevents degeneracy in the scale-nonidentifiable factorization and keeps</w:t>
      </w:r>
      <w:r>
        <w:t xml:space="preserve"> </w:t>
      </w:r>
      <w:r>
        <w:t xml:space="preserve">columns of</w:t>
      </w:r>
      <w:r>
        <w:t xml:space="preserve"> </w:t>
      </w:r>
      <m:oMath>
        <m:r>
          <m:t>W</m:t>
        </m:r>
      </m:oMath>
      <w:r>
        <w:t xml:space="preserve"> </w:t>
      </w:r>
      <w:r>
        <w:t xml:space="preserve">comparable in magnitude and interpretable as gene programs.</w:t>
      </w:r>
    </w:p>
    <w:bookmarkEnd w:id="26"/>
    <w:bookmarkEnd w:id="27"/>
    <w:bookmarkStart w:id="28" w:name="supervision-on-w-versus-h"/>
    <w:p>
      <w:pPr>
        <w:pStyle w:val="Heading1"/>
      </w:pPr>
      <w:r>
        <w:t xml:space="preserve">Supervision on (W) versus (H)</w:t>
      </w:r>
    </w:p>
    <w:p>
      <w:pPr>
        <w:pStyle w:val="FirstParagraph"/>
      </w:pPr>
      <w:r>
        <w:t xml:space="preserve">Classical nonnegative matrix factorization (NMF) is non-identifiable: for any</w:t>
      </w:r>
      <w:r>
        <w:t xml:space="preserve"> </w:t>
      </w:r>
      <w:r>
        <w:t xml:space="preserve">invertible matrix (R) with (W R \ge 0) and (R^{-1} H \ge 0), the factorization</w:t>
      </w:r>
      <w:r>
        <w:t xml:space="preserve"> </w:t>
      </w:r>
      <w:r>
        <w:t xml:space="preserve">((W, H)) can be transformed to ((W R, R^{-1} H)) without changing the</w:t>
      </w:r>
      <w:r>
        <w:t xml:space="preserve"> </w:t>
      </w:r>
      <w:r>
        <w:t xml:space="preserve">reconstruction error, yielding multiple valid solutions</w:t>
      </w:r>
      <w:hyperlink w:anchor="ref-donoho2004nmf">
        <w:r>
          <w:rPr>
            <w:rStyle w:val="Hyperlink"/>
            <w:vertAlign w:val="superscript"/>
          </w:rPr>
          <w:t xml:space="preserve">4</w:t>
        </w:r>
      </w:hyperlink>
      <w:r>
        <w:rPr>
          <w:vertAlign w:val="superscript"/>
        </w:rPr>
        <w:t xml:space="preserve">–</w:t>
      </w:r>
      <w:hyperlink w:anchor="ref-gillis2014nmf">
        <w:r>
          <w:rPr>
            <w:rStyle w:val="Hyperlink"/>
            <w:vertAlign w:val="superscript"/>
          </w:rPr>
          <w:t xml:space="preserve">6</w:t>
        </w:r>
      </w:hyperlink>
      <w:r>
        <w:t xml:space="preserve">. Although normalizing</w:t>
      </w:r>
      <w:r>
        <w:t xml:space="preserve"> </w:t>
      </w:r>
      <w:r>
        <w:t xml:space="preserve">columns of (W) or rows of (H) resolves the trivial scaling ambiguity,</w:t>
      </w:r>
      <w:r>
        <w:t xml:space="preserve"> </w:t>
      </w:r>
      <w:r>
        <w:t xml:space="preserve">nonnegative mixing transformations persist, so factorizations started from</w:t>
      </w:r>
      <w:r>
        <w:t xml:space="preserve"> </w:t>
      </w:r>
      <w:r>
        <w:t xml:space="preserve">different initializations need not agree</w:t>
      </w:r>
      <w:hyperlink w:anchor="ref-brunet2004metagenes">
        <w:r>
          <w:rPr>
            <w:rStyle w:val="Hyperlink"/>
            <w:vertAlign w:val="superscript"/>
          </w:rPr>
          <w:t xml:space="preserve">7</w:t>
        </w:r>
      </w:hyperlink>
      <w:r>
        <w:rPr>
          <w:vertAlign w:val="superscript"/>
        </w:rPr>
        <w:t xml:space="preserve">–</w:t>
      </w:r>
      <w:hyperlink w:anchor="ref-gillis2012accelerated">
        <w:r>
          <w:rPr>
            <w:rStyle w:val="Hyperlink"/>
            <w:vertAlign w:val="superscript"/>
          </w:rPr>
          <w:t xml:space="preserve">9</w:t>
        </w:r>
      </w:hyperlink>
      <w:r>
        <w:t xml:space="preserve">. This applies to</w:t>
      </w:r>
      <w:r>
        <w:t xml:space="preserve"> </w:t>
      </w:r>
      <w:r>
        <w:t xml:space="preserve">DeSurv as well: individual restarts of the reported model are dispersed, and the</w:t>
      </w:r>
      <w:r>
        <w:t xml:space="preserve"> </w:t>
      </w:r>
      <w:r>
        <w:t xml:space="preserve">final fit is obtained by a consensus procedure over many restarts</w:t>
      </w:r>
      <w:r>
        <w:t xml:space="preserve"> </w:t>
      </w:r>
      <w:r>
        <w:t xml:space="preserve">(Stability of the recovered gene programs).</w:t>
      </w:r>
    </w:p>
    <w:p>
      <w:pPr>
        <w:pStyle w:val="BodyText"/>
      </w:pPr>
      <w:r>
        <w:t xml:space="preserve">In DeSurv, survival supervision enters through the projection</w:t>
      </w:r>
      <w:r>
        <w:t xml:space="preserve"> </w:t>
      </w:r>
      <m:oMath>
        <m:r>
          <m:t>Z</m:t>
        </m:r>
        <m:r>
          <m:rPr>
            <m:sty m:val="p"/>
          </m:rPr>
          <m:t>=</m:t>
        </m:r>
        <m:sSup>
          <m:e>
            <m:r>
              <m:t>W</m:t>
            </m:r>
          </m:e>
          <m:sup>
            <m:r>
              <m:rPr>
                <m:sty m:val="p"/>
              </m:rPr>
              <m:t>⊤</m:t>
            </m:r>
          </m:sup>
        </m:sSup>
        <m:r>
          <m:t>X</m:t>
        </m:r>
      </m:oMath>
      <w:r>
        <w:t xml:space="preserve"> </w:t>
      </w:r>
      <w:r>
        <w:t xml:space="preserve">in the partial log-likelihood, so that both component losses have a gradient with respect to the programs. The update for</w:t>
      </w:r>
      <w:r>
        <w:t xml:space="preserve"> </w:t>
      </w:r>
      <m:oMath>
        <m:r>
          <m:t>W</m:t>
        </m:r>
      </m:oMath>
      <w:r>
        <w:t xml:space="preserve"> </w:t>
      </w:r>
      <w:r>
        <w:t xml:space="preserve">combines the weighted reconstruction gradient with the scaled log-partial-likelihood gradient</w:t>
      </w:r>
      <w:r>
        <w:t xml:space="preserve"> </w:t>
      </w:r>
      <m:oMath>
        <m:sSub>
          <m:e>
            <m:r>
              <m:t>G</m:t>
            </m:r>
          </m:e>
          <m:sub>
            <m:r>
              <m:rPr>
                <m:sty m:val="p"/>
              </m:rPr>
              <m:t>ℓ</m:t>
            </m:r>
          </m:sub>
        </m:sSub>
      </m:oMath>
      <w:r>
        <w:t xml:space="preserve"> </w:t>
      </w:r>
      <w:r>
        <w:t xml:space="preserve">through the rescaled multiplicative construction of Equations [eq:supp-zeta] to [eqn:W_update], so the gene-program definitions are shaped directly by their association with survival. That construction is a proposal direction and not the gradient of the full objective, which depends on</w:t>
      </w:r>
      <w:r>
        <w:t xml:space="preserve"> </w:t>
      </w:r>
      <m:oMath>
        <m:r>
          <m:t>W</m:t>
        </m:r>
      </m:oMath>
      <w:r>
        <w:t xml:space="preserve"> </w:t>
      </w:r>
      <w:r>
        <w:t xml:space="preserve">additionally through the penalty on</w:t>
      </w:r>
      <w:r>
        <w:t xml:space="preserve"> </w:t>
      </w:r>
      <m:oMath>
        <m:r>
          <m:t>b</m:t>
        </m:r>
        <m:r>
          <m:rPr>
            <m:sty m:val="p"/>
          </m:rPr>
          <m:t>=</m:t>
        </m:r>
        <m:sSub>
          <m:e>
            <m:r>
              <m:t>D</m:t>
            </m:r>
          </m:e>
          <m:sub>
            <m:r>
              <m:t>Z</m:t>
            </m:r>
          </m:sub>
        </m:sSub>
        <m:r>
          <m:t>β</m:t>
        </m:r>
      </m:oMath>
      <w:r>
        <w:t xml:space="preserve"> </w:t>
      </w:r>
      <w:r>
        <w:t xml:space="preserve">(Update for</w:t>
      </w:r>
      <w:r>
        <w:t xml:space="preserve"> </w:t>
      </w:r>
      <m:oMath>
        <m:r>
          <m:t>W</m:t>
        </m:r>
      </m:oMath>
      <w:r>
        <w:t xml:space="preserve">).</w:t>
      </w:r>
    </w:p>
    <w:p>
      <w:pPr>
        <w:pStyle w:val="BodyText"/>
      </w:pPr>
      <w:r>
        <w:t xml:space="preserve">Related supervised-NMF methods instead place the survival term on the sample</w:t>
      </w:r>
      <w:r>
        <w:t xml:space="preserve"> </w:t>
      </w:r>
      <w:r>
        <w:t xml:space="preserve">side. CoxNMF maximizes a Cox partial likelihood whose covariates are the columns</w:t>
      </w:r>
      <w:r>
        <w:t xml:space="preserve"> </w:t>
      </w:r>
      <w:r>
        <w:t xml:space="preserve">of (H)</w:t>
      </w:r>
      <w:hyperlink w:anchor="ref-huang2020low">
        <w:r>
          <w:rPr>
            <w:rStyle w:val="Hyperlink"/>
            <w:vertAlign w:val="superscript"/>
          </w:rPr>
          <w:t xml:space="preserve">10</w:t>
        </w:r>
      </w:hyperlink>
      <w:r>
        <w:t xml:space="preserve">, and SurvNMF jointly learns the factorization and a Cox</w:t>
      </w:r>
      <w:r>
        <w:t xml:space="preserve"> </w:t>
      </w:r>
      <w:r>
        <w:t xml:space="preserve">model on the sample-side latent matrix, which its own transposed notation writes</w:t>
      </w:r>
      <w:r>
        <w:t xml:space="preserve"> </w:t>
      </w:r>
      <w:r>
        <w:t xml:space="preserve">as (W)</w:t>
      </w:r>
      <w:hyperlink w:anchor="ref-le2025survnmf">
        <w:r>
          <w:rPr>
            <w:rStyle w:val="Hyperlink"/>
            <w:vertAlign w:val="superscript"/>
          </w:rPr>
          <w:t xml:space="preserve">11</w:t>
        </w:r>
      </w:hyperlink>
      <w:r>
        <w:t xml:space="preserve">. Because the risk score under either formulation is a</w:t>
      </w:r>
      <w:r>
        <w:t xml:space="preserve"> </w:t>
      </w:r>
      <w:r>
        <w:t xml:space="preserve">function of the sample loadings rather than of the gene-program basis, a new</w:t>
      </w:r>
      <w:r>
        <w:t xml:space="preserve"> </w:t>
      </w:r>
      <w:r>
        <w:t xml:space="preserve">sample needs loadings of its own. SurvNMF documents such a step, obtaining them</w:t>
      </w:r>
      <w:r>
        <w:t xml:space="preserve"> </w:t>
      </w:r>
      <w:r>
        <w:t xml:space="preserve">for held-out samples by a constrained least-squares fit; that step holds the gene</w:t>
      </w:r>
      <w:r>
        <w:t xml:space="preserve"> </w:t>
      </w:r>
      <w:r>
        <w:t xml:space="preserve">basis fixed and needs neither relearning of the basis nor validation survival</w:t>
      </w:r>
      <w:r>
        <w:t xml:space="preserve"> </w:t>
      </w:r>
      <w:r>
        <w:t xml:space="preserve">outcomes, so it is an additional fitting step at transfer rather than a leak.</w:t>
      </w:r>
      <w:r>
        <w:t xml:space="preserve"> </w:t>
      </w:r>
      <w:r>
        <w:t xml:space="preserve">CoxNMF’s published description does not specify a new-sample scoring procedure.</w:t>
      </w:r>
    </w:p>
    <w:p>
      <w:pPr>
        <w:pStyle w:val="BodyText"/>
      </w:pPr>
      <w:r>
        <w:t xml:space="preserve">With supervision applied to the sample loadings (H), the Cox term has no direct</w:t>
      </w:r>
      <w:r>
        <w:t xml:space="preserve"> </w:t>
      </w:r>
      <w:r>
        <w:t xml:space="preserve">gradient with respect to the gene-program matrix (W); survival can nevertheless</w:t>
      </w:r>
      <w:r>
        <w:t xml:space="preserve"> </w:t>
      </w:r>
      <w:r>
        <w:t xml:space="preserve">influence (W) indirectly through the alternating reconstruction updates</w:t>
      </w:r>
      <w:r>
        <w:t xml:space="preserve"> </w:t>
      </w:r>
      <w:r>
        <w:t xml:space="preserve">involving (H). The distinction concerns where supervision enters the objective,</w:t>
      </w:r>
      <w:r>
        <w:t xml:space="preserve"> </w:t>
      </w:r>
      <w:r>
        <w:t xml:space="preserve">not a guarantee that sample-side supervision leaves the basis unchanged; related</w:t>
      </w:r>
      <w:r>
        <w:t xml:space="preserve"> </w:t>
      </w:r>
      <w:r>
        <w:t xml:space="preserve">considerations arise in supervised topic models</w:t>
      </w:r>
      <w:hyperlink w:anchor="ref-blei2007slda">
        <w:r>
          <w:rPr>
            <w:rStyle w:val="Hyperlink"/>
            <w:vertAlign w:val="superscript"/>
          </w:rPr>
          <w:t xml:space="preserve">12</w:t>
        </w:r>
      </w:hyperlink>
      <w:r>
        <w:t xml:space="preserve">.</w:t>
      </w:r>
    </w:p>
    <w:p>
      <w:pPr>
        <w:pStyle w:val="BodyText"/>
      </w:pPr>
      <w:r>
        <w:t xml:space="preserve">Supervising (W) also provides a practical advantage for</w:t>
      </w:r>
      <w:r>
        <w:t xml:space="preserve"> </w:t>
      </w:r>
      <w:r>
        <w:rPr>
          <w:bCs/>
          <w:b/>
        </w:rPr>
        <w:t xml:space="preserve">portability</w:t>
      </w:r>
      <w:r>
        <w:t xml:space="preserve">:</w:t>
      </w:r>
      <w:r>
        <w:t xml:space="preserve"> </w:t>
      </w:r>
      <w:r>
        <w:t xml:space="preserve">because (W) defines gene-level programs, new samples can be scored directly by the projection (Z_{\text{new}} = W^\top X_{\text{new}}). Supervising (H)</w:t>
      </w:r>
      <w:r>
        <w:t xml:space="preserve"> </w:t>
      </w:r>
      <w:r>
        <w:t xml:space="preserve">would not yield such a mapping: obtaining sample loadings for external datasets</w:t>
      </w:r>
      <w:r>
        <w:t xml:space="preserve"> </w:t>
      </w:r>
      <w:r>
        <w:t xml:space="preserve">would require an additional sample-specific estimation step, a nonnegative least-squares (NNLS) problem for each new sample. SurvNMF uses constrained least squares for held-out samples; CoxNMF does not describe new-sample scoring in the cited source (Supplementary Table [tab:architecture]). Estimating loadings with a fixed basis does not require relearning the gene programs or using validation survival outcomes.</w:t>
      </w:r>
    </w:p>
    <w:p>
      <w:pPr>
        <w:pStyle w:val="BodyText"/>
      </w:pPr>
      <w:r>
        <w:t xml:space="preserve">Supervising through (W) is therefore intended to shape the gene programs</w:t>
      </w:r>
      <w:r>
        <w:t xml:space="preserve"> </w:t>
      </w:r>
      <w:r>
        <w:t xml:space="preserve">toward prognostic directions and to yield signatures that can be scored</w:t>
      </w:r>
      <w:r>
        <w:t xml:space="preserve"> </w:t>
      </w:r>
      <w:r>
        <w:t xml:space="preserve">unchanged in new cohorts; whether they do so is an empirical question addressed</w:t>
      </w:r>
      <w:r>
        <w:t xml:space="preserve"> </w:t>
      </w:r>
      <w:r>
        <w:t xml:space="preserve">in Part II.</w:t>
      </w:r>
    </w:p>
    <w:p>
      <w:pPr>
        <w:pStyle w:val="BodyText"/>
      </w:pPr>
      <w:r>
        <w:t xml:space="preserve">Supplementary Table [tab:architecture] places DeSurv beside the unsupervised</w:t>
      </w:r>
      <w:r>
        <w:t xml:space="preserve"> </w:t>
      </w:r>
      <w:r>
        <w:t xml:space="preserve">factorization it extends, the two published survival-supervised factorizations,</w:t>
      </w:r>
      <w:r>
        <w:t xml:space="preserve"> </w:t>
      </w:r>
      <w:r>
        <w:t xml:space="preserve">and the two conventional supervised predictors used as comparators, by where</w:t>
      </w:r>
      <w:r>
        <w:t xml:space="preserve"> </w:t>
      </w:r>
      <w:r>
        <w:t xml:space="preserve">survival enters each method, what object is learned, and what must happen when</w:t>
      </w:r>
      <w:r>
        <w:t xml:space="preserve"> </w:t>
      </w:r>
      <w:r>
        <w:t xml:space="preserve">a new sample arrives. It records architecture only; it does not rank the methods.</w:t>
      </w:r>
    </w:p>
    <w:p>
      <w:pPr>
        <w:pStyle w:val="BodyText"/>
      </w:pPr>
      <w:r>
        <w:t xml:space="preserve">p{2.2cm}&gt;{}p{4.1cm}&gt;{}p{4.1cm}&gt;{}p{4.1cm}&gt;{}p{4.1cm}&gt;{}p{4.1cm}}</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Method</w:t>
            </w:r>
          </w:p>
        </w:tc>
        <w:tc>
          <w:tcPr/>
          <w:p>
            <w:pPr>
              <w:pStyle w:val="Compact"/>
              <w:jc w:val="left"/>
            </w:pPr>
            <w:r>
              <w:t xml:space="preserve">Learned representation</w:t>
            </w:r>
          </w:p>
        </w:tc>
        <w:tc>
          <w:tcPr/>
          <w:p>
            <w:pPr>
              <w:pStyle w:val="Compact"/>
              <w:jc w:val="left"/>
            </w:pPr>
            <w:r>
              <w:t xml:space="preserve">Where survival enters</w:t>
            </w:r>
          </w:p>
        </w:tc>
        <w:tc>
          <w:tcPr/>
          <w:p>
            <w:pPr>
              <w:pStyle w:val="Compact"/>
              <w:jc w:val="left"/>
            </w:pPr>
            <w:r>
              <w:t xml:space="preserve">Gene-program basis directly supervised?</w:t>
            </w:r>
          </w:p>
        </w:tc>
        <w:tc>
          <w:tcPr/>
          <w:p>
            <w:pPr>
              <w:pStyle w:val="Compact"/>
              <w:jc w:val="left"/>
            </w:pPr>
            <w:r>
              <w:t xml:space="preserve">New-sample scoring</w:t>
            </w:r>
          </w:p>
        </w:tc>
        <w:tc>
          <w:tcPr/>
          <w:p>
            <w:pPr>
              <w:pStyle w:val="Compact"/>
              <w:jc w:val="left"/>
            </w:pPr>
            <w:r>
              <w:t xml:space="preserve">External latent-variable re-estimation?</w:t>
            </w:r>
          </w:p>
        </w:tc>
      </w:tr>
      <w:tr>
        <w:tc>
          <w:tcPr/>
          <w:p>
            <w:pPr>
              <w:pStyle w:val="Compact"/>
              <w:jc w:val="left"/>
            </w:pPr>
            <w:r>
              <w:t xml:space="preserve">Standard NMF</w:t>
            </w:r>
          </w:p>
        </w:tc>
        <w:tc>
          <w:tcPr/>
          <w:p>
            <w:pPr>
              <w:pStyle w:val="Compact"/>
              <w:jc w:val="left"/>
            </w:pPr>
            <w:r>
              <w:t xml:space="preserve">Gene programs</w:t>
            </w:r>
            <w:r>
              <w:t xml:space="preserve"> </w:t>
            </w:r>
            <m:oMath>
              <m:r>
                <m:t>W</m:t>
              </m:r>
            </m:oMath>
            <w:r>
              <w:t xml:space="preserve"> </w:t>
            </w:r>
            <w:r>
              <w:t xml:space="preserve">and sample loadings</w:t>
            </w:r>
            <w:r>
              <w:t xml:space="preserve"> </w:t>
            </w:r>
            <m:oMath>
              <m:r>
                <m:t>H</m:t>
              </m:r>
            </m:oMath>
          </w:p>
        </w:tc>
        <w:tc>
          <w:tcPr/>
          <w:p>
            <w:pPr>
              <w:pStyle w:val="Compact"/>
              <w:jc w:val="left"/>
            </w:pPr>
            <w:r>
              <w:t xml:space="preserve">Not in the factorization; Cox fitted afterwards on projected scores (Methods)</w:t>
            </w:r>
          </w:p>
        </w:tc>
        <w:tc>
          <w:tcPr/>
          <w:p>
            <w:pPr>
              <w:pStyle w:val="Compact"/>
              <w:jc w:val="left"/>
            </w:pPr>
            <w:r>
              <w:t xml:space="preserve">No</w:t>
            </w:r>
          </w:p>
        </w:tc>
        <w:tc>
          <w:tcPr/>
          <w:p>
            <w:pPr>
              <w:pStyle w:val="Compact"/>
              <w:jc w:val="left"/>
            </w:pPr>
            <w:r>
              <w:t xml:space="preserve">In this study, projection onto the fixed</w:t>
            </w:r>
            <w:r>
              <w:t xml:space="preserve"> </w:t>
            </w:r>
            <m:oMath>
              <m:r>
                <m:t>W</m:t>
              </m:r>
            </m:oMath>
            <w:r>
              <w:t xml:space="preserve">, as for DeSurv (Methods)</w:t>
            </w:r>
          </w:p>
        </w:tc>
        <w:tc>
          <w:tcPr/>
          <w:p>
            <w:pPr>
              <w:pStyle w:val="Compact"/>
              <w:jc w:val="left"/>
            </w:pPr>
            <w:r>
              <w:t xml:space="preserve">No (projection)</w:t>
            </w:r>
          </w:p>
        </w:tc>
      </w:tr>
      <w:tr>
        <w:tc>
          <w:tcPr/>
          <w:p>
            <w:pPr>
              <w:pStyle w:val="Compact"/>
              <w:jc w:val="left"/>
            </w:pPr>
            <w:r>
              <w:t xml:space="preserve">DeSurv (this work)</w:t>
            </w:r>
          </w:p>
        </w:tc>
        <w:tc>
          <w:tcPr/>
          <w:p>
            <w:pPr>
              <w:pStyle w:val="Compact"/>
              <w:jc w:val="left"/>
            </w:pPr>
            <w:r>
              <w:t xml:space="preserve">Gene programs</w:t>
            </w:r>
            <w:r>
              <w:t xml:space="preserve"> </w:t>
            </w:r>
            <m:oMath>
              <m:r>
                <m:t>W</m:t>
              </m:r>
            </m:oMath>
            <w:r>
              <w:t xml:space="preserve">, sample loadings</w:t>
            </w:r>
            <w:r>
              <w:t xml:space="preserve"> </w:t>
            </w:r>
            <m:oMath>
              <m:r>
                <m:t>H</m:t>
              </m:r>
            </m:oMath>
            <w:r>
              <w:t xml:space="preserve"> </w:t>
            </w:r>
            <w:r>
              <w:t xml:space="preserve">and Cox coefficients</w:t>
            </w:r>
            <w:r>
              <w:t xml:space="preserve"> </w:t>
            </w:r>
            <m:oMath>
              <m:r>
                <m:t>β</m:t>
              </m:r>
            </m:oMath>
            <w:r>
              <w:t xml:space="preserve"> </w:t>
            </w:r>
            <w:r>
              <w:t xml:space="preserve">on</w:t>
            </w:r>
            <w:r>
              <w:t xml:space="preserve"> </w:t>
            </w:r>
            <m:oMath>
              <m:r>
                <m:t>Z</m:t>
              </m:r>
              <m:r>
                <m:rPr>
                  <m:sty m:val="p"/>
                </m:rPr>
                <m:t>=</m:t>
              </m:r>
              <m:sSup>
                <m:e>
                  <m:r>
                    <m:t>W</m:t>
                  </m:r>
                </m:e>
                <m:sup>
                  <m:r>
                    <m:rPr>
                      <m:sty m:val="p"/>
                    </m:rPr>
                    <m:t>⊤</m:t>
                  </m:r>
                </m:sup>
              </m:sSup>
              <m:r>
                <m:t>X</m:t>
              </m:r>
            </m:oMath>
          </w:p>
        </w:tc>
        <w:tc>
          <w:tcPr/>
          <w:p>
            <w:pPr>
              <w:pStyle w:val="Compact"/>
              <w:jc w:val="left"/>
            </w:pPr>
            <w:r>
              <w:t xml:space="preserve">Cox partial likelihood on</w:t>
            </w:r>
            <w:r>
              <w:t xml:space="preserve"> </w:t>
            </w:r>
            <m:oMath>
              <m:r>
                <m:t>Z</m:t>
              </m:r>
              <m:r>
                <m:rPr>
                  <m:sty m:val="p"/>
                </m:rPr>
                <m:t>=</m:t>
              </m:r>
              <m:sSup>
                <m:e>
                  <m:r>
                    <m:t>W</m:t>
                  </m:r>
                </m:e>
                <m:sup>
                  <m:r>
                    <m:rPr>
                      <m:sty m:val="p"/>
                    </m:rPr>
                    <m:t>⊤</m:t>
                  </m:r>
                </m:sup>
              </m:sSup>
              <m:r>
                <m:t>X</m:t>
              </m:r>
            </m:oMath>
            <w:r>
              <w:t xml:space="preserve">; its gradient acts on</w:t>
            </w:r>
            <w:r>
              <w:t xml:space="preserve"> </w:t>
            </w:r>
            <m:oMath>
              <m:r>
                <m:t>W</m:t>
              </m:r>
            </m:oMath>
            <w:r>
              <w:t xml:space="preserve"> </w:t>
            </w:r>
            <w:r>
              <w:t xml:space="preserve">(Methods)</w:t>
            </w:r>
          </w:p>
        </w:tc>
        <w:tc>
          <w:tcPr/>
          <w:p>
            <w:pPr>
              <w:pStyle w:val="Compact"/>
              <w:jc w:val="left"/>
            </w:pPr>
            <w:r>
              <w:t xml:space="preserve">Yes</w:t>
            </w:r>
          </w:p>
        </w:tc>
        <w:tc>
          <w:tcPr/>
          <w:p>
            <w:pPr>
              <w:pStyle w:val="Compact"/>
              <w:jc w:val="left"/>
            </w:pPr>
            <w:r>
              <w:t xml:space="preserve">Projection</w:t>
            </w:r>
            <w:r>
              <w:t xml:space="preserve"> </w:t>
            </w:r>
            <m:oMath>
              <m:r>
                <m:t>Z</m:t>
              </m:r>
              <m:r>
                <m:rPr>
                  <m:sty m:val="p"/>
                </m:rPr>
                <m:t>=</m:t>
              </m:r>
              <m:sSup>
                <m:e>
                  <m:acc>
                    <m:accPr>
                      <m:chr m:val="̃"/>
                    </m:accPr>
                    <m:e>
                      <m:r>
                        <m:t>W</m:t>
                      </m:r>
                    </m:e>
                  </m:acc>
                </m:e>
                <m:sup>
                  <m:r>
                    <m:rPr>
                      <m:sty m:val="p"/>
                    </m:rPr>
                    <m:t>⊤</m:t>
                  </m:r>
                </m:sup>
              </m:sSup>
              <m:sSub>
                <m:e>
                  <m:r>
                    <m:t>X</m:t>
                  </m:r>
                </m:e>
                <m:sub>
                  <m:r>
                    <m:rPr>
                      <m:nor/>
                      <m:sty m:val="p"/>
                    </m:rPr>
                    <m:t>new</m:t>
                  </m:r>
                </m:sub>
              </m:sSub>
            </m:oMath>
            <w:r>
              <w:t xml:space="preserve"> </w:t>
            </w:r>
            <w:r>
              <w:t xml:space="preserve">with</w:t>
            </w:r>
            <w:r>
              <w:t xml:space="preserve"> </w:t>
            </w:r>
            <m:oMath>
              <m:acc>
                <m:accPr>
                  <m:chr m:val="̃"/>
                </m:accPr>
                <m:e>
                  <m:r>
                    <m:t>W</m:t>
                  </m:r>
                </m:e>
              </m:acc>
            </m:oMath>
            <w:r>
              <w:t xml:space="preserve"> </w:t>
            </w:r>
            <w:r>
              <w:t xml:space="preserve">frozen (Methods)</w:t>
            </w:r>
          </w:p>
        </w:tc>
        <w:tc>
          <w:tcPr/>
          <w:p>
            <w:pPr>
              <w:pStyle w:val="Compact"/>
              <w:jc w:val="left"/>
            </w:pPr>
            <w:r>
              <w:t xml:space="preserve">No</w:t>
            </w:r>
          </w:p>
        </w:tc>
      </w:tr>
      <w:tr>
        <w:tc>
          <w:tcPr/>
          <w:p>
            <w:pPr>
              <w:pStyle w:val="Compact"/>
              <w:jc w:val="left"/>
            </w:pPr>
            <w:r>
              <w:t xml:space="preserve">CoxNMF</w:t>
            </w:r>
          </w:p>
        </w:tc>
        <w:tc>
          <w:tcPr/>
          <w:p>
            <w:pPr>
              <w:pStyle w:val="Compact"/>
              <w:jc w:val="left"/>
            </w:pPr>
            <w:r>
              <w:t xml:space="preserve">Basis</w:t>
            </w:r>
            <w:r>
              <w:t xml:space="preserve"> </w:t>
            </w:r>
            <m:oMath>
              <m:r>
                <m:t>W</m:t>
              </m:r>
            </m:oMath>
            <w:r>
              <w:t xml:space="preserve"> </w:t>
            </w:r>
            <w:r>
              <w:t xml:space="preserve">(genes) and coefficients</w:t>
            </w:r>
            <w:r>
              <w:t xml:space="preserve"> </w:t>
            </w:r>
            <m:oMath>
              <m:r>
                <m:t>H</m:t>
              </m:r>
            </m:oMath>
            <w:r>
              <w:t xml:space="preserve"> </w:t>
            </w:r>
            <w:r>
              <w:t xml:space="preserve">(samples), with Cox coefficients</w:t>
            </w:r>
            <w:r>
              <w:t xml:space="preserve"> </w:t>
            </w:r>
            <m:oMath>
              <m:r>
                <m:t>β</m:t>
              </m:r>
            </m:oMath>
            <w:r>
              <w:t xml:space="preserve"> </w:t>
            </w:r>
            <w:r>
              <w:t xml:space="preserve">on</w:t>
            </w:r>
            <w:r>
              <w:t xml:space="preserve"> </w:t>
            </w:r>
            <m:oMath>
              <m:r>
                <m:t>H</m:t>
              </m:r>
            </m:oMath>
          </w:p>
        </w:tc>
        <w:tc>
          <w:tcPr/>
          <w:p>
            <w:pPr>
              <w:pStyle w:val="Compact"/>
              <w:jc w:val="left"/>
            </w:pPr>
            <w:r>
              <w:t xml:space="preserve">Cox partial likelihood whose covariates are the columns of</w:t>
            </w:r>
            <w:r>
              <w:t xml:space="preserve"> </w:t>
            </w:r>
            <m:oMath>
              <m:r>
                <m:t>H</m:t>
              </m:r>
            </m:oMath>
            <w:r>
              <w:t xml:space="preserve"> </w:t>
            </w:r>
            <w:r>
              <w:t xml:space="preserve">(published objective)</w:t>
            </w:r>
          </w:p>
        </w:tc>
        <w:tc>
          <w:tcPr/>
          <w:p>
            <w:pPr>
              <w:pStyle w:val="Compact"/>
              <w:jc w:val="left"/>
            </w:pPr>
            <w:r>
              <w:t xml:space="preserve">No: the Cox term does not depend on</w:t>
            </w:r>
            <w:r>
              <w:t xml:space="preserve"> </w:t>
            </w:r>
            <m:oMath>
              <m:r>
                <m:t>W</m:t>
              </m:r>
            </m:oMath>
            <w:r>
              <w:t xml:space="preserve"> </w:t>
            </w:r>
            <w:r>
              <w:t xml:space="preserve">(published objective)</w:t>
            </w:r>
          </w:p>
        </w:tc>
        <w:tc>
          <w:tcPr/>
          <w:p>
            <w:pPr>
              <w:pStyle w:val="Compact"/>
              <w:jc w:val="left"/>
            </w:pPr>
            <w:r>
              <w:t xml:space="preserve">Not described in the source</w:t>
            </w:r>
          </w:p>
        </w:tc>
        <w:tc>
          <w:tcPr/>
          <w:p>
            <w:pPr>
              <w:pStyle w:val="Compact"/>
              <w:jc w:val="left"/>
            </w:pPr>
            <w:r>
              <w:t xml:space="preserve">Not described in the source</w:t>
            </w:r>
          </w:p>
        </w:tc>
      </w:tr>
      <w:tr>
        <w:tc>
          <w:tcPr/>
          <w:p>
            <w:pPr>
              <w:pStyle w:val="Compact"/>
              <w:jc w:val="left"/>
            </w:pPr>
            <w:r>
              <w:t xml:space="preserve">SurvNMF</w:t>
            </w:r>
          </w:p>
        </w:tc>
        <w:tc>
          <w:tcPr/>
          <w:p>
            <w:pPr>
              <w:pStyle w:val="Compact"/>
              <w:jc w:val="left"/>
            </w:pPr>
            <w:r>
              <w:t xml:space="preserve">Sample-side latent matrix and feature matrix (the former is denoted</w:t>
            </w:r>
            <w:r>
              <w:t xml:space="preserve"> </w:t>
            </w:r>
            <m:oMath>
              <m:r>
                <m:t>W</m:t>
              </m:r>
            </m:oMath>
            <w:r>
              <w:t xml:space="preserve"> </w:t>
            </w:r>
            <w:r>
              <w:t xml:space="preserve">in SurvNMF’s transposed notation; full text)</w:t>
            </w:r>
          </w:p>
        </w:tc>
        <w:tc>
          <w:tcPr/>
          <w:p>
            <w:pPr>
              <w:pStyle w:val="Compact"/>
              <w:jc w:val="left"/>
            </w:pPr>
            <w:r>
              <w:t xml:space="preserve">Cox model fitted jointly on the sample-side latent matrix (full text)</w:t>
            </w:r>
          </w:p>
        </w:tc>
        <w:tc>
          <w:tcPr/>
          <w:p>
            <w:pPr>
              <w:pStyle w:val="Compact"/>
              <w:jc w:val="left"/>
            </w:pPr>
            <w:r>
              <w:t xml:space="preserve">No: the Cox term is on the sample side (full text)</w:t>
            </w:r>
          </w:p>
        </w:tc>
        <w:tc>
          <w:tcPr/>
          <w:p>
            <w:pPr>
              <w:pStyle w:val="Compact"/>
              <w:jc w:val="left"/>
            </w:pPr>
            <w:r>
              <w:t xml:space="preserve">Held-out loadings re-solved by constrained least squares (HALS) with the feature matrix fixed (full text)</w:t>
            </w:r>
          </w:p>
        </w:tc>
        <w:tc>
          <w:tcPr/>
          <w:p>
            <w:pPr>
              <w:pStyle w:val="Compact"/>
              <w:jc w:val="left"/>
            </w:pPr>
            <w:r>
              <w:t xml:space="preserve">Yes, for held-out samples; reported for simulated data only (full text)</w:t>
            </w:r>
          </w:p>
        </w:tc>
      </w:tr>
      <w:tr>
        <w:tc>
          <w:tcPr/>
          <w:p>
            <w:pPr>
              <w:pStyle w:val="Compact"/>
              <w:jc w:val="left"/>
            </w:pPr>
            <w:r>
              <w:t xml:space="preserve">Supervised principal components</w:t>
            </w:r>
          </w:p>
        </w:tc>
        <w:tc>
          <w:tcPr/>
          <w:p>
            <w:pPr>
              <w:pStyle w:val="Compact"/>
              <w:jc w:val="left"/>
            </w:pPr>
            <w:r>
              <w:t xml:space="preserve">Principal components of genes passing a univariate Cox score threshold</w:t>
            </w:r>
          </w:p>
        </w:tc>
        <w:tc>
          <w:tcPr/>
          <w:p>
            <w:pPr>
              <w:pStyle w:val="Compact"/>
              <w:jc w:val="left"/>
            </w:pPr>
            <w:r>
              <w:t xml:space="preserve">Gene screening by Cox score before the components are formed (Methods)</w:t>
            </w:r>
          </w:p>
        </w:tc>
        <w:tc>
          <w:tcPr/>
          <w:p>
            <w:pPr>
              <w:pStyle w:val="Compact"/>
              <w:jc w:val="left"/>
            </w:pPr>
            <w:r>
              <w:t xml:space="preserve">No: components are unsupervised on the screened genes</w:t>
            </w:r>
          </w:p>
        </w:tc>
        <w:tc>
          <w:tcPr/>
          <w:p>
            <w:pPr>
              <w:pStyle w:val="Compact"/>
              <w:jc w:val="left"/>
            </w:pPr>
            <w:r>
              <w:t xml:space="preserve">Fixed linear map over the screened genes (Methods)</w:t>
            </w:r>
          </w:p>
        </w:tc>
        <w:tc>
          <w:tcPr/>
          <w:p>
            <w:pPr>
              <w:pStyle w:val="Compact"/>
              <w:jc w:val="left"/>
            </w:pPr>
            <w:r>
              <w:t xml:space="preserve">No</w:t>
            </w:r>
          </w:p>
        </w:tc>
      </w:tr>
      <w:tr>
        <w:tc>
          <w:tcPr/>
          <w:p>
            <w:pPr>
              <w:pStyle w:val="Compact"/>
              <w:jc w:val="left"/>
            </w:pPr>
            <w:r>
              <w:t xml:space="preserve">Penalized Cox regression</w:t>
            </w:r>
          </w:p>
        </w:tc>
        <w:tc>
          <w:tcPr/>
          <w:p>
            <w:pPr>
              <w:pStyle w:val="Compact"/>
              <w:jc w:val="left"/>
            </w:pPr>
            <w:r>
              <w:t xml:space="preserve">One coefficient vector over genes (a single linear predictor)</w:t>
            </w:r>
          </w:p>
        </w:tc>
        <w:tc>
          <w:tcPr/>
          <w:p>
            <w:pPr>
              <w:pStyle w:val="Compact"/>
              <w:jc w:val="left"/>
            </w:pPr>
            <w:r>
              <w:t xml:space="preserve">Directly: the objective is the penalized Cox likelihood (Methods)</w:t>
            </w:r>
          </w:p>
        </w:tc>
        <w:tc>
          <w:tcPr/>
          <w:p>
            <w:pPr>
              <w:pStyle w:val="Compact"/>
              <w:jc w:val="left"/>
            </w:pPr>
            <w:r>
              <w:t xml:space="preserve">No gene programs are learned</w:t>
            </w:r>
          </w:p>
        </w:tc>
        <w:tc>
          <w:tcPr/>
          <w:p>
            <w:pPr>
              <w:pStyle w:val="Compact"/>
              <w:jc w:val="left"/>
            </w:pPr>
            <w:r>
              <w:t xml:space="preserve">Fixed linear predictor (Methods)</w:t>
            </w:r>
          </w:p>
        </w:tc>
        <w:tc>
          <w:tcPr/>
          <w:p>
            <w:pPr>
              <w:pStyle w:val="Compact"/>
              <w:jc w:val="left"/>
            </w:pPr>
            <w:r>
              <w:t xml:space="preserve">No</w:t>
            </w:r>
          </w:p>
        </w:tc>
      </w:tr>
    </w:tbl>
    <w:p>
      <w:pPr>
        <w:pStyle w:val="BodyText"/>
      </w:pPr>
      <w:r>
        <w:rPr>
          <w:iCs/>
          <w:i/>
        </w:rPr>
        <w:t xml:space="preserve">Where survival supervision enters, and what a new sample requires, for DeSurv and five comparators. Cells for DeSurv, standard NMF, supervised principal components and penalized Cox regression are taken from the Methods of this manuscript; CoxNMF cells from its published objective function and SurvNMF cells from its full text; both works are cited in the text of this section. ``Not described in the source’’ means the cited work does not state the behavior; no other cell is inferred. The table records architecture and does not rank the methods. Note: CoxNMF does not describe a procedure for scoring new samples. The implication that sample-side loadings would need to be obtained for new samples follows from its published objective and is an inference, not a reported implementation.</w:t>
      </w:r>
    </w:p>
    <w:bookmarkEnd w:id="28"/>
    <w:bookmarkStart w:id="29" w:name="cross-validation-procedure"/>
    <w:p>
      <w:pPr>
        <w:pStyle w:val="Heading1"/>
      </w:pPr>
      <w:r>
        <w:t xml:space="preserve">Cross-validation procedure</w:t>
      </w:r>
    </w:p>
    <w:p>
      <w:pPr>
        <w:pStyle w:val="FirstParagraph"/>
      </w:pPr>
      <w:r>
        <w:t xml:space="preserve">Algorithm [alg:cv] describes the cross validation procedure with</w:t>
      </w:r>
      <w:r>
        <w:t xml:space="preserve"> </w:t>
      </w:r>
      <m:oMath>
        <m:r>
          <m:t>F</m:t>
        </m:r>
      </m:oMath>
      <w:r>
        <w:t xml:space="preserve"> </w:t>
      </w:r>
      <w:r>
        <w:t xml:space="preserve">folds and</w:t>
      </w:r>
      <w:r>
        <w:t xml:space="preserve"> </w:t>
      </w:r>
      <m:oMath>
        <m:r>
          <m:t>R</m:t>
        </m:r>
      </m:oMath>
      <w:r>
        <w:t xml:space="preserve"> </w:t>
      </w:r>
      <w:r>
        <w:t xml:space="preserve">initializations.</w:t>
      </w:r>
      <w:r>
        <w:t xml:space="preserve"> </w:t>
      </w:r>
      <w:r>
        <w:t xml:space="preserve">We define the C-index using comparable pairs</w:t>
      </w:r>
      <w:r>
        <w:t xml:space="preserve"> </w:t>
      </w:r>
      <m:oMath>
        <m:r>
          <m:rPr>
            <m:sty m:val="p"/>
            <m:scr m:val="script"/>
          </m:rPr>
          <m:t>P</m:t>
        </m:r>
        <m:r>
          <m:rPr>
            <m:sty m:val="p"/>
          </m:rPr>
          <m:t>=</m:t>
        </m:r>
        <m:r>
          <m:rPr>
            <m:sty m:val="p"/>
          </m:rPr>
          <m:t>{</m:t>
        </m:r>
        <m:d>
          <m:dPr>
            <m:begChr m:val="("/>
            <m:endChr m:val=")"/>
            <m:sepChr m:val=""/>
            <m:grow/>
          </m:dPr>
          <m:e>
            <m:r>
              <m:t>i</m:t>
            </m:r>
            <m:r>
              <m:rPr>
                <m:sty m:val="p"/>
              </m:rPr>
              <m:t>,</m:t>
            </m:r>
            <m:r>
              <m:t>j</m:t>
            </m:r>
          </m:e>
        </m:d>
        <m:r>
          <m:rPr>
            <m:sty m:val="p"/>
          </m:rPr>
          <m:t>:</m:t>
        </m:r>
        <m:sSub>
          <m:e>
            <m:r>
              <m:t>y</m:t>
            </m:r>
          </m:e>
          <m:sub>
            <m:r>
              <m:t>i</m:t>
            </m:r>
          </m:sub>
        </m:sSub>
        <m:r>
          <m:rPr>
            <m:sty m:val="p"/>
          </m:rPr>
          <m:t>&lt;</m:t>
        </m:r>
        <m:sSub>
          <m:e>
            <m:r>
              <m:t>y</m:t>
            </m:r>
          </m:e>
          <m:sub>
            <m:r>
              <m:t>j</m:t>
            </m:r>
          </m:sub>
        </m:sSub>
        <m:r>
          <m:rPr>
            <m:sty m:val="p"/>
          </m:rPr>
          <m:t>,</m:t>
        </m:r>
        <m:r>
          <m:t> </m:t>
        </m:r>
        <m:sSub>
          <m:e>
            <m:r>
              <m:t>δ</m:t>
            </m:r>
          </m:e>
          <m:sub>
            <m:r>
              <m:t>i</m:t>
            </m:r>
          </m:sub>
        </m:sSub>
        <m:r>
          <m:rPr>
            <m:sty m:val="p"/>
          </m:rPr>
          <m:t>=</m:t>
        </m:r>
        <m:r>
          <m:t>1</m:t>
        </m:r>
        <m:r>
          <m:rPr>
            <m:sty m:val="p"/>
          </m:rPr>
          <m:t>}</m:t>
        </m:r>
      </m:oMath>
      <w:r>
        <w:t xml:space="preserve"> </w:t>
      </w:r>
      <w:r>
        <w:t xml:space="preserve">and linear predictors</w:t>
      </w:r>
      <w:r>
        <w:t xml:space="preserve"> </w:t>
      </w:r>
      <m:oMath>
        <m:sSub>
          <m:e>
            <m:acc>
              <m:accPr>
                <m:chr m:val="̂"/>
              </m:accPr>
              <m:e>
                <m:r>
                  <m:t>η</m:t>
                </m:r>
              </m:e>
            </m:acc>
          </m:e>
          <m:sub>
            <m:r>
              <m:t>i</m:t>
            </m:r>
          </m:sub>
        </m:sSub>
      </m:oMath>
      <w:r>
        <w:t xml:space="preserve">:</w:t>
      </w:r>
    </w:p>
    <w:p>
      <w:pPr>
        <w:pStyle w:val="BodyText"/>
      </w:pPr>
      <m:oMathPara>
        <m:oMathParaPr>
          <m:jc m:val="center"/>
        </m:oMathParaPr>
        <m:oMath>
          <m:acc>
            <m:accPr>
              <m:chr m:val="̂"/>
            </m:accPr>
            <m:e>
              <m:r>
                <m:t>c</m:t>
              </m:r>
            </m:e>
          </m:acc>
          <m:r>
            <m:rPr>
              <m:sty m:val="p"/>
            </m:rPr>
            <m:t>=</m:t>
          </m:r>
          <m:f>
            <m:fPr>
              <m:type m:val="bar"/>
            </m:fPr>
            <m:num>
              <m:r>
                <m:t>1</m:t>
              </m:r>
            </m:num>
            <m:den>
              <m:d>
                <m:dPr>
                  <m:begChr m:val="|"/>
                  <m:endChr m:val="|"/>
                  <m:sepChr m:val=""/>
                  <m:grow/>
                </m:dPr>
                <m:e>
                  <m:r>
                    <m:rPr>
                      <m:sty m:val="p"/>
                      <m:scr m:val="script"/>
                    </m:rPr>
                    <m:t>P</m:t>
                  </m:r>
                </m:e>
              </m:d>
            </m:den>
          </m:f>
          <m:nary>
            <m:naryPr>
              <m:chr m:val="∑"/>
              <m:limLoc m:val="undOvr"/>
              <m:subHide m:val="off"/>
              <m:supHide m:val="on"/>
            </m:naryPr>
            <m:sub>
              <m:d>
                <m:dPr>
                  <m:begChr m:val="("/>
                  <m:endChr m:val=")"/>
                  <m:sepChr m:val=""/>
                  <m:grow/>
                </m:dPr>
                <m:e>
                  <m:r>
                    <m:t>i</m:t>
                  </m:r>
                  <m:r>
                    <m:rPr>
                      <m:sty m:val="p"/>
                    </m:rPr>
                    <m:t>,</m:t>
                  </m:r>
                  <m:r>
                    <m:t>j</m:t>
                  </m:r>
                </m:e>
              </m:d>
              <m:r>
                <m:rPr>
                  <m:sty m:val="p"/>
                </m:rPr>
                <m:t>∈</m:t>
              </m:r>
              <m:r>
                <m:rPr>
                  <m:sty m:val="p"/>
                  <m:scr m:val="script"/>
                </m:rPr>
                <m:t>P</m:t>
              </m:r>
            </m:sub>
            <m:sup>
              <m:r>
                <m:t>​</m:t>
              </m:r>
            </m:sup>
            <m:e>
              <m:d>
                <m:dPr>
                  <m:begChr m:val="["/>
                  <m:endChr m:val="]"/>
                  <m:sepChr m:val=""/>
                  <m:grow/>
                </m:dPr>
                <m:e>
                  <m:r>
                    <m:rPr>
                      <m:sty m:val="b"/>
                    </m:rPr>
                    <m:t>1</m:t>
                  </m:r>
                  <m:d>
                    <m:dPr>
                      <m:begChr m:val="("/>
                      <m:endChr m:val=")"/>
                      <m:sepChr m:val=""/>
                      <m:grow/>
                    </m:dPr>
                    <m:e>
                      <m:sSub>
                        <m:e>
                          <m:acc>
                            <m:accPr>
                              <m:chr m:val="̂"/>
                            </m:accPr>
                            <m:e>
                              <m:r>
                                <m:t>η</m:t>
                              </m:r>
                            </m:e>
                          </m:acc>
                        </m:e>
                        <m:sub>
                          <m:r>
                            <m:t>i</m:t>
                          </m:r>
                        </m:sub>
                      </m:sSub>
                      <m:r>
                        <m:rPr>
                          <m:sty m:val="p"/>
                        </m:rPr>
                        <m:t>&gt;</m:t>
                      </m:r>
                      <m:sSub>
                        <m:e>
                          <m:acc>
                            <m:accPr>
                              <m:chr m:val="̂"/>
                            </m:accPr>
                            <m:e>
                              <m:r>
                                <m:t>η</m:t>
                              </m:r>
                            </m:e>
                          </m:acc>
                        </m:e>
                        <m:sub>
                          <m:r>
                            <m:t>j</m:t>
                          </m:r>
                        </m:sub>
                      </m:sSub>
                    </m:e>
                  </m:d>
                  <m:r>
                    <m:rPr>
                      <m:sty m:val="p"/>
                    </m:rPr>
                    <m:t>+</m:t>
                  </m:r>
                  <m:f>
                    <m:fPr>
                      <m:type m:val="lin"/>
                    </m:fPr>
                    <m:num>
                      <m:r>
                        <m:t>1</m:t>
                      </m:r>
                    </m:num>
                    <m:den>
                      <m:r>
                        <m:t>2</m:t>
                      </m:r>
                    </m:den>
                  </m:f>
                  <m:r>
                    <m:rPr>
                      <m:sty m:val="b"/>
                    </m:rPr>
                    <m:t>1</m:t>
                  </m:r>
                  <m:d>
                    <m:dPr>
                      <m:begChr m:val="("/>
                      <m:endChr m:val=")"/>
                      <m:sepChr m:val=""/>
                      <m:grow/>
                    </m:dPr>
                    <m:e>
                      <m:sSub>
                        <m:e>
                          <m:acc>
                            <m:accPr>
                              <m:chr m:val="̂"/>
                            </m:accPr>
                            <m:e>
                              <m:r>
                                <m:t>η</m:t>
                              </m:r>
                            </m:e>
                          </m:acc>
                        </m:e>
                        <m:sub>
                          <m:r>
                            <m:t>i</m:t>
                          </m:r>
                        </m:sub>
                      </m:sSub>
                      <m:r>
                        <m:rPr>
                          <m:sty m:val="p"/>
                        </m:rPr>
                        <m:t>=</m:t>
                      </m:r>
                      <m:sSub>
                        <m:e>
                          <m:acc>
                            <m:accPr>
                              <m:chr m:val="̂"/>
                            </m:accPr>
                            <m:e>
                              <m:r>
                                <m:t>η</m:t>
                              </m:r>
                            </m:e>
                          </m:acc>
                        </m:e>
                        <m:sub>
                          <m:r>
                            <m:t>j</m:t>
                          </m:r>
                        </m:sub>
                      </m:sSub>
                    </m:e>
                  </m:d>
                </m:e>
              </m:d>
            </m:e>
          </m:nary>
          <m:r>
            <m:rPr>
              <m:sty m:val="p"/>
            </m:rPr>
            <m:t>.</m:t>
          </m:r>
        </m:oMath>
      </m:oMathPara>
    </w:p>
    <w:p>
      <w:pPr>
        <w:pStyle w:val="FirstParagraph"/>
      </w:pPr>
      <w:r>
        <w:rPr>
          <w:bCs/>
          <w:b/>
        </w:rPr>
        <w:t xml:space="preserve">Cross-validation for DeSurv pipeline</w:t>
      </w:r>
    </w:p>
    <w:p>
      <w:pPr>
        <w:pStyle w:val="BodyText"/>
      </w:pPr>
      <w:r>
        <w:t xml:space="preserve">Input:</w:t>
      </w:r>
      <w:r>
        <w:br/>
      </w:r>
      <w:r>
        <w:t xml:space="preserve">Number of folds</w:t>
      </w:r>
      <w:r>
        <w:t xml:space="preserve"> </w:t>
      </w:r>
      <m:oMath>
        <m:r>
          <m:t>F</m:t>
        </m:r>
      </m:oMath>
      <w:r>
        <w:br/>
      </w:r>
      <w:r>
        <w:t xml:space="preserve">Number of initializations</w:t>
      </w:r>
      <w:r>
        <w:t xml:space="preserve"> </w:t>
      </w:r>
      <m:oMath>
        <m:r>
          <m:t>R</m:t>
        </m:r>
      </m:oMath>
      <w:r>
        <w:br/>
      </w:r>
      <w:r>
        <w:t xml:space="preserve">Observed data (</w:t>
      </w:r>
      <m:oMath>
        <m:r>
          <m:t>X</m:t>
        </m:r>
      </m:oMath>
      <w:r>
        <w:t xml:space="preserve">,</w:t>
      </w:r>
      <w:r>
        <w:t xml:space="preserve"> </w:t>
      </w:r>
      <m:oMath>
        <m:r>
          <m:t>y</m:t>
        </m:r>
      </m:oMath>
      <w:r>
        <w:t xml:space="preserve">,</w:t>
      </w:r>
      <w:r>
        <w:t xml:space="preserve"> </w:t>
      </w:r>
      <m:oMath>
        <m:r>
          <m:t>δ</m:t>
        </m:r>
      </m:oMath>
      <w:r>
        <w:t xml:space="preserve">)</w:t>
      </w:r>
      <w:r>
        <w:br/>
      </w:r>
      <w:r>
        <w:t xml:space="preserve">Hyperparameters</w:t>
      </w:r>
      <w:r>
        <w:t xml:space="preserve"> </w:t>
      </w:r>
      <m:oMath>
        <m:r>
          <m:t>k</m:t>
        </m:r>
      </m:oMath>
      <w:r>
        <w:t xml:space="preserve">,</w:t>
      </w:r>
      <w:r>
        <w:t xml:space="preserve"> </w:t>
      </w:r>
      <m:oMath>
        <m:r>
          <m:t>α</m:t>
        </m:r>
      </m:oMath>
      <w:r>
        <w:t xml:space="preserve">,</w:t>
      </w:r>
      <w:r>
        <w:t xml:space="preserve"> </w:t>
      </w:r>
      <m:oMath>
        <m:r>
          <m:t>λ</m:t>
        </m:r>
      </m:oMath>
      <w:r>
        <w:t xml:space="preserve">,</w:t>
      </w:r>
      <w:r>
        <w:t xml:space="preserve"> </w:t>
      </w:r>
      <m:oMath>
        <m:r>
          <m:t>ξ</m:t>
        </m:r>
      </m:oMath>
      <w:r>
        <w:t xml:space="preserve">,</w:t>
      </w:r>
      <w:r>
        <w:t xml:space="preserve"> </w:t>
      </w:r>
      <m:oMath>
        <m:sSub>
          <m:e>
            <m:r>
              <m:t>λ</m:t>
            </m:r>
          </m:e>
          <m:sub>
            <m:r>
              <m:t>H</m:t>
            </m:r>
          </m:sub>
        </m:sSub>
      </m:oMath>
      <w:r>
        <w:t xml:space="preserve">, and number of top genes per factor</w:t>
      </w:r>
      <w:r>
        <w:t xml:space="preserve"> </w:t>
      </w:r>
      <m:oMath>
        <m:sSub>
          <m:e>
            <m:r>
              <m:t>n</m:t>
            </m:r>
          </m:e>
          <m:sub>
            <m:r>
              <m:t>t</m:t>
            </m:r>
            <m:r>
              <m:t>o</m:t>
            </m:r>
            <m:r>
              <m:t>p</m:t>
            </m:r>
          </m:sub>
        </m:sSub>
      </m:oMath>
      <w:r>
        <w:br/>
      </w:r>
      <w:r>
        <w:t xml:space="preserve">Output: The cross-validated C-index</w:t>
      </w:r>
      <w:r>
        <w:br/>
      </w:r>
      <w:r>
        <w:t xml:space="preserve">Divide subjects into</w:t>
      </w:r>
      <w:r>
        <w:t xml:space="preserve"> </w:t>
      </w:r>
      <m:oMath>
        <m:r>
          <m:t>F</m:t>
        </m:r>
      </m:oMath>
      <w:r>
        <w:t xml:space="preserve"> </w:t>
      </w:r>
      <w:r>
        <w:t xml:space="preserve">folds.</w:t>
      </w:r>
      <w:r>
        <w:br/>
      </w:r>
      <w:r>
        <w:t xml:space="preserve">for</w:t>
      </w:r>
      <w:r>
        <w:t xml:space="preserve"> </w:t>
      </w:r>
      <m:oMath>
        <m:r>
          <m:t>f</m:t>
        </m:r>
        <m:r>
          <m:rPr>
            <m:sty m:val="p"/>
          </m:rPr>
          <m:t>=</m:t>
        </m:r>
        <m:r>
          <m:t>1</m:t>
        </m:r>
      </m:oMath>
      <w:r>
        <w:t xml:space="preserve"> </w:t>
      </w:r>
      <w:r>
        <w:t xml:space="preserve">to</w:t>
      </w:r>
      <w:r>
        <w:t xml:space="preserve"> </w:t>
      </w:r>
      <m:oMath>
        <m:r>
          <m:t>F</m:t>
        </m:r>
      </m:oMath>
      <w:r>
        <w:t xml:space="preserve"> </w:t>
      </w:r>
      <w:r>
        <w:t xml:space="preserve">do</w:t>
      </w:r>
      <w:r>
        <w:br/>
      </w:r>
      <w:r>
        <w:t xml:space="preserve">Split data into training and validation</w:t>
      </w:r>
      <w:r>
        <w:t xml:space="preserve"> </w:t>
      </w:r>
      <m:oMath>
        <m:d>
          <m:dPr>
            <m:begChr m:val="("/>
            <m:endChr m:val=")"/>
            <m:sepChr m:val=""/>
            <m:grow/>
          </m:dPr>
          <m:e>
            <m:sSub>
              <m:e>
                <m:r>
                  <m:t>X</m:t>
                </m:r>
              </m:e>
              <m:sub>
                <m:d>
                  <m:dPr>
                    <m:begChr m:val="("/>
                    <m:endChr m:val=")"/>
                    <m:sepChr m:val=""/>
                    <m:grow/>
                  </m:dPr>
                  <m:e>
                    <m:r>
                      <m:rPr>
                        <m:sty m:val="p"/>
                      </m:rPr>
                      <m:t>−</m:t>
                    </m:r>
                    <m:r>
                      <m:t>f</m:t>
                    </m:r>
                  </m:e>
                </m:d>
              </m:sub>
            </m:sSub>
            <m:r>
              <m:rPr>
                <m:sty m:val="p"/>
              </m:rPr>
              <m:t>,</m:t>
            </m:r>
            <m:sSub>
              <m:e>
                <m:r>
                  <m:t>y</m:t>
                </m:r>
              </m:e>
              <m:sub>
                <m:d>
                  <m:dPr>
                    <m:begChr m:val="("/>
                    <m:endChr m:val=")"/>
                    <m:sepChr m:val=""/>
                    <m:grow/>
                  </m:dPr>
                  <m:e>
                    <m:r>
                      <m:rPr>
                        <m:sty m:val="p"/>
                      </m:rPr>
                      <m:t>−</m:t>
                    </m:r>
                    <m:r>
                      <m:t>f</m:t>
                    </m:r>
                  </m:e>
                </m:d>
              </m:sub>
            </m:sSub>
            <m:r>
              <m:rPr>
                <m:sty m:val="p"/>
              </m:rPr>
              <m:t>,</m:t>
            </m:r>
            <m:sSub>
              <m:e>
                <m:r>
                  <m:t>δ</m:t>
                </m:r>
              </m:e>
              <m:sub>
                <m:d>
                  <m:dPr>
                    <m:begChr m:val="("/>
                    <m:endChr m:val=")"/>
                    <m:sepChr m:val=""/>
                    <m:grow/>
                  </m:dPr>
                  <m:e>
                    <m:r>
                      <m:rPr>
                        <m:sty m:val="p"/>
                      </m:rPr>
                      <m:t>−</m:t>
                    </m:r>
                    <m:r>
                      <m:t>f</m:t>
                    </m:r>
                  </m:e>
                </m:d>
              </m:sub>
            </m:sSub>
          </m:e>
        </m:d>
      </m:oMath>
      <w:r>
        <w:t xml:space="preserve">, and</w:t>
      </w:r>
      <w:r>
        <w:t xml:space="preserve"> </w:t>
      </w:r>
      <m:oMath>
        <m:d>
          <m:dPr>
            <m:begChr m:val="("/>
            <m:endChr m:val=")"/>
            <m:sepChr m:val=""/>
            <m:grow/>
          </m:dPr>
          <m:e>
            <m:sSub>
              <m:e>
                <m:r>
                  <m:t>X</m:t>
                </m:r>
              </m:e>
              <m:sub>
                <m:d>
                  <m:dPr>
                    <m:begChr m:val="("/>
                    <m:endChr m:val=")"/>
                    <m:sepChr m:val=""/>
                    <m:grow/>
                  </m:dPr>
                  <m:e>
                    <m:r>
                      <m:t>f</m:t>
                    </m:r>
                  </m:e>
                </m:d>
              </m:sub>
            </m:sSub>
            <m:r>
              <m:rPr>
                <m:sty m:val="p"/>
              </m:rPr>
              <m:t>,</m:t>
            </m:r>
            <m:sSub>
              <m:e>
                <m:r>
                  <m:t>y</m:t>
                </m:r>
              </m:e>
              <m:sub>
                <m:d>
                  <m:dPr>
                    <m:begChr m:val="("/>
                    <m:endChr m:val=")"/>
                    <m:sepChr m:val=""/>
                    <m:grow/>
                  </m:dPr>
                  <m:e>
                    <m:r>
                      <m:t>f</m:t>
                    </m:r>
                  </m:e>
                </m:d>
              </m:sub>
            </m:sSub>
            <m:r>
              <m:rPr>
                <m:sty m:val="p"/>
              </m:rPr>
              <m:t>,</m:t>
            </m:r>
            <m:sSub>
              <m:e>
                <m:r>
                  <m:t>δ</m:t>
                </m:r>
              </m:e>
              <m:sub>
                <m:d>
                  <m:dPr>
                    <m:begChr m:val="("/>
                    <m:endChr m:val=")"/>
                    <m:sepChr m:val=""/>
                    <m:grow/>
                  </m:dPr>
                  <m:e>
                    <m:r>
                      <m:t>f</m:t>
                    </m:r>
                  </m:e>
                </m:d>
              </m:sub>
            </m:sSub>
          </m:e>
        </m:d>
      </m:oMath>
      <w:r>
        <w:t xml:space="preserve"> </w:t>
      </w:r>
      <w:r>
        <w:t xml:space="preserve">sets</w:t>
      </w:r>
      <w:r>
        <w:br/>
      </w:r>
      <w:r>
        <w:t xml:space="preserve">for</w:t>
      </w:r>
      <w:r>
        <w:t xml:space="preserve"> </w:t>
      </w:r>
      <m:oMath>
        <m:r>
          <m:t>r</m:t>
        </m:r>
        <m:r>
          <m:rPr>
            <m:sty m:val="p"/>
          </m:rPr>
          <m:t>=</m:t>
        </m:r>
        <m:r>
          <m:t>1</m:t>
        </m:r>
      </m:oMath>
      <w:r>
        <w:t xml:space="preserve"> </w:t>
      </w:r>
      <w:r>
        <w:t xml:space="preserve">to</w:t>
      </w:r>
      <w:r>
        <w:t xml:space="preserve"> </w:t>
      </w:r>
      <m:oMath>
        <m:r>
          <m:t>R</m:t>
        </m:r>
      </m:oMath>
      <w:r>
        <w:t xml:space="preserve"> </w:t>
      </w:r>
      <w:r>
        <w:t xml:space="preserve">do</w:t>
      </w:r>
      <w:r>
        <w:br/>
      </w:r>
      <w:r>
        <w:t xml:space="preserve">set.seed</w:t>
      </w:r>
      <m:oMath>
        <m:d>
          <m:dPr>
            <m:begChr m:val="("/>
            <m:endChr m:val=")"/>
            <m:sepChr m:val=""/>
            <m:grow/>
          </m:dPr>
          <m:e>
            <m:r>
              <m:t>r</m:t>
            </m:r>
          </m:e>
        </m:d>
      </m:oMath>
      <w:r>
        <w:br/>
      </w:r>
      <w:r>
        <w:t xml:space="preserve">Apply Algorithm [alg:desurv] with inputs</w:t>
      </w:r>
      <w:r>
        <w:t xml:space="preserve"> </w:t>
      </w:r>
      <m:oMath>
        <m:d>
          <m:dPr>
            <m:begChr m:val="("/>
            <m:endChr m:val=")"/>
            <m:sepChr m:val=""/>
            <m:grow/>
          </m:dPr>
          <m:e>
            <m:sSub>
              <m:e>
                <m:r>
                  <m:t>X</m:t>
                </m:r>
              </m:e>
              <m:sub>
                <m:d>
                  <m:dPr>
                    <m:begChr m:val="("/>
                    <m:endChr m:val=")"/>
                    <m:sepChr m:val=""/>
                    <m:grow/>
                  </m:dPr>
                  <m:e>
                    <m:r>
                      <m:rPr>
                        <m:sty m:val="p"/>
                      </m:rPr>
                      <m:t>−</m:t>
                    </m:r>
                    <m:r>
                      <m:t>f</m:t>
                    </m:r>
                  </m:e>
                </m:d>
              </m:sub>
            </m:sSub>
            <m:r>
              <m:rPr>
                <m:sty m:val="p"/>
              </m:rPr>
              <m:t>,</m:t>
            </m:r>
            <m:sSub>
              <m:e>
                <m:r>
                  <m:t>y</m:t>
                </m:r>
              </m:e>
              <m:sub>
                <m:d>
                  <m:dPr>
                    <m:begChr m:val="("/>
                    <m:endChr m:val=")"/>
                    <m:sepChr m:val=""/>
                    <m:grow/>
                  </m:dPr>
                  <m:e>
                    <m:r>
                      <m:rPr>
                        <m:sty m:val="p"/>
                      </m:rPr>
                      <m:t>−</m:t>
                    </m:r>
                    <m:r>
                      <m:t>f</m:t>
                    </m:r>
                  </m:e>
                </m:d>
              </m:sub>
            </m:sSub>
            <m:r>
              <m:rPr>
                <m:sty m:val="p"/>
              </m:rPr>
              <m:t>,</m:t>
            </m:r>
            <m:sSub>
              <m:e>
                <m:r>
                  <m:t>δ</m:t>
                </m:r>
              </m:e>
              <m:sub>
                <m:d>
                  <m:dPr>
                    <m:begChr m:val="("/>
                    <m:endChr m:val=")"/>
                    <m:sepChr m:val=""/>
                    <m:grow/>
                  </m:dPr>
                  <m:e>
                    <m:r>
                      <m:rPr>
                        <m:sty m:val="p"/>
                      </m:rPr>
                      <m:t>−</m:t>
                    </m:r>
                    <m:r>
                      <m:t>f</m:t>
                    </m:r>
                  </m:e>
                </m:d>
              </m:sub>
            </m:sSub>
          </m:e>
        </m:d>
      </m:oMath>
      <w:r>
        <w:t xml:space="preserve">, and</w:t>
      </w:r>
      <w:r>
        <w:t xml:space="preserve"> </w:t>
      </w:r>
      <m:oMath>
        <m:d>
          <m:dPr>
            <m:begChr m:val="("/>
            <m:endChr m:val=")"/>
            <m:sepChr m:val=""/>
            <m:grow/>
          </m:dPr>
          <m:e>
            <m:r>
              <m:t>k</m:t>
            </m:r>
            <m:r>
              <m:rPr>
                <m:sty m:val="p"/>
              </m:rPr>
              <m:t>,</m:t>
            </m:r>
            <m:r>
              <m:t>α</m:t>
            </m:r>
            <m:r>
              <m:rPr>
                <m:sty m:val="p"/>
              </m:rPr>
              <m:t>,</m:t>
            </m:r>
            <m:r>
              <m:t>λ</m:t>
            </m:r>
            <m:r>
              <m:rPr>
                <m:sty m:val="p"/>
              </m:rPr>
              <m:t>,</m:t>
            </m:r>
            <m:r>
              <m:t>ξ</m:t>
            </m:r>
            <m:r>
              <m:rPr>
                <m:sty m:val="p"/>
              </m:rPr>
              <m:t>,</m:t>
            </m:r>
            <m:sSub>
              <m:e>
                <m:r>
                  <m:t>λ</m:t>
                </m:r>
              </m:e>
              <m:sub>
                <m:r>
                  <m:t>H</m:t>
                </m:r>
              </m:sub>
            </m:sSub>
          </m:e>
        </m:d>
      </m:oMath>
      <w:r>
        <w:br/>
      </w:r>
      <w:r>
        <w:t xml:space="preserve">Obtain</w:t>
      </w:r>
      <w:r>
        <w:t xml:space="preserve"> </w:t>
      </w:r>
      <m:oMath>
        <m:acc>
          <m:accPr>
            <m:chr m:val="̂"/>
          </m:accPr>
          <m:e>
            <m:r>
              <m:t>W</m:t>
            </m:r>
          </m:e>
        </m:acc>
      </m:oMath>
      <w:r>
        <w:t xml:space="preserve"> </w:t>
      </w:r>
      <w:r>
        <w:t xml:space="preserve">and</w:t>
      </w:r>
      <w:r>
        <w:t xml:space="preserve"> </w:t>
      </w:r>
      <m:oMath>
        <m:acc>
          <m:accPr>
            <m:chr m:val="̂"/>
          </m:accPr>
          <m:e>
            <m:r>
              <m:t>β</m:t>
            </m:r>
          </m:e>
        </m:acc>
      </m:oMath>
      <w:r>
        <w:t xml:space="preserve"> </w:t>
      </w:r>
      <w:r>
        <w:t xml:space="preserve">as output from Algorithm [alg:desurv]</w:t>
      </w:r>
      <w:r>
        <w:br/>
      </w:r>
      <w:r>
        <w:t xml:space="preserve">Restrict</w:t>
      </w:r>
      <w:r>
        <w:t xml:space="preserve"> </w:t>
      </w:r>
      <m:oMath>
        <m:acc>
          <m:accPr>
            <m:chr m:val="̂"/>
          </m:accPr>
          <m:e>
            <m:r>
              <m:t>W</m:t>
            </m:r>
          </m:e>
        </m:acc>
      </m:oMath>
      <w:r>
        <w:t xml:space="preserve"> </w:t>
      </w:r>
      <w:r>
        <w:t xml:space="preserve">to the top</w:t>
      </w:r>
      <w:r>
        <w:t xml:space="preserve"> </w:t>
      </w:r>
      <m:oMath>
        <m:sSub>
          <m:e>
            <m:r>
              <m:t>n</m:t>
            </m:r>
          </m:e>
          <m:sub>
            <m:r>
              <m:t>t</m:t>
            </m:r>
            <m:r>
              <m:t>o</m:t>
            </m:r>
            <m:r>
              <m:t>p</m:t>
            </m:r>
          </m:sub>
        </m:sSub>
      </m:oMath>
      <w:r>
        <w:t xml:space="preserve"> </w:t>
      </w:r>
      <w:r>
        <w:t xml:space="preserve">genes per factor (by factor-specificity score) and compute the estimated linear predictor on this support:</w:t>
      </w:r>
      <w:r>
        <w:br/>
      </w:r>
      <w:r>
        <w:t xml:space="preserve">$</w:t>
      </w:r>
      <w:r>
        <w:br/>
      </w:r>
      <w:r>
        <w:t xml:space="preserve">{} = X_{(f)}^T{W}{}</w:t>
      </w:r>
      <w:r>
        <w:br/>
      </w:r>
      <w:r>
        <w:t xml:space="preserve">$</w:t>
      </w:r>
      <w:r>
        <w:br/>
      </w:r>
      <w:r>
        <w:t xml:space="preserve">Compute C-index, denoted</w:t>
      </w:r>
      <w:r>
        <w:t xml:space="preserve"> </w:t>
      </w:r>
      <m:oMath>
        <m:sSub>
          <m:e>
            <m:acc>
              <m:accPr>
                <m:chr m:val="̂"/>
              </m:accPr>
              <m:e>
                <m:r>
                  <m:t>c</m:t>
                </m:r>
              </m:e>
            </m:acc>
          </m:e>
          <m:sub>
            <m:d>
              <m:dPr>
                <m:begChr m:val="("/>
                <m:endChr m:val=")"/>
                <m:sepChr m:val=""/>
                <m:grow/>
              </m:dPr>
              <m:e>
                <m:r>
                  <m:t>f</m:t>
                </m:r>
              </m:e>
            </m:d>
            <m:r>
              <m:t>r</m:t>
            </m:r>
          </m:sub>
        </m:sSub>
      </m:oMath>
      <w:r>
        <w:t xml:space="preserve">, according to Equation [eqn:cindex]</w:t>
      </w:r>
      <w:r>
        <w:br/>
      </w:r>
      <w:r>
        <w:t xml:space="preserve">end for</w:t>
      </w:r>
      <w:r>
        <w:br/>
      </w:r>
      <w:r>
        <w:rPr>
          <w:bCs/>
          <w:b/>
        </w:rPr>
        <w:t xml:space="preserve">end loop over</w:t>
      </w:r>
      <w:r>
        <w:rPr>
          <w:bCs/>
          <w:b/>
        </w:rPr>
        <w:t xml:space="preserve"> </w:t>
      </w:r>
      <m:oMath>
        <m:r>
          <m:t>r</m:t>
        </m:r>
      </m:oMath>
      <w:r>
        <w:br/>
      </w:r>
      <w:r>
        <w:t xml:space="preserve">Compute average C-index across initializations:</w:t>
      </w:r>
      <w:r>
        <w:br/>
      </w:r>
      <w:r>
        <w:t xml:space="preserve">$</w:t>
      </w:r>
      <w:r>
        <w:br/>
      </w:r>
      <w:r>
        <w:t xml:space="preserve">{c}</w:t>
      </w:r>
      <w:r>
        <w:rPr>
          <w:iCs/>
          <w:i/>
        </w:rPr>
        <w:t xml:space="preserve">{(f)} = {1}{R}</w:t>
      </w:r>
      <w:r>
        <w:t xml:space="preserve">{r=1}</w:t>
      </w:r>
      <w:r>
        <w:rPr>
          <w:vertAlign w:val="superscript"/>
        </w:rPr>
        <w:t xml:space="preserve">R{c}</w:t>
      </w:r>
      <w:r>
        <w:rPr>
          <w:iCs/>
          <w:i/>
          <w:vertAlign w:val="superscript"/>
        </w:rPr>
        <w:t xml:space="preserve">{(f)r}</w:t>
      </w:r>
      <w:r>
        <w:br/>
      </w:r>
      <w:r>
        <w:rPr>
          <w:iCs/>
          <w:i/>
          <w:vertAlign w:val="superscript"/>
        </w:rPr>
        <w:t xml:space="preserve">$</w:t>
      </w:r>
      <w:r>
        <w:br/>
      </w:r>
      <w:r>
        <w:rPr>
          <w:iCs/>
          <w:i/>
          <w:vertAlign w:val="superscript"/>
        </w:rPr>
        <w:t xml:space="preserve">end for</w:t>
      </w:r>
      <w:r>
        <w:br/>
      </w:r>
      <w:r>
        <w:rPr>
          <w:bCs/>
          <w:b/>
          <w:iCs/>
          <w:i/>
          <w:vertAlign w:val="superscript"/>
        </w:rPr>
        <w:t xml:space="preserve">end loop over</w:t>
      </w:r>
      <w:r>
        <w:rPr>
          <w:bCs/>
          <w:b/>
          <w:iCs/>
          <w:i/>
          <w:vertAlign w:val="superscript"/>
        </w:rPr>
        <w:t xml:space="preserve"> </w:t>
      </w:r>
      <m:oMath>
        <m:r>
          <m:t>f</m:t>
        </m:r>
      </m:oMath>
      <w:r>
        <w:br/>
      </w:r>
      <w:r>
        <w:rPr>
          <w:iCs/>
          <w:i/>
          <w:vertAlign w:val="superscript"/>
        </w:rPr>
        <w:t xml:space="preserve">Compute final cross-validated C-index:</w:t>
      </w:r>
      <w:r>
        <w:br/>
      </w:r>
      <w:r>
        <w:rPr>
          <w:iCs/>
          <w:i/>
          <w:vertAlign w:val="superscript"/>
        </w:rPr>
        <w:t xml:space="preserve">$</w:t>
      </w:r>
      <w:r>
        <w:br/>
      </w:r>
      <w:r>
        <w:rPr>
          <w:iCs/>
          <w:i/>
          <w:vertAlign w:val="superscript"/>
        </w:rPr>
        <w:t xml:space="preserve">{c} = {1}{F}</w:t>
      </w:r>
      <w:r>
        <w:rPr>
          <w:vertAlign w:val="superscript"/>
        </w:rPr>
        <w:t xml:space="preserve">{f=1}</w:t>
      </w:r>
      <w:r>
        <w:t xml:space="preserve">F {c}_{(f)}</w:t>
      </w:r>
      <w:r>
        <w:br/>
      </w:r>
      <w:r>
        <w:t xml:space="preserve">$</w:t>
      </w:r>
      <w:r>
        <w:br/>
      </w:r>
      <w:r>
        <w:t xml:space="preserve">Final estimate</w:t>
      </w:r>
      <w:r>
        <w:t xml:space="preserve"> </w:t>
      </w:r>
      <m:oMath>
        <m:acc>
          <m:accPr>
            <m:chr m:val="̂"/>
          </m:accPr>
          <m:e>
            <m:r>
              <m:t>c</m:t>
            </m:r>
          </m:e>
        </m:acc>
      </m:oMath>
    </w:p>
    <w:bookmarkEnd w:id="29"/>
    <w:bookmarkStart w:id="34" w:name="bayesian-optimization"/>
    <w:p>
      <w:pPr>
        <w:pStyle w:val="Heading1"/>
      </w:pPr>
      <w:r>
        <w:t xml:space="preserve">Bayesian Optimization</w:t>
      </w:r>
    </w:p>
    <w:p>
      <w:pPr>
        <w:pStyle w:val="FirstParagraph"/>
      </w:pPr>
      <w:r>
        <w:t xml:space="preserve">We treat hyperparameter tuning as a black-box optimization problem over a</w:t>
      </w:r>
      <w:r>
        <w:t xml:space="preserve"> </w:t>
      </w:r>
      <w:r>
        <w:t xml:space="preserve">bounded domain. Let</w:t>
      </w:r>
      <w:r>
        <w:t xml:space="preserve"> </w:t>
      </w:r>
      <m:oMath>
        <m:r>
          <m:t>ψ</m:t>
        </m:r>
      </m:oMath>
      <w:r>
        <w:t xml:space="preserve"> </w:t>
      </w:r>
      <w:r>
        <w:t xml:space="preserve">collect the tuned parameters (at minimum</w:t>
      </w:r>
      <w:r>
        <w:t xml:space="preserve"> </w:t>
      </w:r>
      <m:oMath>
        <m:r>
          <m:t>ψ</m:t>
        </m:r>
        <m:r>
          <m:rPr>
            <m:sty m:val="p"/>
          </m:rPr>
          <m:t>=</m:t>
        </m:r>
        <m:d>
          <m:dPr>
            <m:begChr m:val="("/>
            <m:endChr m:val=")"/>
            <m:sepChr m:val=""/>
            <m:grow/>
          </m:dPr>
          <m:e>
            <m:r>
              <m:t>k</m:t>
            </m:r>
            <m:r>
              <m:rPr>
                <m:sty m:val="p"/>
              </m:rPr>
              <m:t>,</m:t>
            </m:r>
            <m:r>
              <m:t>α</m:t>
            </m:r>
            <m:r>
              <m:rPr>
                <m:sty m:val="p"/>
              </m:rPr>
              <m:t>,</m:t>
            </m:r>
            <m:r>
              <m:t>λ</m:t>
            </m:r>
            <m:r>
              <m:rPr>
                <m:sty m:val="p"/>
              </m:rPr>
              <m:t>,</m:t>
            </m:r>
            <m:r>
              <m:t>ξ</m:t>
            </m:r>
          </m:e>
        </m:d>
      </m:oMath>
      <w:r>
        <w:t xml:space="preserve">, and optionally discrete choices</w:t>
      </w:r>
      <w:r>
        <w:t xml:space="preserve"> </w:t>
      </w:r>
      <w:r>
        <w:t xml:space="preserve">such as the signature size</w:t>
      </w:r>
      <w:r>
        <w:t xml:space="preserve"> </w:t>
      </w:r>
      <m:oMath>
        <m:sSub>
          <m:e>
            <m:r>
              <m:t>n</m:t>
            </m:r>
          </m:e>
          <m:sub>
            <m:r>
              <m:rPr>
                <m:nor/>
                <m:sty m:val="p"/>
              </m:rPr>
              <m:t>top</m:t>
            </m:r>
          </m:sub>
        </m:sSub>
      </m:oMath>
      <w:r>
        <w:t xml:space="preserve">). For a given</w:t>
      </w:r>
      <w:r>
        <w:t xml:space="preserve"> </w:t>
      </w:r>
      <m:oMath>
        <m:r>
          <m:t>ψ</m:t>
        </m:r>
      </m:oMath>
      <w:r>
        <w:t xml:space="preserve"> </w:t>
      </w:r>
      <w:r>
        <w:t xml:space="preserve">we run the</w:t>
      </w:r>
      <w:r>
        <w:t xml:space="preserve"> </w:t>
      </w:r>
      <w:r>
        <w:t xml:space="preserve">cross-validation procedure in Algorithm [alg:cv], averaging the C-index</w:t>
      </w:r>
      <w:r>
        <w:t xml:space="preserve"> </w:t>
      </w:r>
      <w:r>
        <w:t xml:space="preserve">across folds and random initializations to form the objective</w:t>
      </w:r>
      <w:r>
        <w:t xml:space="preserve"> </w:t>
      </w:r>
      <w:r>
        <w:t xml:space="preserve">[</w:t>
      </w:r>
      <w:r>
        <w:t xml:space="preserve"> </w:t>
      </w:r>
      <w:r>
        <w:t xml:space="preserve">\hat{c}(\psi) = \frac{1}{F} \sum_{f=1}^F \hat{c}_{(f)}(\psi).</w:t>
      </w:r>
      <w:r>
        <w:t xml:space="preserve"> </w:t>
      </w:r>
      <w:r>
        <w:t xml:space="preserve">]</w:t>
      </w:r>
      <w:r>
        <w:t xml:space="preserve"> </w:t>
      </w:r>
      <w:r>
        <w:t xml:space="preserve">Because</w:t>
      </w:r>
      <w:r>
        <w:t xml:space="preserve"> </w:t>
      </w:r>
      <m:oMath>
        <m:acc>
          <m:accPr>
            <m:chr m:val="̂"/>
          </m:accPr>
          <m:e>
            <m:r>
              <m:t>c</m:t>
            </m:r>
          </m:e>
        </m:acc>
        <m:d>
          <m:dPr>
            <m:begChr m:val="("/>
            <m:endChr m:val=")"/>
            <m:sepChr m:val=""/>
            <m:grow/>
          </m:dPr>
          <m:e>
            <m:r>
              <m:t>ψ</m:t>
            </m:r>
          </m:e>
        </m:d>
      </m:oMath>
      <w:r>
        <w:t xml:space="preserve"> </w:t>
      </w:r>
      <w:r>
        <w:t xml:space="preserve">is expensive to evaluate and non-differentiable with</w:t>
      </w:r>
      <w:r>
        <w:t xml:space="preserve"> </w:t>
      </w:r>
      <w:r>
        <w:t xml:space="preserve">respect to</w:t>
      </w:r>
      <w:r>
        <w:t xml:space="preserve"> </w:t>
      </w:r>
      <m:oMath>
        <m:r>
          <m:t>ψ</m:t>
        </m:r>
      </m:oMath>
      <w:r>
        <w:t xml:space="preserve">, we use Bayesian optimization (BO) to adaptively select</w:t>
      </w:r>
      <w:r>
        <w:t xml:space="preserve"> </w:t>
      </w:r>
      <w:r>
        <w:t xml:space="preserve">candidate configurations.</w:t>
      </w:r>
    </w:p>
    <w:p>
      <w:pPr>
        <w:pStyle w:val="BodyText"/>
      </w:pPr>
      <w:r>
        <w:t xml:space="preserve">We place a Gaussian-process (GP) prior on the response surface</w:t>
      </w:r>
      <w:r>
        <w:t xml:space="preserve"> </w:t>
      </w:r>
      <m:oMath>
        <m:r>
          <m:t>f</m:t>
        </m:r>
        <m:d>
          <m:dPr>
            <m:begChr m:val="("/>
            <m:endChr m:val=")"/>
            <m:sepChr m:val=""/>
            <m:grow/>
          </m:dPr>
          <m:e>
            <m:r>
              <m:t>ψ</m:t>
            </m:r>
          </m:e>
        </m:d>
        <m:r>
          <m:rPr>
            <m:sty m:val="p"/>
          </m:rPr>
          <m:t>∼</m:t>
        </m:r>
        <m:r>
          <m:rPr>
            <m:sty m:val="p"/>
            <m:scr m:val="script"/>
          </m:rPr>
          <m:t>G</m:t>
        </m:r>
        <m:r>
          <m:rPr>
            <m:sty m:val="p"/>
            <m:scr m:val="script"/>
          </m:rPr>
          <m:t>P</m:t>
        </m:r>
        <m:d>
          <m:dPr>
            <m:begChr m:val="("/>
            <m:endChr m:val=")"/>
            <m:sepChr m:val=""/>
            <m:grow/>
          </m:dPr>
          <m:e>
            <m:r>
              <m:t>0</m:t>
            </m:r>
            <m:r>
              <m:rPr>
                <m:sty m:val="p"/>
              </m:rPr>
              <m:t>,</m:t>
            </m:r>
            <m:r>
              <m:t>k</m:t>
            </m:r>
            <m:d>
              <m:dPr>
                <m:begChr m:val="("/>
                <m:endChr m:val=")"/>
                <m:sepChr m:val=""/>
                <m:grow/>
              </m:dPr>
              <m:e>
                <m:r>
                  <m:t>ψ</m:t>
                </m:r>
                <m:r>
                  <m:rPr>
                    <m:sty m:val="p"/>
                  </m:rPr>
                  <m:t>,</m:t>
                </m:r>
                <m:r>
                  <m:t>ψ</m:t>
                </m:r>
                <m:r>
                  <m:rPr>
                    <m:sty m:val="p"/>
                  </m:rPr>
                  <m:t>′</m:t>
                </m:r>
              </m:e>
            </m:d>
          </m:e>
        </m:d>
      </m:oMath>
      <w:r>
        <w:t xml:space="preserve"> </w:t>
      </w:r>
      <w:r>
        <w:t xml:space="preserve">with a Matérn kernel and</w:t>
      </w:r>
      <w:r>
        <w:t xml:space="preserve"> </w:t>
      </w:r>
      <w:r>
        <w:t xml:space="preserve">automatic relevance determination length-scales. Continuous parameters are</w:t>
      </w:r>
      <w:r>
        <w:t xml:space="preserve"> </w:t>
      </w:r>
      <w:r>
        <w:t xml:space="preserve">rescaled to</w:t>
      </w:r>
      <w:r>
        <w:t xml:space="preserve"> </w:t>
      </w:r>
      <m:oMath>
        <m:d>
          <m:dPr>
            <m:begChr m:val="["/>
            <m:endChr m:val="]"/>
            <m:sepChr m:val=""/>
            <m:grow/>
          </m:dPr>
          <m:e>
            <m:r>
              <m:t>0</m:t>
            </m:r>
            <m:r>
              <m:rPr>
                <m:sty m:val="p"/>
              </m:rPr>
              <m:t>,</m:t>
            </m:r>
            <m:r>
              <m:t>1</m:t>
            </m:r>
          </m:e>
        </m:d>
      </m:oMath>
      <w:r>
        <w:t xml:space="preserve"> </w:t>
      </w:r>
      <w:r>
        <w:t xml:space="preserve">and penalties are optimized on a log scale; integer-valued</w:t>
      </w:r>
      <w:r>
        <w:t xml:space="preserve"> </w:t>
      </w:r>
      <w:r>
        <w:t xml:space="preserve">coordinates (e.g.,</w:t>
      </w:r>
      <w:r>
        <w:t xml:space="preserve"> </w:t>
      </w:r>
      <m:oMath>
        <m:r>
          <m:t>k</m:t>
        </m:r>
      </m:oMath>
      <w:r>
        <w:t xml:space="preserve"> </w:t>
      </w:r>
      <w:r>
        <w:t xml:space="preserve">or</w:t>
      </w:r>
      <w:r>
        <w:t xml:space="preserve"> </w:t>
      </w:r>
      <m:oMath>
        <m:sSub>
          <m:e>
            <m:r>
              <m:t>n</m:t>
            </m:r>
          </m:e>
          <m:sub>
            <m:r>
              <m:rPr>
                <m:nor/>
                <m:sty m:val="p"/>
              </m:rPr>
              <m:t>top</m:t>
            </m:r>
          </m:sub>
        </m:sSub>
      </m:oMath>
      <w:r>
        <w:t xml:space="preserve">) are proposed in the continuous</w:t>
      </w:r>
      <w:r>
        <w:t xml:space="preserve"> </w:t>
      </w:r>
      <w:r>
        <w:t xml:space="preserve">space and rounded inside the evaluator. Following an initial batch of evaluations,</w:t>
      </w:r>
      <w:r>
        <w:t xml:space="preserve"> </w:t>
      </w:r>
      <w:r>
        <w:t xml:space="preserve">the GP is refit each time a new observation is added and used to guide acquisition.</w:t>
      </w:r>
    </w:p>
    <w:p>
      <w:pPr>
        <w:pStyle w:val="BodyText"/>
      </w:pPr>
      <w:r>
        <w:t xml:space="preserve">At iteration</w:t>
      </w:r>
      <w:r>
        <w:t xml:space="preserve"> </w:t>
      </w:r>
      <m:oMath>
        <m:r>
          <m:t>t</m:t>
        </m:r>
      </m:oMath>
      <w:r>
        <w:t xml:space="preserve">, let</w:t>
      </w:r>
      <w:r>
        <w:t xml:space="preserve"> </w:t>
      </w:r>
      <m:oMath>
        <m:sSub>
          <m:e>
            <m:r>
              <m:t>μ</m:t>
            </m:r>
          </m:e>
          <m:sub>
            <m:r>
              <m:t>t</m:t>
            </m:r>
          </m:sub>
        </m:sSub>
        <m:d>
          <m:dPr>
            <m:begChr m:val="("/>
            <m:endChr m:val=")"/>
            <m:sepChr m:val=""/>
            <m:grow/>
          </m:dPr>
          <m:e>
            <m:r>
              <m:t>ψ</m:t>
            </m:r>
          </m:e>
        </m:d>
      </m:oMath>
      <w:r>
        <w:t xml:space="preserve"> </w:t>
      </w:r>
      <w:r>
        <w:t xml:space="preserve">and</w:t>
      </w:r>
      <w:r>
        <w:t xml:space="preserve"> </w:t>
      </w:r>
      <m:oMath>
        <m:sSub>
          <m:e>
            <m:r>
              <m:t>σ</m:t>
            </m:r>
          </m:e>
          <m:sub>
            <m:r>
              <m:t>t</m:t>
            </m:r>
          </m:sub>
        </m:sSub>
        <m:d>
          <m:dPr>
            <m:begChr m:val="("/>
            <m:endChr m:val=")"/>
            <m:sepChr m:val=""/>
            <m:grow/>
          </m:dPr>
          <m:e>
            <m:r>
              <m:t>ψ</m:t>
            </m:r>
          </m:e>
        </m:d>
      </m:oMath>
      <w:r>
        <w:t xml:space="preserve"> </w:t>
      </w:r>
      <w:r>
        <w:t xml:space="preserve">denote the GP</w:t>
      </w:r>
      <w:r>
        <w:t xml:space="preserve"> </w:t>
      </w:r>
      <w:r>
        <w:t xml:space="preserve">posterior mean and standard deviation, and let</w:t>
      </w:r>
      <w:r>
        <w:t xml:space="preserve"> </w:t>
      </w:r>
      <m:oMath>
        <m:sSub>
          <m:e>
            <m:r>
              <m:t>f</m:t>
            </m:r>
          </m:e>
          <m:sub>
            <m:r>
              <m:rPr>
                <m:sty m:val="p"/>
              </m:rPr>
              <m:t>⋆</m:t>
            </m:r>
          </m:sub>
        </m:sSub>
      </m:oMath>
      <w:r>
        <w:t xml:space="preserve"> </w:t>
      </w:r>
      <w:r>
        <w:t xml:space="preserve">be the best observed</w:t>
      </w:r>
      <w:r>
        <w:t xml:space="preserve"> </w:t>
      </w:r>
      <w:r>
        <w:t xml:space="preserve">score. We select new candidates by maximizing expected improvement (EI),</w:t>
      </w:r>
      <w:r>
        <w:t xml:space="preserve"> </w:t>
      </w:r>
      <w:r>
        <w:t xml:space="preserve">[</w:t>
      </w:r>
      <w:r>
        <w:t xml:space="preserve"> </w:t>
      </w:r>
      <w:r>
        <w:t xml:space="preserve">\operatorname{EI}(\psi) =</w:t>
      </w:r>
      <w:r>
        <w:t xml:space="preserve"> </w:t>
      </w:r>
      <w:r>
        <w:t xml:space="preserve">\left(\mu_t(\psi) - f_\star - \kappa\right)\Phi(Z(\psi))</w:t>
      </w:r>
      <w:r>
        <w:t xml:space="preserve"> </w:t>
      </w:r>
      <w:r>
        <w:t xml:space="preserve">+ \sigma_t(\psi)\phi(Z(\psi)),</w:t>
      </w:r>
      <w:r>
        <w:t xml:space="preserve"> </w:t>
      </w:r>
      <w:r>
        <w:t xml:space="preserve">\quad</w:t>
      </w:r>
      <w:r>
        <w:t xml:space="preserve"> </w:t>
      </w:r>
      <w:r>
        <w:t xml:space="preserve">Z(\psi) = \frac{\mu_t(\psi) - f_\star - \kappa}{\sigma_t(\psi)},</w:t>
      </w:r>
      <w:r>
        <w:t xml:space="preserve"> </w:t>
      </w:r>
      <w:r>
        <w:t xml:space="preserve">]</w:t>
      </w:r>
      <w:r>
        <w:t xml:space="preserve"> </w:t>
      </w:r>
      <w:r>
        <w:t xml:space="preserve">where</w:t>
      </w:r>
      <w:r>
        <w:t xml:space="preserve"> </w:t>
      </w:r>
      <m:oMath>
        <m:r>
          <m:t>Φ</m:t>
        </m:r>
      </m:oMath>
      <w:r>
        <w:t xml:space="preserve"> </w:t>
      </w:r>
      <w:r>
        <w:t xml:space="preserve">and</w:t>
      </w:r>
      <w:r>
        <w:t xml:space="preserve"> </w:t>
      </w:r>
      <m:oMath>
        <m:r>
          <m:t>ϕ</m:t>
        </m:r>
      </m:oMath>
      <w:r>
        <w:t xml:space="preserve"> </w:t>
      </w:r>
      <w:r>
        <w:t xml:space="preserve">are the standard normal cdf/pdf and</w:t>
      </w:r>
      <w:r>
        <w:t xml:space="preserve"> </w:t>
      </w:r>
      <m:oMath>
        <m:r>
          <m:t>κ</m:t>
        </m:r>
        <m:r>
          <m:rPr>
            <m:sty m:val="p"/>
          </m:rPr>
          <m:t>≥</m:t>
        </m:r>
        <m:r>
          <m:t>0</m:t>
        </m:r>
      </m:oMath>
      <w:r>
        <w:t xml:space="preserve"> </w:t>
      </w:r>
      <w:r>
        <w:t xml:space="preserve">controls the exploration margin. EI is evaluated over a candidate pool sampled</w:t>
      </w:r>
      <w:r>
        <w:t xml:space="preserve"> </w:t>
      </w:r>
      <w:r>
        <w:t xml:space="preserve">from the bounded search region, and the maximizer is evaluated next. The loop</w:t>
      </w:r>
      <w:r>
        <w:t xml:space="preserve"> </w:t>
      </w:r>
      <w:r>
        <w:t xml:space="preserve">continues until the iteration budget is exhausted or the improvement plateaus.</w:t>
      </w:r>
    </w:p>
    <w:p>
      <w:pPr>
        <w:pStyle w:val="BodyText"/>
      </w:pPr>
      <w:r>
        <w:t xml:space="preserve">For the PDAC application, the objective was the mean 5-fold cross-validated</w:t>
      </w:r>
      <w:r>
        <w:t xml:space="preserve"> </w:t>
      </w:r>
      <w:r>
        <w:t xml:space="preserve">Harrell C-index (Algorithm [alg:cv]), with five-fold cross-validation constructed separately within cohort and stratified by event status under</w:t>
      </w:r>
      <w:r>
        <w:t xml:space="preserve"> </w:t>
      </w:r>
      <w:r>
        <w:t xml:space="preserve">a fixed seed (123); each configuration was evaluated from 30 random</w:t>
      </w:r>
      <w:r>
        <w:t xml:space="preserve"> </w:t>
      </w:r>
      <w:r>
        <w:t xml:space="preserve">initializations, as in the definition above. Cross-validation fits used a</w:t>
      </w:r>
      <w:r>
        <w:t xml:space="preserve"> </w:t>
      </w:r>
      <w:r>
        <w:t xml:space="preserve">stopping tolerance of</w:t>
      </w:r>
      <w:r>
        <w:t xml:space="preserve"> </w:t>
      </w:r>
      <m:oMath>
        <m:sSup>
          <m:e>
            <m:r>
              <m:t>10</m:t>
            </m:r>
          </m:e>
          <m:sup>
            <m:r>
              <m:rPr>
                <m:sty m:val="p"/>
              </m:rPr>
              <m:t>−</m:t>
            </m:r>
            <m:r>
              <m:t>5</m:t>
            </m:r>
          </m:sup>
        </m:sSup>
      </m:oMath>
      <w:r>
        <w:t xml:space="preserve"> </w:t>
      </w:r>
      <w:r>
        <w:t xml:space="preserve">on the cosine change of</w:t>
      </w:r>
      <w:r>
        <w:t xml:space="preserve"> </w:t>
      </w:r>
      <m:oMath>
        <m:r>
          <m:t>W</m:t>
        </m:r>
      </m:oMath>
      <w:r>
        <w:t xml:space="preserve"> </w:t>
      </w:r>
      <w:r>
        <w:t xml:space="preserve">and of</w:t>
      </w:r>
      <w:r>
        <w:t xml:space="preserve"> </w:t>
      </w:r>
      <m:oMath>
        <m:r>
          <m:t>H</m:t>
        </m:r>
      </m:oMath>
      <w:r>
        <w:t xml:space="preserve">,</w:t>
      </w:r>
      <w:r>
        <w:t xml:space="preserve"> </w:t>
      </w:r>
      <w:r>
        <w:t xml:space="preserve">looser than the</w:t>
      </w:r>
      <w:r>
        <w:t xml:space="preserve"> </w:t>
      </w:r>
      <m:oMath>
        <m:sSup>
          <m:e>
            <m:r>
              <m:t>10</m:t>
            </m:r>
          </m:e>
          <m:sup>
            <m:r>
              <m:rPr>
                <m:sty m:val="p"/>
              </m:rPr>
              <m:t>−</m:t>
            </m:r>
            <m:r>
              <m:t>7</m:t>
            </m:r>
          </m:sup>
        </m:sSup>
      </m:oMath>
      <w:r>
        <w:t xml:space="preserve"> </w:t>
      </w:r>
      <w:r>
        <w:t xml:space="preserve">used for the restart and final fits, under the</w:t>
      </w:r>
      <w:r>
        <w:t xml:space="preserve"> </w:t>
      </w:r>
      <w:r>
        <w:t xml:space="preserve">same cap of 4,000 outer iterations. The bounded search domain</w:t>
      </w:r>
      <w:r>
        <w:t xml:space="preserve"> </w:t>
      </w:r>
      <w:r>
        <w:t xml:space="preserve">was</w:t>
      </w:r>
      <w:r>
        <w:t xml:space="preserve"> </w:t>
      </w:r>
      <m:oMath>
        <m:r>
          <m:t>k</m:t>
        </m:r>
        <m:r>
          <m:rPr>
            <m:sty m:val="p"/>
          </m:rPr>
          <m:t>∈</m:t>
        </m:r>
        <m:d>
          <m:dPr>
            <m:begChr m:val="["/>
            <m:endChr m:val="]"/>
            <m:sepChr m:val=""/>
            <m:grow/>
          </m:dPr>
          <m:e>
            <m:r>
              <m:t>2</m:t>
            </m:r>
            <m:r>
              <m:rPr>
                <m:sty m:val="p"/>
              </m:rPr>
              <m:t>,</m:t>
            </m:r>
            <m:r>
              <m:t>12</m:t>
            </m:r>
          </m:e>
        </m:d>
      </m:oMath>
      <w:r>
        <w:t xml:space="preserve">,</w:t>
      </w:r>
      <w:r>
        <w:t xml:space="preserve"> </w:t>
      </w:r>
      <m:oMath>
        <m:r>
          <m:t>α</m:t>
        </m:r>
        <m:r>
          <m:rPr>
            <m:sty m:val="p"/>
          </m:rPr>
          <m:t>∈</m:t>
        </m:r>
        <m:d>
          <m:dPr>
            <m:begChr m:val="["/>
            <m:endChr m:val="]"/>
            <m:sepChr m:val=""/>
            <m:grow/>
          </m:dPr>
          <m:e>
            <m:r>
              <m:t>0</m:t>
            </m:r>
            <m:r>
              <m:rPr>
                <m:sty m:val="p"/>
              </m:rPr>
              <m:t>,</m:t>
            </m:r>
            <m:r>
              <m:t>1</m:t>
            </m:r>
          </m:e>
        </m:d>
      </m:oMath>
      <w:r>
        <w:t xml:space="preserve"> </w:t>
      </w:r>
      <w:r>
        <w:t xml:space="preserve">(the proposal bounds; the model domain</w:t>
      </w:r>
      <w:r>
        <w:t xml:space="preserve"> </w:t>
      </w:r>
      <w:r>
        <w:t xml:space="preserve">is</w:t>
      </w:r>
      <w:r>
        <w:t xml:space="preserve"> </w:t>
      </w:r>
      <m:oMath>
        <m:r>
          <m:t>α</m:t>
        </m:r>
        <m:r>
          <m:rPr>
            <m:sty m:val="p"/>
          </m:rPr>
          <m:t>∈</m:t>
        </m:r>
        <m:r>
          <m:rPr>
            <m:sty m:val="p"/>
          </m:rPr>
          <m:t>[</m:t>
        </m:r>
        <m:r>
          <m:t>0</m:t>
        </m:r>
        <m:r>
          <m:rPr>
            <m:sty m:val="p"/>
          </m:rPr>
          <m:t>,</m:t>
        </m:r>
        <m:r>
          <m:t>1</m:t>
        </m:r>
        <m:r>
          <m:rPr>
            <m:sty m:val="p"/>
          </m:rPr>
          <m:t>)</m:t>
        </m:r>
      </m:oMath>
      <w:r>
        <w:t xml:space="preserve">, package validation clips proposals at</w:t>
      </w:r>
      <w:r>
        <w:t xml:space="preserve"> </w:t>
      </w:r>
      <m:oMath>
        <m:r>
          <m:t>α</m:t>
        </m:r>
        <m:r>
          <m:rPr>
            <m:sty m:val="p"/>
          </m:rPr>
          <m:t>≥</m:t>
        </m:r>
        <m:r>
          <m:t>1</m:t>
        </m:r>
      </m:oMath>
      <w:r>
        <w:t xml:space="preserve">, and the</w:t>
      </w:r>
      <w:r>
        <w:t xml:space="preserve"> </w:t>
      </w:r>
      <w:r>
        <w:t xml:space="preserve">largest evaluated value was</w:t>
      </w:r>
      <w:r>
        <w:t xml:space="preserve"> </w:t>
      </w:r>
      <m:oMath>
        <m:r>
          <m:t>0.986</m:t>
        </m:r>
      </m:oMath>
      <w:r>
        <w:t xml:space="preserve">),</w:t>
      </w:r>
      <w:r>
        <w:t xml:space="preserve"> </w:t>
      </w:r>
      <m:oMath>
        <m:r>
          <m:t>λ</m:t>
        </m:r>
        <m:r>
          <m:rPr>
            <m:sty m:val="p"/>
          </m:rPr>
          <m:t>∈</m:t>
        </m:r>
        <m:d>
          <m:dPr>
            <m:begChr m:val="["/>
            <m:endChr m:val="]"/>
            <m:sepChr m:val=""/>
            <m:grow/>
          </m:dPr>
          <m:e>
            <m:sSup>
              <m:e>
                <m:r>
                  <m:t>10</m:t>
                </m:r>
              </m:e>
              <m:sup>
                <m:r>
                  <m:rPr>
                    <m:sty m:val="p"/>
                  </m:rPr>
                  <m:t>−</m:t>
                </m:r>
                <m:r>
                  <m:t>3</m:t>
                </m:r>
              </m:sup>
            </m:sSup>
            <m:r>
              <m:rPr>
                <m:sty m:val="p"/>
              </m:rPr>
              <m:t>,</m:t>
            </m:r>
            <m:sSup>
              <m:e>
                <m:r>
                  <m:t>10</m:t>
                </m:r>
              </m:e>
              <m:sup>
                <m:r>
                  <m:t>3</m:t>
                </m:r>
              </m:sup>
            </m:sSup>
          </m:e>
        </m:d>
      </m:oMath>
      <w:r>
        <w:t xml:space="preserve"> </w:t>
      </w:r>
      <w:r>
        <w:t xml:space="preserve">(optimized on a</w:t>
      </w:r>
      <w:r>
        <w:t xml:space="preserve"> </w:t>
      </w:r>
      <m:oMath>
        <m:sSub>
          <m:e>
            <m:r>
              <m:rPr>
                <m:sty m:val="p"/>
              </m:rPr>
              <m:t>log</m:t>
            </m:r>
          </m:e>
          <m:sub>
            <m:r>
              <m:t>10</m:t>
            </m:r>
          </m:sub>
        </m:sSub>
      </m:oMath>
      <w:r>
        <w:t xml:space="preserve"> </w:t>
      </w:r>
      <w:r>
        <w:t xml:space="preserve">scale),</w:t>
      </w:r>
      <w:r>
        <w:t xml:space="preserve"> </w:t>
      </w:r>
      <m:oMath>
        <m:r>
          <m:t>ξ</m:t>
        </m:r>
        <m:r>
          <m:rPr>
            <m:sty m:val="p"/>
          </m:rPr>
          <m:t>∈</m:t>
        </m:r>
        <m:d>
          <m:dPr>
            <m:begChr m:val="["/>
            <m:endChr m:val="]"/>
            <m:sepChr m:val=""/>
            <m:grow/>
          </m:dPr>
          <m:e>
            <m:r>
              <m:t>0</m:t>
            </m:r>
            <m:r>
              <m:rPr>
                <m:sty m:val="p"/>
              </m:rPr>
              <m:t>,</m:t>
            </m:r>
            <m:r>
              <m:t>1</m:t>
            </m:r>
          </m:e>
        </m:d>
      </m:oMath>
      <w:r>
        <w:t xml:space="preserve">, and</w:t>
      </w:r>
      <w:r>
        <w:t xml:space="preserve"> </w:t>
      </w:r>
      <m:oMath>
        <m:sSub>
          <m:e>
            <m:r>
              <m:t>n</m:t>
            </m:r>
          </m:e>
          <m:sub>
            <m:r>
              <m:rPr>
                <m:nor/>
                <m:sty m:val="p"/>
              </m:rPr>
              <m:t>top</m:t>
            </m:r>
          </m:sub>
        </m:sSub>
        <m:r>
          <m:rPr>
            <m:sty m:val="p"/>
          </m:rPr>
          <m:t>∈</m:t>
        </m:r>
        <m:d>
          <m:dPr>
            <m:begChr m:val="["/>
            <m:endChr m:val="]"/>
            <m:sepChr m:val=""/>
            <m:grow/>
          </m:dPr>
          <m:e>
            <m:r>
              <m:t>50</m:t>
            </m:r>
            <m:r>
              <m:rPr>
                <m:sty m:val="p"/>
              </m:rPr>
              <m:t>,</m:t>
            </m:r>
            <m:r>
              <m:t>300</m:t>
            </m:r>
          </m:e>
        </m:d>
      </m:oMath>
      <w:r>
        <w:t xml:space="preserve">, with the loadings ridge penalty fixed at</w:t>
      </w:r>
      <w:r>
        <w:t xml:space="preserve"> </w:t>
      </w:r>
      <m:oMath>
        <m:sSub>
          <m:e>
            <m:r>
              <m:t>λ</m:t>
            </m:r>
          </m:e>
          <m:sub>
            <m:r>
              <m:t>H</m:t>
            </m:r>
          </m:sub>
        </m:sSub>
        <m:r>
          <m:rPr>
            <m:sty m:val="p"/>
          </m:rPr>
          <m:t>=</m:t>
        </m:r>
        <m:r>
          <m:t>0</m:t>
        </m:r>
      </m:oMath>
      <w:r>
        <w:t xml:space="preserve">. Bayesian optimization used an initial design of 50 evaluations</w:t>
      </w:r>
      <w:r>
        <w:t xml:space="preserve"> </w:t>
      </w:r>
      <w:r>
        <w:t xml:space="preserve">followed by 100 GP-guided iterations (150 total evaluations), maximizing</w:t>
      </w:r>
      <w:r>
        <w:t xml:space="preserve"> </w:t>
      </w:r>
      <w:r>
        <w:t xml:space="preserve">expected improvement over a candidate pool of</w:t>
      </w:r>
      <w:r>
        <w:t xml:space="preserve"> </w:t>
      </w:r>
      <m:oMath>
        <m:r>
          <m:t>4</m:t>
        </m:r>
        <m:r>
          <m:rPr>
            <m:sty m:val="p"/>
          </m:rPr>
          <m:t>,</m:t>
        </m:r>
        <m:r>
          <m:t>000</m:t>
        </m:r>
      </m:oMath>
      <w:r>
        <w:t xml:space="preserve"> </w:t>
      </w:r>
      <w:r>
        <w:t xml:space="preserve">points sampled from the</w:t>
      </w:r>
      <w:r>
        <w:t xml:space="preserve"> </w:t>
      </w:r>
      <w:r>
        <w:t xml:space="preserve">bounded domain at each step with an exploration margin</w:t>
      </w:r>
      <w:r>
        <w:t xml:space="preserve"> </w:t>
      </w:r>
      <m:oMath>
        <m:r>
          <m:t>κ</m:t>
        </m:r>
        <m:r>
          <m:rPr>
            <m:sty m:val="p"/>
          </m:rPr>
          <m:t>=</m:t>
        </m:r>
        <m:r>
          <m:t>0.01</m:t>
        </m:r>
      </m:oMath>
      <w:r>
        <w:t xml:space="preserve">. The</w:t>
      </w:r>
      <w:r>
        <w:t xml:space="preserve"> </w:t>
      </w:r>
      <w:r>
        <w:t xml:space="preserve">unsupervised comparator fixed</w:t>
      </w:r>
      <w:r>
        <w:t xml:space="preserve"> </w:t>
      </w:r>
      <m:oMath>
        <m:r>
          <m:t>α</m:t>
        </m:r>
        <m:r>
          <m:rPr>
            <m:sty m:val="p"/>
          </m:rPr>
          <m:t>=</m:t>
        </m:r>
        <m:r>
          <m:t>0</m:t>
        </m:r>
      </m:oMath>
      <w:r>
        <w:t xml:space="preserve"> </w:t>
      </w:r>
      <w:r>
        <w:t xml:space="preserve">and tuned the remaining coordinates</w:t>
      </w:r>
      <w:r>
        <w:t xml:space="preserve"> </w:t>
      </w:r>
      <w:r>
        <w:t xml:space="preserve">identically.</w:t>
      </w:r>
    </w:p>
    <w:p>
      <w:pPr>
        <w:pStyle w:val="BodyText"/>
      </w:pPr>
      <w:r>
        <w:t xml:space="preserve">For model selection, we take the highest observed</w:t>
      </w:r>
      <w:r>
        <w:t xml:space="preserve"> </w:t>
      </w:r>
      <m:oMath>
        <m:acc>
          <m:accPr>
            <m:chr m:val="̂"/>
          </m:accPr>
          <m:e>
            <m:r>
              <m:t>c</m:t>
            </m:r>
          </m:e>
        </m:acc>
        <m:d>
          <m:dPr>
            <m:begChr m:val="("/>
            <m:endChr m:val=")"/>
            <m:sepChr m:val=""/>
            <m:grow/>
          </m:dPr>
          <m:e>
            <m:r>
              <m:t>ψ</m:t>
            </m:r>
          </m:e>
        </m:d>
      </m:oMath>
      <w:r>
        <w:t xml:space="preserve"> </w:t>
      </w:r>
      <w:r>
        <w:t xml:space="preserve">as the best</w:t>
      </w:r>
      <w:r>
        <w:t xml:space="preserve"> </w:t>
      </w:r>
      <w:r>
        <w:t xml:space="preserve">observed configuration; because the search is a finite, stochastic exploration</w:t>
      </w:r>
      <w:r>
        <w:t xml:space="preserve"> </w:t>
      </w:r>
      <w:r>
        <w:t xml:space="preserve">of a black-box surface, this is not a claim of a global optimum. When fold-level</w:t>
      </w:r>
      <w:r>
        <w:t xml:space="preserve"> </w:t>
      </w:r>
      <w:r>
        <w:t xml:space="preserve">standard errors are available, we apply a one-standard-error rule for</w:t>
      </w:r>
      <w:r>
        <w:t xml:space="preserve"> </w:t>
      </w:r>
      <m:oMath>
        <m:r>
          <m:t>k</m:t>
        </m:r>
      </m:oMath>
      <w:r>
        <w:t xml:space="preserve">: for</w:t>
      </w:r>
      <w:r>
        <w:t xml:space="preserve"> </w:t>
      </w:r>
      <w:r>
        <w:t xml:space="preserve">each rank we retain the configuration with the highest observed mean</w:t>
      </w:r>
      <w:r>
        <w:t xml:space="preserve"> </w:t>
      </w:r>
      <w:r>
        <w:t xml:space="preserve">cross-validated C-index, set the threshold one fold-level standard error below</w:t>
      </w:r>
      <w:r>
        <w:t xml:space="preserve"> </w:t>
      </w:r>
      <w:r>
        <w:t xml:space="preserve">the best observed configuration’s mean, and select the smallest rank whose</w:t>
      </w:r>
      <w:r>
        <w:t xml:space="preserve"> </w:t>
      </w:r>
      <w:r>
        <w:t xml:space="preserve">retained configuration meets it.</w:t>
      </w:r>
    </w:p>
    <w:p>
      <w:pPr>
        <w:pStyle w:val="BodyText"/>
      </w:pPr>
      <w:r>
        <w:t xml:space="preserve">Two details of this rule matter for reading the reported numbers. First, the</w:t>
      </w:r>
      <w:r>
        <w:t xml:space="preserve"> </w:t>
      </w:r>
      <w:r>
        <w:t xml:space="preserve">comparison is between the best configuration observed at each rank: the highest</w:t>
      </w:r>
      <w:r>
        <w:t xml:space="preserve"> </w:t>
      </w:r>
      <w:r>
        <w:t xml:space="preserve">mean cross-validated C-index anywhere in the search was</w:t>
      </w:r>
      <w:r>
        <w:t xml:space="preserve"> </w:t>
      </w:r>
      <m:oMath>
        <m:r>
          <m:t>0.655</m:t>
        </m:r>
      </m:oMath>
      <w:r>
        <w:t xml:space="preserve"> </w:t>
      </w:r>
      <w:r>
        <w:t xml:space="preserve">at</w:t>
      </w:r>
      <w:r>
        <w:t xml:space="preserve"> </w:t>
      </w:r>
      <m:oMath>
        <m:r>
          <m:t>k</m:t>
        </m:r>
        <m:r>
          <m:rPr>
            <m:sty m:val="p"/>
          </m:rPr>
          <m:t>=</m:t>
        </m:r>
        <m:r>
          <m:t>7</m:t>
        </m:r>
      </m:oMath>
      <w:r>
        <w:t xml:space="preserve"> </w:t>
      </w:r>
      <w:r>
        <w:t xml:space="preserve">(fold-level standard</w:t>
      </w:r>
      <w:r>
        <w:t xml:space="preserve"> </w:t>
      </w:r>
      <w:r>
        <w:t xml:space="preserve">error</w:t>
      </w:r>
      <w:r>
        <w:t xml:space="preserve"> </w:t>
      </w:r>
      <m:oMath>
        <m:r>
          <m:t>0.011</m:t>
        </m:r>
      </m:oMath>
      <w:r>
        <w:t xml:space="preserve">), and the best configuration observed at</w:t>
      </w:r>
      <w:r>
        <w:t xml:space="preserve"> </w:t>
      </w:r>
      <m:oMath>
        <m:r>
          <m:t>k</m:t>
        </m:r>
        <m:r>
          <m:rPr>
            <m:sty m:val="p"/>
          </m:rPr>
          <m:t>=</m:t>
        </m:r>
        <m:r>
          <m:t>3</m:t>
        </m:r>
      </m:oMath>
      <w:r>
        <w:t xml:space="preserve"> </w:t>
      </w:r>
      <w:r>
        <w:t xml:space="preserve">reached</w:t>
      </w:r>
      <w:r>
        <w:t xml:space="preserve"> </w:t>
      </w:r>
      <m:oMath>
        <m:r>
          <m:t>0.646</m:t>
        </m:r>
      </m:oMath>
      <w:r>
        <w:t xml:space="preserve">, above</w:t>
      </w:r>
      <w:r>
        <w:t xml:space="preserve"> </w:t>
      </w:r>
      <w:r>
        <w:t xml:space="preserve">the threshold of</w:t>
      </w:r>
      <w:r>
        <w:t xml:space="preserve"> </w:t>
      </w:r>
      <m:oMath>
        <m:r>
          <m:t>0.644</m:t>
        </m:r>
      </m:oMath>
      <w:r>
        <w:t xml:space="preserve">. Second, the final model</w:t>
      </w:r>
      <w:r>
        <w:t xml:space="preserve"> </w:t>
      </w:r>
      <w:r>
        <w:t xml:space="preserve">is a hybrid of the two: the rule fixed</w:t>
      </w:r>
      <w:r>
        <w:t xml:space="preserve"> </w:t>
      </w:r>
      <m:oMath>
        <m:r>
          <m:t>k</m:t>
        </m:r>
        <m:r>
          <m:rPr>
            <m:sty m:val="p"/>
          </m:rPr>
          <m:t>=</m:t>
        </m:r>
        <m:r>
          <m:t>3</m:t>
        </m:r>
      </m:oMath>
      <w:r>
        <w:t xml:space="preserve">, while the remaining</w:t>
      </w:r>
      <w:r>
        <w:t xml:space="preserve"> </w:t>
      </w:r>
      <w:r>
        <w:t xml:space="preserve">hyperparameters (</w:t>
      </w:r>
      <m:oMath>
        <m:r>
          <m:t>α</m:t>
        </m:r>
        <m:r>
          <m:rPr>
            <m:sty m:val="p"/>
          </m:rPr>
          <m:t>=</m:t>
        </m:r>
        <m:r>
          <m:t>0.334</m:t>
        </m:r>
      </m:oMath>
      <w:r>
        <w:t xml:space="preserve">,</w:t>
      </w:r>
      <w:r>
        <w:t xml:space="preserve"> </w:t>
      </w:r>
      <m:oMath>
        <m:r>
          <m:t>λ</m:t>
        </m:r>
        <m:r>
          <m:rPr>
            <m:sty m:val="p"/>
          </m:rPr>
          <m:t>=</m:t>
        </m:r>
        <m:r>
          <m:t>0.349</m:t>
        </m:r>
      </m:oMath>
      <w:r>
        <w:t xml:space="preserve">,</w:t>
      </w:r>
      <w:r>
        <w:t xml:space="preserve"> </w:t>
      </w:r>
      <m:oMath>
        <m:r>
          <m:t>ξ</m:t>
        </m:r>
        <m:r>
          <m:rPr>
            <m:sty m:val="p"/>
          </m:rPr>
          <m:t>=</m:t>
        </m:r>
        <m:r>
          <m:t>0.056</m:t>
        </m:r>
      </m:oMath>
      <w:r>
        <w:t xml:space="preserve">,</w:t>
      </w:r>
      <w:r>
        <w:t xml:space="preserve"> </w:t>
      </w:r>
      <m:oMath>
        <m:sSub>
          <m:e>
            <m:r>
              <m:t>n</m:t>
            </m:r>
          </m:e>
          <m:sub>
            <m:r>
              <m:rPr>
                <m:nor/>
                <m:sty m:val="p"/>
              </m:rPr>
              <m:t>top</m:t>
            </m:r>
          </m:sub>
        </m:sSub>
        <m:r>
          <m:rPr>
            <m:sty m:val="p"/>
          </m:rPr>
          <m:t>=</m:t>
        </m:r>
        <m:r>
          <m:t>270</m:t>
        </m:r>
      </m:oMath>
      <w:r>
        <w:t xml:space="preserve">) were retained from the overall</w:t>
      </w:r>
      <w:r>
        <w:t xml:space="preserve"> </w:t>
      </w:r>
      <w:r>
        <w:t xml:space="preserve">best configuration at</w:t>
      </w:r>
      <w:r>
        <w:t xml:space="preserve"> </w:t>
      </w:r>
      <m:oMath>
        <m:r>
          <m:t>k</m:t>
        </m:r>
        <m:r>
          <m:rPr>
            <m:sty m:val="p"/>
          </m:rPr>
          <m:t>=</m:t>
        </m:r>
        <m:r>
          <m:t>7</m:t>
        </m:r>
      </m:oMath>
      <w:r>
        <w:t xml:space="preserve">. The final configuration was therefore</w:t>
      </w:r>
      <w:r>
        <w:t xml:space="preserve"> </w:t>
      </w:r>
      <w:r>
        <w:t xml:space="preserve">not itself a point evaluated in the search, and neither number above is its</w:t>
      </w:r>
      <w:r>
        <w:t xml:space="preserve"> </w:t>
      </w:r>
      <w:r>
        <w:t xml:space="preserve">cross-validated performance. We therefore ran a sensitivity check on rank</w:t>
      </w:r>
      <w:r>
        <w:t xml:space="preserve"> </w:t>
      </w:r>
      <w:r>
        <w:t xml:space="preserve">selection using the same training data and the selected non-rank</w:t>
      </w:r>
      <w:r>
        <w:t xml:space="preserve"> </w:t>
      </w:r>
      <w:r>
        <w:t xml:space="preserve">hyperparameters, the fixed-hyperparameter grid of Cross-validated C-index across</w:t>
      </w:r>
      <w:r>
        <w:t xml:space="preserve"> </w:t>
      </w:r>
      <w:r>
        <w:t xml:space="preserve">factorization rank. That grid is an exhaustive rank-by-supervision search over</w:t>
      </w:r>
      <w:r>
        <w:t xml:space="preserve"> </w:t>
      </w:r>
      <m:oMath>
        <m:r>
          <m:t>k</m:t>
        </m:r>
        <m:r>
          <m:rPr>
            <m:sty m:val="p"/>
          </m:rPr>
          <m:t>∈</m:t>
        </m:r>
        <m:r>
          <m:rPr>
            <m:sty m:val="p"/>
          </m:rPr>
          <m:t>{</m:t>
        </m:r>
        <m:r>
          <m:t>2</m:t>
        </m:r>
        <m:r>
          <m:rPr>
            <m:sty m:val="p"/>
          </m:rPr>
          <m:t>,</m:t>
        </m:r>
        <m:r>
          <m:t>3</m:t>
        </m:r>
        <m:r>
          <m:rPr>
            <m:sty m:val="p"/>
          </m:rPr>
          <m:t>,</m:t>
        </m:r>
        <m:r>
          <m:rPr>
            <m:sty m:val="p"/>
          </m:rPr>
          <m:t>…</m:t>
        </m:r>
        <m:r>
          <m:rPr>
            <m:sty m:val="p"/>
          </m:rPr>
          <m:t>,</m:t>
        </m:r>
        <m:r>
          <m:t>12</m:t>
        </m:r>
        <m:r>
          <m:rPr>
            <m:sty m:val="p"/>
          </m:rPr>
          <m:t>}</m:t>
        </m:r>
      </m:oMath>
      <w:r>
        <w:t xml:space="preserve"> </w:t>
      </w:r>
      <w:r>
        <w:t xml:space="preserve">and</w:t>
      </w:r>
      <w:r>
        <w:t xml:space="preserve"> </w:t>
      </w:r>
      <m:oMath>
        <m:r>
          <m:t>α</m:t>
        </m:r>
        <m:r>
          <m:rPr>
            <m:sty m:val="p"/>
          </m:rPr>
          <m:t>∈</m:t>
        </m:r>
        <m:r>
          <m:rPr>
            <m:sty m:val="p"/>
          </m:rPr>
          <m:t>{</m:t>
        </m:r>
        <m:r>
          <m:t>0</m:t>
        </m:r>
        <m:r>
          <m:rPr>
            <m:sty m:val="p"/>
          </m:rPr>
          <m:t>,</m:t>
        </m:r>
        <m:r>
          <m:t>0.05</m:t>
        </m:r>
        <m:r>
          <m:rPr>
            <m:sty m:val="p"/>
          </m:rPr>
          <m:t>,</m:t>
        </m:r>
        <m:r>
          <m:rPr>
            <m:sty m:val="p"/>
          </m:rPr>
          <m:t>…</m:t>
        </m:r>
        <m:r>
          <m:rPr>
            <m:sty m:val="p"/>
          </m:rPr>
          <m:t>,</m:t>
        </m:r>
        <m:r>
          <m:t>0.95</m:t>
        </m:r>
        <m:r>
          <m:rPr>
            <m:sty m:val="p"/>
          </m:rPr>
          <m:t>}</m:t>
        </m:r>
      </m:oMath>
      <w:r>
        <w:t xml:space="preserve"> </w:t>
      </w:r>
      <w:r>
        <w:t xml:space="preserve">holding</w:t>
      </w:r>
      <w:r>
        <w:t xml:space="preserve"> </w:t>
      </w:r>
      <m:oMath>
        <m:r>
          <m:t>λ</m:t>
        </m:r>
      </m:oMath>
      <w:r>
        <w:t xml:space="preserve">,</w:t>
      </w:r>
      <w:r>
        <w:t xml:space="preserve"> </w:t>
      </w:r>
      <m:oMath>
        <m:r>
          <m:t>ξ</m:t>
        </m:r>
      </m:oMath>
      <w:r>
        <w:t xml:space="preserve"> </w:t>
      </w:r>
      <w:r>
        <w:t xml:space="preserve">and</w:t>
      </w:r>
      <w:r>
        <w:t xml:space="preserve"> </w:t>
      </w:r>
      <m:oMath>
        <m:sSub>
          <m:e>
            <m:r>
              <m:t>n</m:t>
            </m:r>
          </m:e>
          <m:sub>
            <m:r>
              <m:rPr>
                <m:nor/>
                <m:sty m:val="p"/>
              </m:rPr>
              <m:t>top</m:t>
            </m:r>
          </m:sub>
        </m:sSub>
      </m:oMath>
      <w:r>
        <w:t xml:space="preserve"> </w:t>
      </w:r>
      <w:r>
        <w:t xml:space="preserve">at the selected model’s values, and the</w:t>
      </w:r>
      <w:r>
        <w:t xml:space="preserve"> </w:t>
      </w:r>
      <w:r>
        <w:t xml:space="preserve">statements here are restricted throughout to</w:t>
      </w:r>
      <w:r>
        <w:t xml:space="preserve"> </w:t>
      </w:r>
      <m:oMath>
        <m:sSub>
          <m:e>
            <m:r>
              <m:t>n</m:t>
            </m:r>
          </m:e>
          <m:sub>
            <m:r>
              <m:rPr>
                <m:nor/>
                <m:sty m:val="p"/>
              </m:rPr>
              <m:t>top</m:t>
            </m:r>
          </m:sub>
        </m:sSub>
        <m:r>
          <m:rPr>
            <m:sty m:val="p"/>
          </m:rPr>
          <m:t>=</m:t>
        </m:r>
        <m:r>
          <m:t>270</m:t>
        </m:r>
      </m:oMath>
      <w:r>
        <w:t xml:space="preserve">. Applying the same</w:t>
      </w:r>
      <w:r>
        <w:t xml:space="preserve"> </w:t>
      </w:r>
      <w:r>
        <w:t xml:space="preserve">one-standard-error rule to it also selects</w:t>
      </w:r>
      <w:r>
        <w:t xml:space="preserve"> </w:t>
      </w:r>
      <m:oMath>
        <m:r>
          <m:t>k</m:t>
        </m:r>
        <m:r>
          <m:rPr>
            <m:sty m:val="p"/>
          </m:rPr>
          <m:t>=</m:t>
        </m:r>
        <m:r>
          <m:t>3</m:t>
        </m:r>
      </m:oMath>
      <w:r>
        <w:t xml:space="preserve">, its best</w:t>
      </w:r>
      <w:r>
        <w:t xml:space="preserve"> </w:t>
      </w:r>
      <w:r>
        <w:t xml:space="preserve">configuration being at</w:t>
      </w:r>
      <w:r>
        <w:t xml:space="preserve"> </w:t>
      </w:r>
      <m:oMath>
        <m:r>
          <m:t>k</m:t>
        </m:r>
        <m:r>
          <m:rPr>
            <m:sty m:val="p"/>
          </m:rPr>
          <m:t>=</m:t>
        </m:r>
        <m:r>
          <m:t>9</m:t>
        </m:r>
      </m:oMath>
      <w:r>
        <w:t xml:space="preserve"> </w:t>
      </w:r>
      <w:r>
        <w:t xml:space="preserve">with mean C-index</w:t>
      </w:r>
      <w:r>
        <w:t xml:space="preserve"> </w:t>
      </w:r>
      <m:oMath>
        <m:r>
          <m:t>0.671</m:t>
        </m:r>
      </m:oMath>
      <w:r>
        <w:t xml:space="preserve"> </w:t>
      </w:r>
      <w:r>
        <w:t xml:space="preserve">and standard error</w:t>
      </w:r>
      <w:r>
        <w:t xml:space="preserve"> </w:t>
      </w:r>
      <m:oMath>
        <m:r>
          <m:t>0.009</m:t>
        </m:r>
      </m:oMath>
      <w:r>
        <w:t xml:space="preserve">, and</w:t>
      </w:r>
      <w:r>
        <w:t xml:space="preserve"> </w:t>
      </w:r>
      <m:oMath>
        <m:r>
          <m:t>k</m:t>
        </m:r>
        <m:r>
          <m:rPr>
            <m:sty m:val="p"/>
          </m:rPr>
          <m:t>=</m:t>
        </m:r>
        <m:r>
          <m:t>3</m:t>
        </m:r>
      </m:oMath>
      <w:r>
        <w:t xml:space="preserve"> </w:t>
      </w:r>
      <w:r>
        <w:t xml:space="preserve">the</w:t>
      </w:r>
      <w:r>
        <w:t xml:space="preserve"> </w:t>
      </w:r>
      <w:r>
        <w:t xml:space="preserve">smallest rank whose best configuration reaches the resulting threshold</w:t>
      </w:r>
      <w:r>
        <w:t xml:space="preserve"> </w:t>
      </w:r>
      <m:oMath>
        <m:r>
          <m:t>0.662</m:t>
        </m:r>
      </m:oMath>
      <w:r>
        <w:t xml:space="preserve">. That corroborates the selected</w:t>
      </w:r>
      <w:r>
        <w:t xml:space="preserve"> </w:t>
      </w:r>
      <w:r>
        <w:t xml:space="preserve">rank without evaluating the final configuration itself, whose nearest evaluated</w:t>
      </w:r>
      <w:r>
        <w:t xml:space="preserve"> </w:t>
      </w:r>
      <w:r>
        <w:t xml:space="preserve">neighbor is the slice of the same grid at the selected rank. At</w:t>
      </w:r>
      <w:r>
        <w:t xml:space="preserve"> </w:t>
      </w:r>
      <m:oMath>
        <m:r>
          <m:t>k</m:t>
        </m:r>
        <m:r>
          <m:rPr>
            <m:sty m:val="p"/>
          </m:rPr>
          <m:t>=</m:t>
        </m:r>
        <m:r>
          <m:t>3</m:t>
        </m:r>
      </m:oMath>
      <w:r>
        <w:t xml:space="preserve"> </w:t>
      </w:r>
      <w:r>
        <w:t xml:space="preserve">and</w:t>
      </w:r>
      <w:r>
        <w:t xml:space="preserve"> </w:t>
      </w:r>
      <m:oMath>
        <m:r>
          <m:t>α</m:t>
        </m:r>
        <m:r>
          <m:rPr>
            <m:sty m:val="p"/>
          </m:rPr>
          <m:t>=</m:t>
        </m:r>
        <m:r>
          <m:t>0.35</m:t>
        </m:r>
      </m:oMath>
      <w:r>
        <w:t xml:space="preserve"> </w:t>
      </w:r>
      <w:r>
        <w:t xml:space="preserve">the five-fold</w:t>
      </w:r>
      <w:r>
        <w:t xml:space="preserve"> </w:t>
      </w:r>
      <w:r>
        <w:t xml:space="preserve">cross-validated C-index was</w:t>
      </w:r>
      <w:r>
        <w:t xml:space="preserve"> </w:t>
      </w:r>
      <m:oMath>
        <m:r>
          <m:t>0.656</m:t>
        </m:r>
      </m:oMath>
      <w:r>
        <w:t xml:space="preserve"> </w:t>
      </w:r>
      <w:r>
        <w:t xml:space="preserve">(standard error</w:t>
      </w:r>
      <w:r>
        <w:t xml:space="preserve"> </w:t>
      </w:r>
      <m:oMath>
        <m:r>
          <m:t>0.010</m:t>
        </m:r>
      </m:oMath>
      <w:r>
        <w:t xml:space="preserve">), which clears the</w:t>
      </w:r>
      <w:r>
        <w:t xml:space="preserve"> </w:t>
      </w:r>
      <w:r>
        <w:t xml:space="preserve">Bayesian-optimization threshold of</w:t>
      </w:r>
      <w:r>
        <w:t xml:space="preserve"> </w:t>
      </w:r>
      <m:oMath>
        <m:r>
          <m:t>0.644</m:t>
        </m:r>
      </m:oMath>
      <w:r>
        <w:t xml:space="preserve"> </w:t>
      </w:r>
      <w:r>
        <w:t xml:space="preserve">but</w:t>
      </w:r>
      <w:r>
        <w:t xml:space="preserve"> </w:t>
      </w:r>
      <w:r>
        <w:t xml:space="preserve">not this grid’s own one-standard-error threshold of</w:t>
      </w:r>
      <w:r>
        <w:t xml:space="preserve"> </w:t>
      </w:r>
      <m:oMath>
        <m:r>
          <m:t>0.662</m:t>
        </m:r>
      </m:oMath>
      <w:r>
        <w:t xml:space="preserve">, and which is a nearby supervision</w:t>
      </w:r>
      <w:r>
        <w:t xml:space="preserve"> </w:t>
      </w:r>
      <w:r>
        <w:t xml:space="preserve">level rather than the selected configuration. The final DeSurv model</w:t>
      </w:r>
      <w:r>
        <w:t xml:space="preserve"> </w:t>
      </w:r>
      <w:r>
        <w:t xml:space="preserve">is refit at the selected parameters using the consensus-based initialization</w:t>
      </w:r>
      <w:r>
        <w:t xml:space="preserve"> </w:t>
      </w:r>
      <w:r>
        <w:t xml:space="preserve">(Consensus initialization for the final model), and the BO-chosen</w:t>
      </w:r>
      <w:r>
        <w:t xml:space="preserve"> </w:t>
      </w:r>
      <m:oMath>
        <m:sSub>
          <m:e>
            <m:r>
              <m:t>n</m:t>
            </m:r>
          </m:e>
          <m:sub>
            <m:r>
              <m:rPr>
                <m:nor/>
                <m:sty m:val="p"/>
              </m:rPr>
              <m:t>top</m:t>
            </m:r>
          </m:sub>
        </m:sSub>
      </m:oMath>
      <w:r>
        <w:t xml:space="preserve"> </w:t>
      </w:r>
      <w:r>
        <w:t xml:space="preserve">is used to</w:t>
      </w:r>
      <w:r>
        <w:t xml:space="preserve"> </w:t>
      </w:r>
      <w:r>
        <w:t xml:space="preserve">truncate each program for downstream analysis.</w:t>
      </w:r>
    </w:p>
    <w:p>
      <w:pPr>
        <w:pStyle w:val="BodyText"/>
      </w:pPr>
      <w:r>
        <w:t xml:space="preserve">The parameter</w:t>
      </w:r>
      <w:r>
        <w:t xml:space="preserve"> </w:t>
      </w:r>
      <m:oMath>
        <m:sSub>
          <m:e>
            <m:r>
              <m:t>n</m:t>
            </m:r>
          </m:e>
          <m:sub>
            <m:r>
              <m:rPr>
                <m:nor/>
                <m:sty m:val="p"/>
              </m:rPr>
              <m:t>top</m:t>
            </m:r>
          </m:sub>
        </m:sSub>
      </m:oMath>
      <w:r>
        <w:t xml:space="preserve"> </w:t>
      </w:r>
      <w:r>
        <w:t xml:space="preserve">determines the gene support used for projection and, in the final consensus procedure, the gene sets from each restart that enter the consensus initialization. After factorization, the support is restricted to the union of the</w:t>
      </w:r>
      <w:r>
        <w:t xml:space="preserve"> </w:t>
      </w:r>
      <m:oMath>
        <m:r>
          <m:t>k</m:t>
        </m:r>
      </m:oMath>
      <w:r>
        <w:t xml:space="preserve"> </w:t>
      </w:r>
      <w:r>
        <w:t xml:space="preserve">programs’ top-</w:t>
      </w:r>
      <m:oMath>
        <m:sSub>
          <m:e>
            <m:r>
              <m:t>n</m:t>
            </m:r>
          </m:e>
          <m:sub>
            <m:r>
              <m:rPr>
                <m:nor/>
                <m:sty m:val="p"/>
              </m:rPr>
              <m:t>top</m:t>
            </m:r>
          </m:sub>
        </m:sSub>
      </m:oMath>
      <w:r>
        <w:t xml:space="preserve"> </w:t>
      </w:r>
      <w:r>
        <w:t xml:space="preserve">gene sets, ranked within each program by specificity score</w:t>
      </w:r>
      <w:r>
        <w:t xml:space="preserve"> </w:t>
      </w:r>
      <m:oMath>
        <m:sSub>
          <m:e>
            <m:r>
              <m:t>s</m:t>
            </m:r>
          </m:e>
          <m:sub>
            <m:r>
              <m:t>i</m:t>
            </m:r>
            <m:r>
              <m:t>j</m:t>
            </m:r>
          </m:sub>
        </m:sSub>
      </m:oMath>
      <w:r>
        <w:t xml:space="preserve"> </w:t>
      </w:r>
      <w:r>
        <w:t xml:space="preserve">(Supplementary Information, Section [sec:gene-program-correlation]), giving the truncated matrix</w:t>
      </w:r>
      <w:r>
        <w:t xml:space="preserve"> </w:t>
      </w:r>
      <m:oMath>
        <m:acc>
          <m:accPr>
            <m:chr m:val="̃"/>
          </m:accPr>
          <m:e>
            <m:r>
              <m:t>W</m:t>
            </m:r>
          </m:e>
        </m:acc>
      </m:oMath>
      <w:r>
        <w:t xml:space="preserve">; each sample’s score for program</w:t>
      </w:r>
      <w:r>
        <w:t xml:space="preserve"> </w:t>
      </w:r>
      <m:oMath>
        <m:r>
          <m:t>j</m:t>
        </m:r>
      </m:oMath>
      <w:r>
        <w:t xml:space="preserve"> </w:t>
      </w:r>
      <w:r>
        <w:t xml:space="preserve">is then</w:t>
      </w:r>
      <w:r>
        <w:t xml:space="preserve"> </w:t>
      </w:r>
      <m:oMath>
        <m:sSubSup>
          <m:e>
            <m:acc>
              <m:accPr>
                <m:chr m:val="̃"/>
              </m:accPr>
              <m:e>
                <m:r>
                  <m:t>W</m:t>
                </m:r>
              </m:e>
            </m:acc>
          </m:e>
          <m:sub>
            <m:r>
              <m:t>j</m:t>
            </m:r>
          </m:sub>
          <m:sup>
            <m:r>
              <m:rPr>
                <m:sty m:val="p"/>
              </m:rPr>
              <m:t>⊤</m:t>
            </m:r>
          </m:sup>
        </m:sSubSup>
        <m:r>
          <m:t>x</m:t>
        </m:r>
      </m:oMath>
      <w:r>
        <w:t xml:space="preserve">, the</w:t>
      </w:r>
      <w:r>
        <w:t xml:space="preserve"> </w:t>
      </w:r>
      <m:oMath>
        <m:r>
          <m:t>j</m:t>
        </m:r>
      </m:oMath>
      <w:r>
        <w:t xml:space="preserve">th column of</w:t>
      </w:r>
      <w:r>
        <w:t xml:space="preserve"> </w:t>
      </w:r>
      <m:oMath>
        <m:acc>
          <m:accPr>
            <m:chr m:val="̃"/>
          </m:accPr>
          <m:e>
            <m:r>
              <m:t>W</m:t>
            </m:r>
          </m:e>
        </m:acc>
      </m:oMath>
      <w:r>
        <w:t xml:space="preserve"> </w:t>
      </w:r>
      <w:r>
        <w:t xml:space="preserve">applied to that shared support. Genes outside the union still shape the factorization but do not enter the linear predictor. This union construction is the convention used by the cross-validation objective and by the primary external-validation scoring. BO selects</w:t>
      </w:r>
      <w:r>
        <w:t xml:space="preserve"> </w:t>
      </w:r>
      <m:oMath>
        <m:sSub>
          <m:e>
            <m:r>
              <m:t>n</m:t>
            </m:r>
          </m:e>
          <m:sub>
            <m:r>
              <m:rPr>
                <m:nor/>
                <m:sty m:val="p"/>
              </m:rPr>
              <m:t>top</m:t>
            </m:r>
          </m:sub>
        </m:sSub>
      </m:oMath>
      <w:r>
        <w:t xml:space="preserve"> </w:t>
      </w:r>
      <w:r>
        <w:t xml:space="preserve">jointly with</w:t>
      </w:r>
      <w:r>
        <w:t xml:space="preserve"> </w:t>
      </w:r>
      <m:oMath>
        <m:r>
          <m:t>k</m:t>
        </m:r>
      </m:oMath>
      <w:r>
        <w:t xml:space="preserve">,</w:t>
      </w:r>
      <w:r>
        <w:t xml:space="preserve"> </w:t>
      </w:r>
      <m:oMath>
        <m:r>
          <m:t>α</m:t>
        </m:r>
      </m:oMath>
      <w:r>
        <w:t xml:space="preserve">,</w:t>
      </w:r>
      <w:r>
        <w:t xml:space="preserve"> </w:t>
      </w:r>
      <m:oMath>
        <m:r>
          <m:t>λ</m:t>
        </m:r>
      </m:oMath>
      <w:r>
        <w:t xml:space="preserve">, and</w:t>
      </w:r>
      <w:r>
        <w:t xml:space="preserve"> </w:t>
      </w:r>
      <m:oMath>
        <m:r>
          <m:t>ξ</m:t>
        </m:r>
      </m:oMath>
      <w:r>
        <w:t xml:space="preserve"> </w:t>
      </w:r>
      <w:r>
        <w:t xml:space="preserve">by optimizing cross-validated C-index. Each comparator search selects its own</w:t>
      </w:r>
      <w:r>
        <w:t xml:space="preserve"> </w:t>
      </w:r>
      <m:oMath>
        <m:sSub>
          <m:e>
            <m:r>
              <m:t>n</m:t>
            </m:r>
          </m:e>
          <m:sub>
            <m:r>
              <m:rPr>
                <m:nor/>
                <m:sty m:val="p"/>
              </m:rPr>
              <m:t>top</m:t>
            </m:r>
          </m:sub>
        </m:sSub>
      </m:oMath>
      <w:r>
        <w:t xml:space="preserve">. The primary factorization comparison used a common number of top genes per program when constructing each model’s scoring union, the supervised model’s</w:t>
      </w:r>
      <w:r>
        <w:t xml:space="preserve"> </w:t>
      </w:r>
      <m:oMath>
        <m:sSub>
          <m:e>
            <m:r>
              <m:t>n</m:t>
            </m:r>
          </m:e>
          <m:sub>
            <m:r>
              <m:rPr>
                <m:nor/>
                <m:sty m:val="p"/>
              </m:rPr>
              <m:t>top</m:t>
            </m:r>
          </m:sub>
        </m:sSub>
        <m:r>
          <m:rPr>
            <m:sty m:val="p"/>
          </m:rPr>
          <m:t>=</m:t>
        </m:r>
        <m:r>
          <m:t>270</m:t>
        </m:r>
      </m:oMath>
      <w:r>
        <w:t xml:space="preserve"> </w:t>
      </w:r>
      <w:r>
        <w:t xml:space="preserve">(Supplementary Table [tab:tab-cindex-comparison]), with the tuning-selected values reported alongside it; total union size can still differ with rank and overlap among programs. When</w:t>
      </w:r>
      <w:r>
        <w:t xml:space="preserve"> </w:t>
      </w:r>
      <m:oMath>
        <m:r>
          <m:t>α</m:t>
        </m:r>
        <m:r>
          <m:rPr>
            <m:sty m:val="p"/>
          </m:rPr>
          <m:t>=</m:t>
        </m:r>
        <m:r>
          <m:t>0</m:t>
        </m:r>
      </m:oMath>
      <w:r>
        <w:t xml:space="preserve"> </w:t>
      </w:r>
      <w:r>
        <w:t xml:space="preserve">(no survival supervision), survival does not enter the factorization objective; it is used for the post hoc Cox fit and for tuning</w:t>
      </w:r>
      <w:r>
        <w:t xml:space="preserve"> </w:t>
      </w:r>
      <m:oMath>
        <m:sSub>
          <m:e>
            <m:r>
              <m:t>n</m:t>
            </m:r>
          </m:e>
          <m:sub>
            <m:r>
              <m:rPr>
                <m:nor/>
                <m:sty m:val="p"/>
              </m:rPr>
              <m:t>top</m:t>
            </m:r>
          </m:sub>
        </m:sSub>
      </m:oMath>
      <w:r>
        <w:t xml:space="preserve">, which sets the projection support and, through the consensus initialization, can still influence the final unsupervised fit indirectly.</w:t>
      </w:r>
    </w:p>
    <w:p>
      <w:pPr>
        <w:pStyle w:val="BodyText"/>
      </w:pPr>
      <w:r>
        <w:t xml:space="preserve">Supplementary Fig. [fig:fig-si-bo-tuning] illustrates the tuned response surface for the two coordinates of primary interest in the PDAC training cohort: the cross-validated C-index over factorization rank</w:t>
      </w:r>
      <w:r>
        <w:t xml:space="preserve"> </w:t>
      </w:r>
      <m:oMath>
        <m:r>
          <m:t>k</m:t>
        </m:r>
      </m:oMath>
      <w:r>
        <w:t xml:space="preserve"> </w:t>
      </w:r>
      <w:r>
        <w:t xml:space="preserve">and supervision strength</w:t>
      </w:r>
      <w:r>
        <w:t xml:space="preserve"> </w:t>
      </w:r>
      <m:oMath>
        <m:r>
          <m:t>α</m:t>
        </m:r>
      </m:oMath>
      <w:r>
        <w:t xml:space="preserve">. Performance is high across a broad region at intermediate supervision and moderate rank, with a second high region at</w:t>
      </w:r>
      <w:r>
        <w:t xml:space="preserve"> </w:t>
      </w:r>
      <m:oMath>
        <m:r>
          <m:t>k</m:t>
        </m:r>
        <m:r>
          <m:rPr>
            <m:sty m:val="p"/>
          </m:rPr>
          <m:t>≥</m:t>
        </m:r>
        <m:r>
          <m:t>9</m:t>
        </m:r>
      </m:oMath>
      <w:r>
        <w:t xml:space="preserve"> </w:t>
      </w:r>
      <w:r>
        <w:t xml:space="preserve">and</w:t>
      </w:r>
      <w:r>
        <w:t xml:space="preserve"> </w:t>
      </w:r>
      <m:oMath>
        <m:r>
          <m:t>α</m:t>
        </m:r>
        <m:r>
          <m:rPr>
            <m:sty m:val="p"/>
          </m:rPr>
          <m:t>≈</m:t>
        </m:r>
        <m:r>
          <m:t>0.2</m:t>
        </m:r>
      </m:oMath>
      <w:r>
        <w:t xml:space="preserve">–</w:t>
      </w:r>
      <m:oMath>
        <m:r>
          <m:t>0.3</m:t>
        </m:r>
      </m:oMath>
      <w:r>
        <w:t xml:space="preserve">, and degrades toward the unsupervised corner (</w:t>
      </w:r>
      <m:oMath>
        <m:r>
          <m:t>α</m:t>
        </m:r>
        <m:r>
          <m:rPr>
            <m:sty m:val="p"/>
          </m:rPr>
          <m:t>=</m:t>
        </m:r>
        <m:r>
          <m:t>0</m:t>
        </m:r>
      </m:oMath>
      <w:r>
        <w:t xml:space="preserve">), consistent with a benefit of survival supervision; the second region is consistent with the flat rank dependence of the supervised curve in Section [sec:cvk]. This is an empirical model-selection sensitivity surface, not a simulation result.</w:t>
      </w:r>
    </w:p>
    <w:p>
      <w:pPr>
        <w:pStyle w:val="BodyText"/>
      </w:pPr>
      <w:r>
        <w:drawing>
          <wp:inline>
            <wp:extent cx="5183131" cy="4135477"/>
            <wp:effectExtent b="0" l="0" r="0" t="0"/>
            <wp:docPr descr="" title="" id="31" name="Picture"/>
            <a:graphic>
              <a:graphicData uri="http://schemas.openxmlformats.org/drawingml/2006/picture">
                <pic:pic>
                  <pic:nvPicPr>
                    <pic:cNvPr descr=".docx_media/si_appendix_files_figure_latex_fig_si_bo_tuning_1.png" id="32" name="Picture"/>
                    <pic:cNvPicPr>
                      <a:picLocks noChangeArrowheads="1" noChangeAspect="1"/>
                    </pic:cNvPicPr>
                  </pic:nvPicPr>
                  <pic:blipFill>
                    <a:blip r:embed="rId30"/>
                    <a:stretch>
                      <a:fillRect/>
                    </a:stretch>
                  </pic:blipFill>
                  <pic:spPr bwMode="auto">
                    <a:xfrm>
                      <a:off x="0" y="0"/>
                      <a:ext cx="5183131" cy="4135477"/>
                    </a:xfrm>
                    <a:prstGeom prst="rect">
                      <a:avLst/>
                    </a:prstGeom>
                    <a:noFill/>
                    <a:ln w="9525">
                      <a:noFill/>
                      <a:headEnd/>
                      <a:tailEnd/>
                    </a:ln>
                  </pic:spPr>
                </pic:pic>
              </a:graphicData>
            </a:graphic>
          </wp:inline>
        </w:drawing>
      </w:r>
    </w:p>
    <w:p>
      <w:pPr>
        <w:pStyle w:val="BodyText"/>
      </w:pPr>
      <w:r>
        <w:rPr>
          <w:iCs/>
          <w:i/>
        </w:rPr>
        <w:t xml:space="preserve">Bayesian-optimization tuning surface for DeSurv in the PDAC training cohort (TCGA + CPTAC). Gaussian-process–predicted mean cross-validated C-index over factorization rank (</w:t>
      </w:r>
      <m:oMath>
        <m:r>
          <m:t>k</m:t>
        </m:r>
      </m:oMath>
      <w:r>
        <w:rPr>
          <w:iCs/>
          <w:i/>
        </w:rPr>
        <w:t xml:space="preserve">) and supervision strength (</w:t>
      </w:r>
      <m:oMath>
        <m:r>
          <m:t>α</m:t>
        </m:r>
      </m:oMath>
      <w:r>
        <w:rPr>
          <w:iCs/>
          <w:i/>
        </w:rPr>
        <w:t xml:space="preserve">;</w:t>
      </w:r>
      <w:r>
        <w:rPr>
          <w:iCs/>
          <w:i/>
        </w:rPr>
        <w:t xml:space="preserve"> </w:t>
      </w:r>
      <m:oMath>
        <m:r>
          <m:t>α</m:t>
        </m:r>
        <m:r>
          <m:rPr>
            <m:sty m:val="p"/>
          </m:rPr>
          <m:t>=</m:t>
        </m:r>
        <m:r>
          <m:t>0</m:t>
        </m:r>
      </m:oMath>
      <w:r>
        <w:rPr>
          <w:iCs/>
          <w:i/>
        </w:rPr>
        <w:t xml:space="preserve"> </w:t>
      </w:r>
      <w:r>
        <w:rPr>
          <w:iCs/>
          <w:i/>
        </w:rPr>
        <w:t xml:space="preserve">corresponds to the unsupervised limit). The response surface shows a broad region of high cross-validated performance at intermediate supervision and moderate rank, a second high region at</w:t>
      </w:r>
      <w:r>
        <w:rPr>
          <w:iCs/>
          <w:i/>
        </w:rPr>
        <w:t xml:space="preserve"> </w:t>
      </w:r>
      <m:oMath>
        <m:r>
          <m:t>k</m:t>
        </m:r>
        <m:r>
          <m:rPr>
            <m:sty m:val="p"/>
          </m:rPr>
          <m:t>≥</m:t>
        </m:r>
        <m:r>
          <m:t>9</m:t>
        </m:r>
      </m:oMath>
      <w:r>
        <w:rPr>
          <w:iCs/>
          <w:i/>
        </w:rPr>
        <w:t xml:space="preserve"> </w:t>
      </w:r>
      <w:r>
        <w:rPr>
          <w:iCs/>
          <w:i/>
        </w:rPr>
        <w:t xml:space="preserve">and</w:t>
      </w:r>
      <w:r>
        <w:rPr>
          <w:iCs/>
          <w:i/>
        </w:rPr>
        <w:t xml:space="preserve"> </w:t>
      </w:r>
      <m:oMath>
        <m:r>
          <m:t>α</m:t>
        </m:r>
        <m:r>
          <m:rPr>
            <m:sty m:val="p"/>
          </m:rPr>
          <m:t>≈</m:t>
        </m:r>
        <m:r>
          <m:t>0.2</m:t>
        </m:r>
      </m:oMath>
      <w:r>
        <w:rPr>
          <w:iCs/>
          <w:i/>
        </w:rPr>
        <w:t xml:space="preserve">–</w:t>
      </w:r>
      <m:oMath>
        <m:r>
          <m:t>0.3</m:t>
        </m:r>
      </m:oMath>
      <w:r>
        <w:rPr>
          <w:iCs/>
          <w:i/>
        </w:rPr>
        <w:t xml:space="preserve">, and discrimination degrading toward the unsupervised (</w:t>
      </w:r>
      <m:oMath>
        <m:r>
          <m:t>α</m:t>
        </m:r>
        <m:r>
          <m:rPr>
            <m:sty m:val="p"/>
          </m:rPr>
          <m:t>=</m:t>
        </m:r>
        <m:r>
          <m:t>0</m:t>
        </m:r>
      </m:oMath>
      <w:r>
        <w:rPr>
          <w:iCs/>
          <w:i/>
        </w:rPr>
        <w:t xml:space="preserve">) boundary.</w:t>
      </w:r>
    </w:p>
    <w:bookmarkStart w:id="33" w:name="X3799d3f5b96a9eb66814e69c9c1b1440f7c6a5d"/>
    <w:p>
      <w:pPr>
        <w:pStyle w:val="Heading2"/>
      </w:pPr>
      <w:r>
        <w:t xml:space="preserve">Consensus initialization for the final model</w:t>
      </w:r>
    </w:p>
    <w:p>
      <w:pPr>
        <w:pStyle w:val="FirstParagraph"/>
      </w:pPr>
      <w:r>
        <w:t xml:space="preserve">The final DeSurv model at the selected hyperparameters was initialized from a consensus of multiple independent runs to reduce sensitivity to random starts. We first fit</w:t>
      </w:r>
      <w:r>
        <w:t xml:space="preserve"> </w:t>
      </w:r>
      <m:oMath>
        <m:r>
          <m:t>R</m:t>
        </m:r>
        <m:r>
          <m:rPr>
            <m:sty m:val="p"/>
          </m:rPr>
          <m:t>=</m:t>
        </m:r>
        <m:r>
          <m:t>100</m:t>
        </m:r>
      </m:oMath>
      <w:r>
        <w:t xml:space="preserve"> </w:t>
      </w:r>
      <w:r>
        <w:t xml:space="preserve">DeSurv models to the training data from independent random nonnegative initializations at the selected</w:t>
      </w:r>
      <w:r>
        <w:t xml:space="preserve"> </w:t>
      </w:r>
      <m:oMath>
        <m:d>
          <m:dPr>
            <m:begChr m:val="("/>
            <m:endChr m:val=")"/>
            <m:sepChr m:val=""/>
            <m:grow/>
          </m:dPr>
          <m:e>
            <m:r>
              <m:t>k</m:t>
            </m:r>
            <m:r>
              <m:rPr>
                <m:sty m:val="p"/>
              </m:rPr>
              <m:t>,</m:t>
            </m:r>
            <m:r>
              <m:t>α</m:t>
            </m:r>
            <m:r>
              <m:rPr>
                <m:sty m:val="p"/>
              </m:rPr>
              <m:t>,</m:t>
            </m:r>
            <m:r>
              <m:t>λ</m:t>
            </m:r>
            <m:r>
              <m:rPr>
                <m:sty m:val="p"/>
              </m:rPr>
              <m:t>,</m:t>
            </m:r>
            <m:r>
              <m:t>ξ</m:t>
            </m:r>
            <m:r>
              <m:rPr>
                <m:sty m:val="p"/>
              </m:rPr>
              <m:t>,</m:t>
            </m:r>
            <m:sSub>
              <m:e>
                <m:r>
                  <m:t>n</m:t>
                </m:r>
              </m:e>
              <m:sub>
                <m:r>
                  <m:rPr>
                    <m:nor/>
                    <m:sty m:val="p"/>
                  </m:rPr>
                  <m:t>top</m:t>
                </m:r>
              </m:sub>
            </m:sSub>
          </m:e>
        </m:d>
      </m:oMath>
      <w:r>
        <w:t xml:space="preserve"> </w:t>
      </w:r>
      <w:r>
        <w:t xml:space="preserve">(seeds 1–100). For each run, the top</w:t>
      </w:r>
      <w:r>
        <w:t xml:space="preserve"> </w:t>
      </w:r>
      <m:oMath>
        <m:sSub>
          <m:e>
            <m:r>
              <m:t>n</m:t>
            </m:r>
          </m:e>
          <m:sub>
            <m:r>
              <m:rPr>
                <m:nor/>
                <m:sty m:val="p"/>
              </m:rPr>
              <m:t>top</m:t>
            </m:r>
          </m:sub>
        </m:sSub>
      </m:oMath>
      <w:r>
        <w:t xml:space="preserve"> </w:t>
      </w:r>
      <w:r>
        <w:t xml:space="preserve">genes of every learned program were extracted by factor-specificity score, and a gene-by-gene consensus matrix was accumulated across runs, recording how often each pair of genes appeared together among the top genes of the same program.</w:t>
      </w:r>
    </w:p>
    <w:p>
      <w:pPr>
        <w:pStyle w:val="BodyText"/>
      </w:pPr>
      <w:r>
        <w:t xml:space="preserve">Genes appearing in the top sets of fewer than</w:t>
      </w:r>
      <w:r>
        <w:t xml:space="preserve"> </w:t>
      </w:r>
      <m:oMath>
        <m:r>
          <m:rPr>
            <m:sty m:val="p"/>
          </m:rPr>
          <m:t>⌈</m:t>
        </m:r>
        <m:r>
          <m:t>0.3</m:t>
        </m:r>
        <m:r>
          <m:t>R</m:t>
        </m:r>
        <m:r>
          <m:rPr>
            <m:sty m:val="p"/>
          </m:rPr>
          <m:t>⌉</m:t>
        </m:r>
      </m:oMath>
      <w:r>
        <w:t xml:space="preserve"> </w:t>
      </w:r>
      <w:r>
        <w:t xml:space="preserve">of the</w:t>
      </w:r>
      <w:r>
        <w:t xml:space="preserve"> </w:t>
      </w:r>
      <m:oMath>
        <m:r>
          <m:t>R</m:t>
        </m:r>
      </m:oMath>
      <w:r>
        <w:t xml:space="preserve"> </w:t>
      </w:r>
      <w:r>
        <w:t xml:space="preserve">runs were treated as inactive and excluded from clustering. Because the consensus is constructed from gene-by-gene co-occurrence across restarts, it is invariant to factor-label permutations and does not require explicit alignment of factor labels across runs. The consensus matrix over the remaining genes was partitioned into</w:t>
      </w:r>
      <w:r>
        <w:t xml:space="preserve"> </w:t>
      </w:r>
      <m:oMath>
        <m:r>
          <m:t>k</m:t>
        </m:r>
      </m:oMath>
      <w:r>
        <w:t xml:space="preserve"> </w:t>
      </w:r>
      <w:r>
        <w:t xml:space="preserve">groups by agglomerative hierarchical clustering (average linkage), and each cluster defined one column of the initial gene-program matrix</w:t>
      </w:r>
      <w:r>
        <w:t xml:space="preserve"> </w:t>
      </w:r>
      <m:oMath>
        <m:sSub>
          <m:e>
            <m:r>
              <m:t>W</m:t>
            </m:r>
          </m:e>
          <m:sub>
            <m:r>
              <m:t>0</m:t>
            </m:r>
          </m:sub>
        </m:sSub>
      </m:oMath>
      <w:r>
        <w:t xml:space="preserve">; inactive genes and otherwise-empty entries were set to a small positive floor (</w:t>
      </w:r>
      <m:oMath>
        <m:rad>
          <m:radPr>
            <m:degHide m:val="on"/>
          </m:radPr>
          <m:deg/>
          <m:e>
            <m:sSub>
              <m:e>
                <m:r>
                  <m:t>ϵ</m:t>
                </m:r>
              </m:e>
              <m:sub>
                <m:r>
                  <m:rPr>
                    <m:nor/>
                    <m:sty m:val="p"/>
                  </m:rPr>
                  <m:t>mach</m:t>
                </m:r>
              </m:sub>
            </m:sSub>
          </m:e>
        </m:rad>
      </m:oMath>
      <w:r>
        <w:t xml:space="preserve">) to preserve strict positivity. The initial loadings</w:t>
      </w:r>
      <w:r>
        <w:t xml:space="preserve"> </w:t>
      </w:r>
      <m:oMath>
        <m:sSub>
          <m:e>
            <m:r>
              <m:t>H</m:t>
            </m:r>
          </m:e>
          <m:sub>
            <m:r>
              <m:t>0</m:t>
            </m:r>
          </m:sub>
        </m:sSub>
      </m:oMath>
      <w:r>
        <w:t xml:space="preserve"> </w:t>
      </w:r>
      <w:r>
        <w:t xml:space="preserve">were obtained by nonnegative least squares given</w:t>
      </w:r>
      <w:r>
        <w:t xml:space="preserve"> </w:t>
      </w:r>
      <m:oMath>
        <m:sSub>
          <m:e>
            <m:r>
              <m:t>W</m:t>
            </m:r>
          </m:e>
          <m:sub>
            <m:r>
              <m:t>0</m:t>
            </m:r>
          </m:sub>
        </m:sSub>
      </m:oMath>
      <w:r>
        <w:t xml:space="preserve"> </w:t>
      </w:r>
      <w:r>
        <w:t xml:space="preserve">and the training expression matrix, and the initial Cox coefficients</w:t>
      </w:r>
      <w:r>
        <w:t xml:space="preserve"> </w:t>
      </w:r>
      <m:oMath>
        <m:sSub>
          <m:e>
            <m:r>
              <m:t>β</m:t>
            </m:r>
          </m:e>
          <m:sub>
            <m:r>
              <m:t>0</m:t>
            </m:r>
          </m:sub>
        </m:sSub>
      </m:oMath>
      <w:r>
        <w:t xml:space="preserve"> </w:t>
      </w:r>
      <w:r>
        <w:t xml:space="preserve">were set to zero. This consensus seed used only training-cohort data and was applied solely to initialize the single final refit after hyperparameter selection; it used no validation-cohort data and therefore introduced no information leakage.</w:t>
      </w:r>
    </w:p>
    <w:bookmarkEnd w:id="33"/>
    <w:bookmarkEnd w:id="34"/>
    <w:bookmarkStart w:id="35" w:name="pdac-datasets"/>
    <w:p>
      <w:pPr>
        <w:pStyle w:val="Heading1"/>
      </w:pPr>
      <w:r>
        <w:t xml:space="preserve">PDAC Datasets</w:t>
      </w:r>
    </w:p>
    <w:p>
      <w:pPr>
        <w:pStyle w:val="FirstParagraph"/>
      </w:pPr>
      <w:r>
        <w:t xml:space="preserve">We analyzed PDAC cohorts from TCGA-PAAD and CPTAC-PDAC as training data</w:t>
      </w:r>
      <w:hyperlink w:anchor="ref-raphael2017integrated">
        <w:r>
          <w:rPr>
            <w:rStyle w:val="Hyperlink"/>
            <w:vertAlign w:val="superscript"/>
          </w:rPr>
          <w:t xml:space="preserve">13</w:t>
        </w:r>
      </w:hyperlink>
      <w:r>
        <w:rPr>
          <w:vertAlign w:val="superscript"/>
        </w:rPr>
        <w:t xml:space="preserve">,</w:t>
      </w:r>
      <w:hyperlink w:anchor="ref-cao2021proteogenomic">
        <w:r>
          <w:rPr>
            <w:rStyle w:val="Hyperlink"/>
            <w:vertAlign w:val="superscript"/>
          </w:rPr>
          <w:t xml:space="preserve">14</w:t>
        </w:r>
      </w:hyperlink>
      <w:r>
        <w:t xml:space="preserve">. External validation used</w:t>
      </w:r>
      <w:r>
        <w:t xml:space="preserve"> </w:t>
      </w:r>
      <w:r>
        <w:t xml:space="preserve">independent cohorts from Dijk, Moffitt, PACA-AU (array and RNA-seq), and Puleo</w:t>
      </w:r>
      <w:hyperlink w:anchor="ref-dijk2020unsupervised">
        <w:r>
          <w:rPr>
            <w:rStyle w:val="Hyperlink"/>
            <w:vertAlign w:val="superscript"/>
          </w:rPr>
          <w:t xml:space="preserve">15</w:t>
        </w:r>
      </w:hyperlink>
      <w:r>
        <w:rPr>
          <w:vertAlign w:val="superscript"/>
        </w:rPr>
        <w:t xml:space="preserve">–</w:t>
      </w:r>
      <w:hyperlink w:anchor="ref-puleo2018stratification">
        <w:r>
          <w:rPr>
            <w:rStyle w:val="Hyperlink"/>
            <w:vertAlign w:val="superscript"/>
          </w:rPr>
          <w:t xml:space="preserve">18</w:t>
        </w:r>
      </w:hyperlink>
      <w:r>
        <w:t xml:space="preserve">.</w:t>
      </w:r>
      <w:r>
        <w:t xml:space="preserve"> </w:t>
      </w:r>
      <w:r>
        <w:t xml:space="preserve">Training models were fit on the combined TCGA and CPTAC expression matrices</w:t>
      </w:r>
      <w:r>
        <w:t xml:space="preserve"> </w:t>
      </w:r>
      <w:r>
        <w:t xml:space="preserve">after harmonizing gene identifiers; validation datasets were processed with the</w:t>
      </w:r>
      <w:r>
        <w:t xml:space="preserve"> </w:t>
      </w:r>
      <w:r>
        <w:t xml:space="preserve">same gene set and transformations before projection, scoring and downstream validation analyses.</w:t>
      </w:r>
    </w:p>
    <w:p>
      <w:pPr>
        <w:pStyle w:val="BodyText"/>
      </w:pPr>
      <w:r>
        <w:t xml:space="preserve">Dataset-specific inclusion and preprocessing steps were as follows. For</w:t>
      </w:r>
      <w:r>
        <w:t xml:space="preserve"> </w:t>
      </w:r>
      <w:r>
        <w:t xml:space="preserve">TCGA-PAAD, we excluded samples lacking tumor grade and mapped features to gene</w:t>
      </w:r>
      <w:r>
        <w:t xml:space="preserve"> </w:t>
      </w:r>
      <w:r>
        <w:t xml:space="preserve">symbols. For CPTAC, we retained samples annotated as PDAC by histology. For</w:t>
      </w:r>
      <w:r>
        <w:t xml:space="preserve"> </w:t>
      </w:r>
      <w:r>
        <w:t xml:space="preserve">Dijk, all 90 samples passed quality-control filters and were retained. For</w:t>
      </w:r>
      <w:r>
        <w:t xml:space="preserve"> </w:t>
      </w:r>
      <w:r>
        <w:t xml:space="preserve">Moffitt, only primary tumor specimens were kept. For PACA-AU array and RNA-seq,</w:t>
      </w:r>
      <w:r>
        <w:t xml:space="preserve"> </w:t>
      </w:r>
      <w:r>
        <w:t xml:space="preserve">we retained primary PDAC tumors and</w:t>
      </w:r>
      <w:r>
        <w:t xml:space="preserve"> </w:t>
      </w:r>
      <w:r>
        <w:t xml:space="preserve">collapsed duplicated gene symbols by median. Puleo</w:t>
      </w:r>
      <w:r>
        <w:t xml:space="preserve"> </w:t>
      </w:r>
      <w:r>
        <w:t xml:space="preserve">required no additional dataset-specific filtering beyond survival QC.</w:t>
      </w:r>
    </w:p>
    <w:p>
      <w:pPr>
        <w:pStyle w:val="BodyText"/>
      </w:pPr>
      <w:r>
        <w:t xml:space="preserve">Across cohorts, samples without valid survival outcomes (nonpositive time,</w:t>
      </w:r>
      <w:r>
        <w:t xml:space="preserve"> </w:t>
      </w:r>
      <w:r>
        <w:t xml:space="preserve">missing time, or missing event indicator) were removed. Expression matrices</w:t>
      </w:r>
      <w:r>
        <w:t xml:space="preserve"> </w:t>
      </w:r>
      <w:r>
        <w:t xml:space="preserve">were analyzed on a log scale: RNA-seq cohorts as log</w:t>
      </w:r>
      <m:oMath>
        <m:sSub>
          <m:e>
            <m:r>
              <m:t>​</m:t>
            </m:r>
          </m:e>
          <m:sub>
            <m:r>
              <m:t>2</m:t>
            </m:r>
          </m:sub>
        </m:sSub>
      </m:oMath>
      <w:r>
        <w:t xml:space="preserve">(TPM + 1); microarray cohorts in platform-normalized log-scale intensities. For each training cohort (TCGA-PAAD and CPTAC) separately, genes were ranked</w:t>
      </w:r>
      <w:r>
        <w:t xml:space="preserve"> </w:t>
      </w:r>
      <w:r>
        <w:t xml:space="preserve">in descending order of mean expression and, independently, of variance; the</w:t>
      </w:r>
      <w:r>
        <w:t xml:space="preserve"> </w:t>
      </w:r>
      <w:r>
        <w:t xml:space="preserve">3,000 genes with the lowest sum of these two ranks were retained, selecting</w:t>
      </w:r>
      <w:r>
        <w:t xml:space="preserve"> </w:t>
      </w:r>
      <w:r>
        <w:t xml:space="preserve">genes that are both highly expressed and highly variable.</w:t>
      </w:r>
      <w:r>
        <w:t xml:space="preserve"> </w:t>
      </w:r>
      <w:r>
        <w:t xml:space="preserve">The intersection of these two gene sets yielded 1,970 genes used for model</w:t>
      </w:r>
      <w:r>
        <w:t xml:space="preserve"> </w:t>
      </w:r>
      <w:r>
        <w:t xml:space="preserve">training. Validation datasets were restricted to this same 1,970-gene set.</w:t>
      </w:r>
    </w:p>
    <w:p>
      <w:pPr>
        <w:pStyle w:val="BodyText"/>
      </w:pPr>
      <w:r>
        <w:t xml:space="preserve">A within-sample rank transformation was then applied to every dataset to</w:t>
      </w:r>
      <w:r>
        <w:t xml:space="preserve"> </w:t>
      </w:r>
      <w:r>
        <w:t xml:space="preserve">mitigate platform and scale effects. Specifically, for each sample the</w:t>
      </w:r>
      <w:r>
        <w:t xml:space="preserve"> </w:t>
      </w:r>
      <w:r>
        <w:t xml:space="preserve">expression values across the 1,970 retained genes were replaced by their</w:t>
      </w:r>
      <w:r>
        <w:t xml:space="preserve"> </w:t>
      </w:r>
      <w:r>
        <w:t xml:space="preserve">ascending ranks (ties resolved by average ranks), so that every sample carries</w:t>
      </w:r>
      <w:r>
        <w:t xml:space="preserve"> </w:t>
      </w:r>
      <w:r>
        <w:t xml:space="preserve">the same nonnegative rank distribution over the shared gene set; ranks are</w:t>
      </w:r>
      <w:r>
        <w:t xml:space="preserve"> </w:t>
      </w:r>
      <w:r>
        <w:t xml:space="preserve">inherently nonnegative and therefore preserve NMF compatibility. Validation</w:t>
      </w:r>
      <w:r>
        <w:t xml:space="preserve"> </w:t>
      </w:r>
      <w:r>
        <w:t xml:space="preserve">cohorts were rank-transformed by exactly the same per-sample procedure before</w:t>
      </w:r>
      <w:r>
        <w:t xml:space="preserve"> </w:t>
      </w:r>
      <w:r>
        <w:t xml:space="preserve">projection, with no use of validation outcomes.</w:t>
      </w:r>
    </w:p>
    <w:p>
      <w:pPr>
        <w:pStyle w:val="BodyText"/>
      </w:pPr>
      <w:r>
        <w:t xml:space="preserve">Table [tab:cohorts] summarizes the cohorts, platforms, sample sizes after</w:t>
      </w:r>
      <w:r>
        <w:t xml:space="preserve"> </w:t>
      </w:r>
      <w:r>
        <w:t xml:space="preserve">quality control, and patient-level metadata used in this study. Overall survival</w:t>
      </w:r>
      <w:r>
        <w:t xml:space="preserve"> </w:t>
      </w:r>
      <w:r>
        <w:t xml:space="preserve">time and event indicators were available for all cohorts. PurIST</w:t>
      </w:r>
      <w:hyperlink w:anchor="ref-rashid2020purity">
        <w:r>
          <w:rPr>
            <w:rStyle w:val="Hyperlink"/>
            <w:vertAlign w:val="superscript"/>
          </w:rPr>
          <w:t xml:space="preserve">19</w:t>
        </w:r>
      </w:hyperlink>
      <w:r>
        <w:t xml:space="preserve"> </w:t>
      </w:r>
      <w:r>
        <w:t xml:space="preserve">and DeCAF</w:t>
      </w:r>
      <w:hyperlink w:anchor="ref-peng2024determination">
        <w:r>
          <w:rPr>
            <w:rStyle w:val="Hyperlink"/>
            <w:vertAlign w:val="superscript"/>
          </w:rPr>
          <w:t xml:space="preserve">20</w:t>
        </w:r>
      </w:hyperlink>
      <w:r>
        <w:t xml:space="preserve"> </w:t>
      </w:r>
      <w:r>
        <w:t xml:space="preserve">molecular</w:t>
      </w:r>
      <w:r>
        <w:t xml:space="preserve"> </w:t>
      </w:r>
      <w:r>
        <w:t xml:space="preserve">classifications, applied to bulk expression data as described in those</w:t>
      </w:r>
      <w:r>
        <w:t xml:space="preserve"> </w:t>
      </w:r>
      <w:r>
        <w:t xml:space="preserve">references, were used as covariates in the covariate-adjusted external</w:t>
      </w:r>
      <w:r>
        <w:t xml:space="preserve"> </w:t>
      </w:r>
      <w:r>
        <w:t xml:space="preserve">validation analysis. Gene expression data and molecular</w:t>
      </w:r>
      <w:r>
        <w:t xml:space="preserve"> </w:t>
      </w:r>
      <w:r>
        <w:t xml:space="preserve">classifications for the validation cohorts were originally compiled for the</w:t>
      </w:r>
      <w:r>
        <w:t xml:space="preserve"> </w:t>
      </w:r>
      <w:r>
        <w:t xml:space="preserve">DeCAF study</w:t>
      </w:r>
      <w:hyperlink w:anchor="ref-peng2024determination">
        <w:r>
          <w:rPr>
            <w:rStyle w:val="Hyperlink"/>
            <w:vertAlign w:val="superscript"/>
          </w:rPr>
          <w:t xml:space="preserve">20</w:t>
        </w:r>
      </w:hyperlink>
      <w:r>
        <w:t xml:space="preserve">; training data were obtained directly</w:t>
      </w:r>
      <w:r>
        <w:t xml:space="preserve"> </w:t>
      </w:r>
      <w:r>
        <w:t xml:space="preserve">from GDC.</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Cohort</w:t>
            </w:r>
          </w:p>
        </w:tc>
        <w:tc>
          <w:tcPr/>
          <w:p>
            <w:pPr>
              <w:pStyle w:val="Compact"/>
              <w:jc w:val="left"/>
            </w:pPr>
            <w:r>
              <w:t xml:space="preserve">Platform</w:t>
            </w:r>
          </w:p>
        </w:tc>
        <w:tc>
          <w:tcPr/>
          <w:p>
            <w:pPr>
              <w:pStyle w:val="Compact"/>
              <w:jc w:val="left"/>
            </w:pPr>
            <m:oMath>
              <m:r>
                <m:t>N</m:t>
              </m:r>
            </m:oMath>
          </w:p>
        </w:tc>
        <w:tc>
          <w:tcPr/>
          <w:p>
            <w:pPr>
              <w:pStyle w:val="Compact"/>
              <w:jc w:val="left"/>
            </w:pPr>
            <w:r>
              <w:t xml:space="preserve">Events</w:t>
            </w:r>
          </w:p>
        </w:tc>
        <w:tc>
          <w:tcPr/>
          <w:p>
            <w:pPr>
              <w:pStyle w:val="Compact"/>
              <w:jc w:val="left"/>
            </w:pPr>
            <w:r>
              <w:t xml:space="preserve">Role</w:t>
            </w:r>
          </w:p>
        </w:tc>
        <w:tc>
          <w:tcPr/>
          <w:p>
            <w:pPr>
              <w:pStyle w:val="Compact"/>
              <w:jc w:val="left"/>
            </w:pPr>
            <w:r>
              <w:t xml:space="preserve">Accession</w:t>
            </w:r>
          </w:p>
        </w:tc>
        <w:tc>
          <w:tcPr/>
          <w:p>
            <w:pPr>
              <w:pStyle w:val="Compact"/>
              <w:jc w:val="left"/>
            </w:pPr>
            <w:r>
              <w:t xml:space="preserve">Metadata</w:t>
            </w:r>
          </w:p>
        </w:tc>
        <w:tc>
          <w:tcPr/>
          <w:p>
            <w:pPr>
              <w:pStyle w:val="Compact"/>
              <w:jc w:val="left"/>
            </w:pPr>
            <w:r>
              <w:t xml:space="preserve">Reference</w:t>
            </w:r>
          </w:p>
        </w:tc>
      </w:tr>
      <w:tr>
        <w:tc>
          <w:tcPr/>
          <w:p>
            <w:pPr>
              <w:pStyle w:val="Compact"/>
              <w:jc w:val="left"/>
            </w:pPr>
            <w:r>
              <w:t xml:space="preserve">TCGA-PAAD</w:t>
            </w:r>
          </w:p>
        </w:tc>
        <w:tc>
          <w:tcPr/>
          <w:p>
            <w:pPr>
              <w:pStyle w:val="Compact"/>
              <w:jc w:val="left"/>
            </w:pPr>
            <w:r>
              <w:t xml:space="preserve">RNA-seq</w:t>
            </w:r>
          </w:p>
        </w:tc>
        <w:tc>
          <w:tcPr/>
          <w:p>
            <w:pPr>
              <w:pStyle w:val="Compact"/>
              <w:jc w:val="left"/>
            </w:pPr>
            <w:r>
              <w:t xml:space="preserve">144</w:t>
            </w:r>
          </w:p>
        </w:tc>
        <w:tc>
          <w:tcPr/>
          <w:p>
            <w:pPr>
              <w:pStyle w:val="Compact"/>
              <w:jc w:val="left"/>
            </w:pPr>
            <w:r>
              <w:t xml:space="preserve">75 (52%)</w:t>
            </w:r>
          </w:p>
        </w:tc>
        <w:tc>
          <w:tcPr/>
          <w:p>
            <w:pPr>
              <w:pStyle w:val="Compact"/>
              <w:jc w:val="left"/>
            </w:pPr>
            <w:r>
              <w:t xml:space="preserve">Training</w:t>
            </w:r>
          </w:p>
        </w:tc>
        <w:tc>
          <w:tcPr/>
          <w:p>
            <w:pPr>
              <w:pStyle w:val="Compact"/>
              <w:jc w:val="left"/>
            </w:pPr>
            <w:r>
              <w:t xml:space="preserve">GDC (TCGA-PAAD)</w:t>
            </w:r>
          </w:p>
        </w:tc>
        <w:tc>
          <w:tcPr/>
          <w:p>
            <w:pPr>
              <w:pStyle w:val="Compact"/>
              <w:jc w:val="left"/>
            </w:pPr>
            <w:r>
              <w:t xml:space="preserve">OS, PurIST, DeCAF</w:t>
            </w:r>
          </w:p>
        </w:tc>
        <w:tc>
          <w:tcPr/>
          <w:p>
            <w:pPr>
              <w:pStyle w:val="Compact"/>
              <w:jc w:val="left"/>
            </w:pPr>
            <w:r>
              <w:t xml:space="preserve">Raphael et al. (2017)</w:t>
            </w:r>
          </w:p>
        </w:tc>
      </w:tr>
      <w:tr>
        <w:tc>
          <w:tcPr/>
          <w:p>
            <w:pPr>
              <w:pStyle w:val="Compact"/>
              <w:jc w:val="left"/>
            </w:pPr>
            <w:r>
              <w:t xml:space="preserve">CPTAC</w:t>
            </w:r>
          </w:p>
        </w:tc>
        <w:tc>
          <w:tcPr/>
          <w:p>
            <w:pPr>
              <w:pStyle w:val="Compact"/>
              <w:jc w:val="left"/>
            </w:pPr>
            <w:r>
              <w:t xml:space="preserve">RNA-seq</w:t>
            </w:r>
          </w:p>
        </w:tc>
        <w:tc>
          <w:tcPr/>
          <w:p>
            <w:pPr>
              <w:pStyle w:val="Compact"/>
              <w:jc w:val="left"/>
            </w:pPr>
            <w:r>
              <w:t xml:space="preserve">129</w:t>
            </w:r>
          </w:p>
        </w:tc>
        <w:tc>
          <w:tcPr/>
          <w:p>
            <w:pPr>
              <w:pStyle w:val="Compact"/>
              <w:jc w:val="left"/>
            </w:pPr>
            <w:r>
              <w:t xml:space="preserve">64 (50%)</w:t>
            </w:r>
          </w:p>
        </w:tc>
        <w:tc>
          <w:tcPr/>
          <w:p>
            <w:pPr>
              <w:pStyle w:val="Compact"/>
              <w:jc w:val="left"/>
            </w:pPr>
            <w:r>
              <w:t xml:space="preserve">Training</w:t>
            </w:r>
          </w:p>
        </w:tc>
        <w:tc>
          <w:tcPr/>
          <w:p>
            <w:pPr>
              <w:pStyle w:val="Compact"/>
              <w:jc w:val="left"/>
            </w:pPr>
            <w:r>
              <w:t xml:space="preserve">GDC (CPTAC-3)</w:t>
            </w:r>
          </w:p>
        </w:tc>
        <w:tc>
          <w:tcPr/>
          <w:p>
            <w:pPr>
              <w:pStyle w:val="Compact"/>
              <w:jc w:val="left"/>
            </w:pPr>
            <w:r>
              <w:t xml:space="preserve">OS, PurIST, DeCAF</w:t>
            </w:r>
          </w:p>
        </w:tc>
        <w:tc>
          <w:tcPr/>
          <w:p>
            <w:pPr>
              <w:pStyle w:val="Compact"/>
              <w:jc w:val="left"/>
            </w:pPr>
            <w:r>
              <w:t xml:space="preserve">Cao et al. (2021)</w:t>
            </w:r>
          </w:p>
        </w:tc>
      </w:tr>
      <w:tr>
        <w:tc>
          <w:tcPr/>
          <w:p>
            <w:pPr>
              <w:pStyle w:val="Compact"/>
              <w:jc w:val="left"/>
            </w:pPr>
            <w:r>
              <w:t xml:space="preserve">Dijk</w:t>
            </w:r>
          </w:p>
        </w:tc>
        <w:tc>
          <w:tcPr/>
          <w:p>
            <w:pPr>
              <w:pStyle w:val="Compact"/>
              <w:jc w:val="left"/>
            </w:pPr>
            <w:r>
              <w:t xml:space="preserve">RNA-seq</w:t>
            </w:r>
          </w:p>
        </w:tc>
        <w:tc>
          <w:tcPr/>
          <w:p>
            <w:pPr>
              <w:pStyle w:val="Compact"/>
              <w:jc w:val="left"/>
            </w:pPr>
            <w:r>
              <w:t xml:space="preserve">90</w:t>
            </w:r>
          </w:p>
        </w:tc>
        <w:tc>
          <w:tcPr/>
          <w:p>
            <w:pPr>
              <w:pStyle w:val="Compact"/>
              <w:jc w:val="left"/>
            </w:pPr>
            <w:r>
              <w:t xml:space="preserve">81 (90%)</w:t>
            </w:r>
          </w:p>
        </w:tc>
        <w:tc>
          <w:tcPr/>
          <w:p>
            <w:pPr>
              <w:pStyle w:val="Compact"/>
              <w:jc w:val="left"/>
            </w:pPr>
            <w:r>
              <w:t xml:space="preserve">Validation</w:t>
            </w:r>
          </w:p>
        </w:tc>
        <w:tc>
          <w:tcPr/>
          <w:p>
            <w:pPr>
              <w:pStyle w:val="Compact"/>
              <w:jc w:val="left"/>
            </w:pPr>
            <w:r>
              <w:t xml:space="preserve">E-MTAB-6830</w:t>
            </w:r>
          </w:p>
        </w:tc>
        <w:tc>
          <w:tcPr/>
          <w:p>
            <w:pPr>
              <w:pStyle w:val="Compact"/>
              <w:jc w:val="left"/>
            </w:pPr>
            <w:r>
              <w:t xml:space="preserve">OS, PurIST, DeCAF</w:t>
            </w:r>
          </w:p>
        </w:tc>
        <w:tc>
          <w:tcPr/>
          <w:p>
            <w:pPr>
              <w:pStyle w:val="Compact"/>
              <w:jc w:val="left"/>
            </w:pPr>
            <w:r>
              <w:t xml:space="preserve">Dijk et al. (2020)</w:t>
            </w:r>
          </w:p>
        </w:tc>
      </w:tr>
      <w:tr>
        <w:tc>
          <w:tcPr/>
          <w:p>
            <w:pPr>
              <w:pStyle w:val="Compact"/>
              <w:jc w:val="left"/>
            </w:pPr>
            <w:r>
              <w:t xml:space="preserve">Moffitt</w:t>
            </w:r>
          </w:p>
        </w:tc>
        <w:tc>
          <w:tcPr/>
          <w:p>
            <w:pPr>
              <w:pStyle w:val="Compact"/>
              <w:jc w:val="left"/>
            </w:pPr>
            <w:r>
              <w:t xml:space="preserve">Microarray</w:t>
            </w:r>
          </w:p>
        </w:tc>
        <w:tc>
          <w:tcPr/>
          <w:p>
            <w:pPr>
              <w:pStyle w:val="Compact"/>
              <w:jc w:val="left"/>
            </w:pPr>
            <w:r>
              <w:t xml:space="preserve">123</w:t>
            </w:r>
          </w:p>
        </w:tc>
        <w:tc>
          <w:tcPr/>
          <w:p>
            <w:pPr>
              <w:pStyle w:val="Compact"/>
              <w:jc w:val="left"/>
            </w:pPr>
            <w:r>
              <w:t xml:space="preserve">83 (67%)</w:t>
            </w:r>
          </w:p>
        </w:tc>
        <w:tc>
          <w:tcPr/>
          <w:p>
            <w:pPr>
              <w:pStyle w:val="Compact"/>
              <w:jc w:val="left"/>
            </w:pPr>
            <w:r>
              <w:t xml:space="preserve">Validation</w:t>
            </w:r>
          </w:p>
        </w:tc>
        <w:tc>
          <w:tcPr/>
          <w:p>
            <w:pPr>
              <w:pStyle w:val="Compact"/>
              <w:jc w:val="left"/>
            </w:pPr>
            <w:r>
              <w:t xml:space="preserve">GSE71729</w:t>
            </w:r>
          </w:p>
        </w:tc>
        <w:tc>
          <w:tcPr/>
          <w:p>
            <w:pPr>
              <w:pStyle w:val="Compact"/>
              <w:jc w:val="left"/>
            </w:pPr>
            <w:r>
              <w:t xml:space="preserve">OS, PurIST, DeCAF</w:t>
            </w:r>
          </w:p>
        </w:tc>
        <w:tc>
          <w:tcPr/>
          <w:p>
            <w:pPr>
              <w:pStyle w:val="Compact"/>
              <w:jc w:val="left"/>
            </w:pPr>
            <w:r>
              <w:t xml:space="preserve">Moffitt et al. (2015)</w:t>
            </w:r>
          </w:p>
        </w:tc>
      </w:tr>
      <w:tr>
        <w:tc>
          <w:tcPr/>
          <w:p>
            <w:pPr>
              <w:pStyle w:val="Compact"/>
              <w:jc w:val="left"/>
            </w:pPr>
            <w:r>
              <w:t xml:space="preserve">PACA-AU (array)</w:t>
            </w:r>
          </w:p>
        </w:tc>
        <w:tc>
          <w:tcPr/>
          <w:p>
            <w:pPr>
              <w:pStyle w:val="Compact"/>
              <w:jc w:val="left"/>
            </w:pPr>
            <w:r>
              <w:t xml:space="preserve">Microarray</w:t>
            </w:r>
          </w:p>
        </w:tc>
        <w:tc>
          <w:tcPr/>
          <w:p>
            <w:pPr>
              <w:pStyle w:val="Compact"/>
              <w:jc w:val="left"/>
            </w:pPr>
            <w:r>
              <w:t xml:space="preserve">63</w:t>
            </w:r>
          </w:p>
        </w:tc>
        <w:tc>
          <w:tcPr/>
          <w:p>
            <w:pPr>
              <w:pStyle w:val="Compact"/>
              <w:jc w:val="left"/>
            </w:pPr>
            <w:r>
              <w:t xml:space="preserve">38 (60%)</w:t>
            </w:r>
          </w:p>
        </w:tc>
        <w:tc>
          <w:tcPr/>
          <w:p>
            <w:pPr>
              <w:pStyle w:val="Compact"/>
              <w:jc w:val="left"/>
            </w:pPr>
            <w:r>
              <w:t xml:space="preserve">Validation</w:t>
            </w:r>
          </w:p>
        </w:tc>
        <w:tc>
          <w:tcPr/>
          <w:p>
            <w:pPr>
              <w:pStyle w:val="Compact"/>
              <w:jc w:val="left"/>
            </w:pPr>
            <w:r>
              <w:t xml:space="preserve">GSE36924</w:t>
            </w:r>
          </w:p>
        </w:tc>
        <w:tc>
          <w:tcPr/>
          <w:p>
            <w:pPr>
              <w:pStyle w:val="Compact"/>
              <w:jc w:val="left"/>
            </w:pPr>
            <w:r>
              <w:t xml:space="preserve">OS, PurIST, DeCAF</w:t>
            </w:r>
          </w:p>
        </w:tc>
        <w:tc>
          <w:tcPr/>
          <w:p>
            <w:pPr>
              <w:pStyle w:val="Compact"/>
              <w:jc w:val="left"/>
            </w:pPr>
            <w:r>
              <w:t xml:space="preserve">Bailey et al. (2016)</w:t>
            </w:r>
          </w:p>
        </w:tc>
      </w:tr>
      <w:tr>
        <w:tc>
          <w:tcPr/>
          <w:p>
            <w:pPr>
              <w:pStyle w:val="Compact"/>
              <w:jc w:val="left"/>
            </w:pPr>
            <w:r>
              <w:t xml:space="preserve">PACA-AU (RNA-seq)</w:t>
            </w:r>
          </w:p>
        </w:tc>
        <w:tc>
          <w:tcPr/>
          <w:p>
            <w:pPr>
              <w:pStyle w:val="Compact"/>
              <w:jc w:val="left"/>
            </w:pPr>
            <w:r>
              <w:t xml:space="preserve">RNA-seq</w:t>
            </w:r>
          </w:p>
        </w:tc>
        <w:tc>
          <w:tcPr/>
          <w:p>
            <w:pPr>
              <w:pStyle w:val="Compact"/>
              <w:jc w:val="left"/>
            </w:pPr>
            <w:r>
              <w:t xml:space="preserve">52</w:t>
            </w:r>
          </w:p>
        </w:tc>
        <w:tc>
          <w:tcPr/>
          <w:p>
            <w:pPr>
              <w:pStyle w:val="Compact"/>
              <w:jc w:val="left"/>
            </w:pPr>
            <w:r>
              <w:t xml:space="preserve">31 (60%)</w:t>
            </w:r>
          </w:p>
        </w:tc>
        <w:tc>
          <w:tcPr/>
          <w:p>
            <w:pPr>
              <w:pStyle w:val="Compact"/>
              <w:jc w:val="left"/>
            </w:pPr>
            <w:r>
              <w:t xml:space="preserve">Validation</w:t>
            </w:r>
          </w:p>
        </w:tc>
        <w:tc>
          <w:tcPr/>
          <w:p>
            <w:pPr>
              <w:pStyle w:val="Compact"/>
              <w:jc w:val="left"/>
            </w:pPr>
            <w:r>
              <w:t xml:space="preserve">EGAS00001000154</w:t>
            </w:r>
          </w:p>
        </w:tc>
        <w:tc>
          <w:tcPr/>
          <w:p>
            <w:pPr>
              <w:pStyle w:val="Compact"/>
              <w:jc w:val="left"/>
            </w:pPr>
            <w:r>
              <w:t xml:space="preserve">OS, PurIST, DeCAF</w:t>
            </w:r>
          </w:p>
        </w:tc>
        <w:tc>
          <w:tcPr/>
          <w:p>
            <w:pPr>
              <w:pStyle w:val="Compact"/>
              <w:jc w:val="left"/>
            </w:pPr>
            <w:r>
              <w:t xml:space="preserve">Bailey et al. (2016)</w:t>
            </w:r>
          </w:p>
        </w:tc>
      </w:tr>
      <w:tr>
        <w:tc>
          <w:tcPr/>
          <w:p>
            <w:pPr>
              <w:pStyle w:val="Compact"/>
              <w:jc w:val="left"/>
            </w:pPr>
            <w:r>
              <w:t xml:space="preserve">Puleo</w:t>
            </w:r>
          </w:p>
        </w:tc>
        <w:tc>
          <w:tcPr/>
          <w:p>
            <w:pPr>
              <w:pStyle w:val="Compact"/>
              <w:jc w:val="left"/>
            </w:pPr>
            <w:r>
              <w:t xml:space="preserve">Microarray</w:t>
            </w:r>
          </w:p>
        </w:tc>
        <w:tc>
          <w:tcPr/>
          <w:p>
            <w:pPr>
              <w:pStyle w:val="Compact"/>
              <w:jc w:val="left"/>
            </w:pPr>
            <w:r>
              <w:t xml:space="preserve">288</w:t>
            </w:r>
          </w:p>
        </w:tc>
        <w:tc>
          <w:tcPr/>
          <w:p>
            <w:pPr>
              <w:pStyle w:val="Compact"/>
              <w:jc w:val="left"/>
            </w:pPr>
            <w:r>
              <w:t xml:space="preserve">181 (63%)</w:t>
            </w:r>
          </w:p>
        </w:tc>
        <w:tc>
          <w:tcPr/>
          <w:p>
            <w:pPr>
              <w:pStyle w:val="Compact"/>
              <w:jc w:val="left"/>
            </w:pPr>
            <w:r>
              <w:t xml:space="preserve">Validation</w:t>
            </w:r>
          </w:p>
        </w:tc>
        <w:tc>
          <w:tcPr/>
          <w:p>
            <w:pPr>
              <w:pStyle w:val="Compact"/>
              <w:jc w:val="left"/>
            </w:pPr>
            <w:r>
              <w:t xml:space="preserve">E-MTAB-6134</w:t>
            </w:r>
          </w:p>
        </w:tc>
        <w:tc>
          <w:tcPr/>
          <w:p>
            <w:pPr>
              <w:pStyle w:val="Compact"/>
              <w:jc w:val="left"/>
            </w:pPr>
            <w:r>
              <w:t xml:space="preserve">OS, PurIST, DeCAF</w:t>
            </w:r>
          </w:p>
        </w:tc>
        <w:tc>
          <w:tcPr/>
          <w:p>
            <w:pPr>
              <w:pStyle w:val="Compact"/>
              <w:jc w:val="left"/>
            </w:pPr>
            <w:r>
              <w:t xml:space="preserve">Puleo et al. (2018)</w:t>
            </w:r>
          </w:p>
        </w:tc>
      </w:tr>
      <w:tr>
        <w:tc>
          <w:tcPr/>
          <w:p>
            <w:pPr>
              <w:pStyle w:val="Compact"/>
              <w:jc w:val="left"/>
            </w:pPr>
            <w:r>
              <w:t xml:space="preserve">Training total</w:t>
            </w:r>
          </w:p>
        </w:tc>
        <w:tc>
          <w:tcPr/>
          <w:p>
            <w:pPr>
              <w:pStyle w:val="Compact"/>
              <w:jc w:val="left"/>
            </w:pPr>
            <w:r>
              <w:t xml:space="preserve">273</w:t>
            </w:r>
          </w:p>
        </w:tc>
        <w:tc>
          <w:tcPr/>
          <w:p>
            <w:pPr>
              <w:pStyle w:val="Compact"/>
              <w:jc w:val="left"/>
            </w:pPr>
            <w:r>
              <w:t xml:space="preserve">139 (51%)</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Validation platform profiles total</w:t>
            </w:r>
          </w:p>
        </w:tc>
        <w:tc>
          <w:tcPr/>
          <w:p>
            <w:pPr>
              <w:pStyle w:val="Compact"/>
              <w:jc w:val="left"/>
            </w:pPr>
            <w:r>
              <w:t xml:space="preserve">616</w:t>
            </w:r>
          </w:p>
        </w:tc>
        <w:tc>
          <w:tcPr/>
          <w:p>
            <w:pPr>
              <w:pStyle w:val="Compact"/>
              <w:jc w:val="left"/>
            </w:pPr>
            <w:r>
              <w:t xml:space="preserve">414 (67%)</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Combined unique-patient validation set</w:t>
            </w:r>
          </w:p>
        </w:tc>
        <w:tc>
          <w:tcPr/>
          <w:p>
            <w:pPr>
              <w:pStyle w:val="Compact"/>
              <w:jc w:val="left"/>
            </w:pPr>
            <w:r>
              <w:t xml:space="preserve">570</w:t>
            </w:r>
          </w:p>
        </w:tc>
        <w:tc>
          <w:tcPr/>
          <w:p>
            <w:pPr>
              <w:pStyle w:val="Compact"/>
              <w:jc w:val="left"/>
            </w:pPr>
            <w:r>
              <w:t xml:space="preserve">388 (68%)</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iCs/>
          <w:i/>
        </w:rPr>
        <w:t xml:space="preserve">Summary of PDAC cohorts used in this study.</w:t>
      </w:r>
      <w:r>
        <w:rPr>
          <w:iCs/>
          <w:i/>
        </w:rPr>
        <w:t xml:space="preserve"> </w:t>
      </w:r>
      <m:oMath>
        <m:r>
          <m:t>N</m:t>
        </m:r>
      </m:oMath>
      <w:r>
        <w:rPr>
          <w:iCs/>
          <w:i/>
        </w:rPr>
        <w:t xml:space="preserve"> </w:t>
      </w:r>
      <w:r>
        <w:rPr>
          <w:iCs/>
          <w:i/>
        </w:rPr>
        <w:t xml:space="preserve">denotes the number of</w:t>
      </w:r>
      <w:r>
        <w:rPr>
          <w:iCs/>
          <w:i/>
        </w:rPr>
        <w:t xml:space="preserve"> </w:t>
      </w:r>
      <w:r>
        <w:rPr>
          <w:iCs/>
          <w:i/>
        </w:rPr>
        <w:t xml:space="preserve">samples after all quality-control filters (histology, survival validity,</w:t>
      </w:r>
      <w:r>
        <w:rPr>
          <w:iCs/>
          <w:i/>
        </w:rPr>
        <w:t xml:space="preserve"> </w:t>
      </w:r>
      <w:r>
        <w:rPr>
          <w:iCs/>
          <w:i/>
        </w:rPr>
        <w:t xml:space="preserve">dataset-specific exclusions). Patient-level metadata: OS = overall survival</w:t>
      </w:r>
      <w:r>
        <w:rPr>
          <w:iCs/>
          <w:i/>
        </w:rPr>
        <w:t xml:space="preserve"> </w:t>
      </w:r>
      <w:r>
        <w:rPr>
          <w:iCs/>
          <w:i/>
        </w:rPr>
        <w:t xml:space="preserve">(time and event indicator); PurIST = tumor subtype classification</w:t>
      </w:r>
      <w:r>
        <w:rPr>
          <w:iCs/>
          <w:i/>
        </w:rPr>
        <w:t xml:space="preserve"> </w:t>
      </w:r>
      <w:r>
        <w:rPr>
          <w:iCs/>
          <w:i/>
        </w:rPr>
        <w:t xml:space="preserve">(Rashid et al. 2020); DeCAF = CAF subtype classification</w:t>
      </w:r>
      <w:r>
        <w:rPr>
          <w:iCs/>
          <w:i/>
        </w:rPr>
        <w:t xml:space="preserve"> </w:t>
      </w:r>
      <w:r>
        <w:rPr>
          <w:iCs/>
          <w:i/>
        </w:rPr>
        <w:t xml:space="preserve">(Peng et al. 2026). Expression data and molecular classifications</w:t>
      </w:r>
      <w:r>
        <w:rPr>
          <w:iCs/>
          <w:i/>
        </w:rPr>
        <w:t xml:space="preserve"> </w:t>
      </w:r>
      <w:r>
        <w:rPr>
          <w:iCs/>
          <w:i/>
        </w:rPr>
        <w:t xml:space="preserve">for the validation cohorts were originally compiled for the DeCAF study</w:t>
      </w:r>
      <w:r>
        <w:rPr>
          <w:iCs/>
          <w:i/>
        </w:rPr>
        <w:t xml:space="preserve"> </w:t>
      </w:r>
      <w:r>
        <w:rPr>
          <w:iCs/>
          <w:i/>
        </w:rPr>
        <w:t xml:space="preserve">(Peng et al. 2026). Events denotes the number of overall-survival events (deaths) with the corresponding event rate; outcome frequency was lower and more homogeneous in the training cohorts (50–52%) than across the validation cohorts (60–90%, pooled 67%), a case-mix difference relevant to the interpretation of external-validation performance.</w:t>
      </w:r>
    </w:p>
    <w:bookmarkEnd w:id="35"/>
    <w:bookmarkStart w:id="38" w:name="survival-analysis"/>
    <w:p>
      <w:pPr>
        <w:pStyle w:val="Heading1"/>
      </w:pPr>
      <w:r>
        <w:t xml:space="preserve">Survival Analysis</w:t>
      </w:r>
    </w:p>
    <w:p>
      <w:pPr>
        <w:pStyle w:val="FirstParagraph"/>
      </w:pPr>
      <w:r>
        <w:t xml:space="preserve">Survival analyses used overall survival time with event indicators as provided</w:t>
      </w:r>
      <w:r>
        <w:t xml:space="preserve"> </w:t>
      </w:r>
      <w:r>
        <w:t xml:space="preserve">by each cohort. For fitted DeSurv models, sample-level program scores are the</w:t>
      </w:r>
      <w:r>
        <w:t xml:space="preserve"> </w:t>
      </w:r>
      <w:r>
        <w:t xml:space="preserve">raw projections</w:t>
      </w:r>
      <w:r>
        <w:t xml:space="preserve"> </w:t>
      </w:r>
      <m:oMath>
        <m:r>
          <m:t>Z</m:t>
        </m:r>
        <m:r>
          <m:rPr>
            <m:sty m:val="p"/>
          </m:rPr>
          <m:t>=</m:t>
        </m:r>
        <m:sSup>
          <m:e>
            <m:acc>
              <m:accPr>
                <m:chr m:val="̃"/>
              </m:accPr>
              <m:e>
                <m:r>
                  <m:t>W</m:t>
                </m:r>
              </m:e>
            </m:acc>
          </m:e>
          <m:sup>
            <m:r>
              <m:rPr>
                <m:sty m:val="p"/>
              </m:rPr>
              <m:t>⊤</m:t>
            </m:r>
          </m:sup>
        </m:sSup>
        <m:r>
          <m:t>X</m:t>
        </m:r>
      </m:oMath>
      <w:r>
        <w:t xml:space="preserve"> </w:t>
      </w:r>
      <w:r>
        <w:t xml:space="preserve">onto the frozen support, and the</w:t>
      </w:r>
      <w:r>
        <w:t xml:space="preserve"> </w:t>
      </w:r>
      <w:r>
        <w:t xml:space="preserve">linear predictor is</w:t>
      </w:r>
      <w:r>
        <w:t xml:space="preserve"> </w:t>
      </w:r>
      <m:oMath>
        <m:acc>
          <m:accPr>
            <m:chr m:val="̂"/>
          </m:accPr>
          <m:e>
            <m:r>
              <m:t>η</m:t>
            </m:r>
          </m:e>
        </m:acc>
        <m:r>
          <m:rPr>
            <m:sty m:val="p"/>
          </m:rPr>
          <m:t>=</m:t>
        </m:r>
        <m:sSup>
          <m:e>
            <m:r>
              <m:t>Z</m:t>
            </m:r>
          </m:e>
          <m:sup>
            <m:r>
              <m:rPr>
                <m:sty m:val="p"/>
              </m:rPr>
              <m:t>⊤</m:t>
            </m:r>
          </m:sup>
        </m:sSup>
        <m:acc>
          <m:accPr>
            <m:chr m:val="̂"/>
          </m:accPr>
          <m:e>
            <m:r>
              <m:t>β</m:t>
            </m:r>
          </m:e>
        </m:acc>
      </m:oMath>
      <w:r>
        <w:t xml:space="preserve"> </w:t>
      </w:r>
      <w:r>
        <w:t xml:space="preserve">with the trained</w:t>
      </w:r>
      <w:r>
        <w:t xml:space="preserve"> </w:t>
      </w:r>
      <w:r>
        <w:t xml:space="preserve">coefficients; no re-estimation and no standardization enters the score itself.</w:t>
      </w:r>
      <w:r>
        <w:t xml:space="preserve"> </w:t>
      </w:r>
      <w:r>
        <w:t xml:space="preserve">The frozen support is the union of the</w:t>
      </w:r>
      <w:r>
        <w:t xml:space="preserve"> </w:t>
      </w:r>
      <m:oMath>
        <m:r>
          <m:t>k</m:t>
        </m:r>
      </m:oMath>
      <w:r>
        <w:t xml:space="preserve"> </w:t>
      </w:r>
      <w:r>
        <w:t xml:space="preserve">programs’ top-</w:t>
      </w:r>
      <m:oMath>
        <m:sSub>
          <m:e>
            <m:r>
              <m:t>n</m:t>
            </m:r>
          </m:e>
          <m:sub>
            <m:r>
              <m:rPr>
                <m:nor/>
                <m:sty m:val="p"/>
              </m:rPr>
              <m:t>top</m:t>
            </m:r>
          </m:sub>
        </m:sSub>
      </m:oMath>
      <w:r>
        <w:t xml:space="preserve"> </w:t>
      </w:r>
      <w:r>
        <w:t xml:space="preserve">gene</w:t>
      </w:r>
      <w:r>
        <w:t xml:space="preserve"> </w:t>
      </w:r>
      <w:r>
        <w:t xml:space="preserve">sets, and</w:t>
      </w:r>
      <w:r>
        <w:t xml:space="preserve"> </w:t>
      </w:r>
      <m:oMath>
        <m:acc>
          <m:accPr>
            <m:chr m:val="̃"/>
          </m:accPr>
          <m:e>
            <m:r>
              <m:t>W</m:t>
            </m:r>
          </m:e>
        </m:acc>
      </m:oMath>
      <w:r>
        <w:t xml:space="preserve"> </w:t>
      </w:r>
      <w:r>
        <w:t xml:space="preserve">is</w:t>
      </w:r>
      <w:r>
        <w:t xml:space="preserve"> </w:t>
      </w:r>
      <m:oMath>
        <m:acc>
          <m:accPr>
            <m:chr m:val="̂"/>
          </m:accPr>
          <m:e>
            <m:r>
              <m:t>W</m:t>
            </m:r>
          </m:e>
        </m:acc>
      </m:oMath>
      <w:r>
        <w:t xml:space="preserve"> </w:t>
      </w:r>
      <w:r>
        <w:t xml:space="preserve">restricted to those rows, so every column</w:t>
      </w:r>
      <w:r>
        <w:t xml:space="preserve"> </w:t>
      </w:r>
      <w:r>
        <w:t xml:space="preserve">keeps its own weights on the whole union and a gene entering the union through</w:t>
      </w:r>
      <w:r>
        <w:t xml:space="preserve"> </w:t>
      </w:r>
      <w:r>
        <w:t xml:space="preserve">one program still contributes to the other programs’ scores with its own weight.</w:t>
      </w:r>
      <w:r>
        <w:t xml:space="preserve"> </w:t>
      </w:r>
      <w:r>
        <w:t xml:space="preserve">This union construction defines the primary external-validation scores,</w:t>
      </w:r>
      <w:r>
        <w:t xml:space="preserve"> </w:t>
      </w:r>
      <w:r>
        <w:t xml:space="preserve">including the headline pooled hazard ratio, the leave-one-dataset-out estimates,</w:t>
      </w:r>
      <w:r>
        <w:t xml:space="preserve"> </w:t>
      </w:r>
      <w:r>
        <w:t xml:space="preserve">the classifier-adjusted risk-score analyses, the per-factor forest estimates and</w:t>
      </w:r>
      <w:r>
        <w:t xml:space="preserve"> </w:t>
      </w:r>
      <w:r>
        <w:t xml:space="preserve">the cohort-specific estimates of Table [tab:het-ci]. Other analyses use</w:t>
      </w:r>
      <w:r>
        <w:t xml:space="preserve"> </w:t>
      </w:r>
      <w:r>
        <w:t xml:space="preserve">explicitly identified alternative constructions, named where they occur.</w:t>
      </w:r>
      <w:r>
        <w:t xml:space="preserve"> </w:t>
      </w:r>
      <w:r>
        <w:t xml:space="preserve">Full-support scores over all analyzed genes are used for the training-data</w:t>
      </w:r>
      <w:r>
        <w:t xml:space="preserve"> </w:t>
      </w:r>
      <w:r>
        <w:t xml:space="preserve">contribution analysis (Reconstruction and Survival Contribution per Factor) and</w:t>
      </w:r>
      <w:r>
        <w:t xml:space="preserve"> </w:t>
      </w:r>
      <w:r>
        <w:t xml:space="preserve">for the frozen-axis comparator analysis whose subsampling stability is reported</w:t>
      </w:r>
      <w:r>
        <w:t xml:space="preserve"> </w:t>
      </w:r>
      <w:r>
        <w:t xml:space="preserve">in Stability of the recovered gene programs. Per-program masks, each column</w:t>
      </w:r>
      <w:r>
        <w:t xml:space="preserve"> </w:t>
      </w:r>
      <w:r>
        <w:t xml:space="preserve">zeroed outside its own top-</w:t>
      </w:r>
      <m:oMath>
        <m:sSub>
          <m:e>
            <m:r>
              <m:t>n</m:t>
            </m:r>
          </m:e>
          <m:sub>
            <m:r>
              <m:rPr>
                <m:nor/>
                <m:sty m:val="p"/>
              </m:rPr>
              <m:t>top</m:t>
            </m:r>
          </m:sub>
        </m:sSub>
      </m:oMath>
      <w:r>
        <w:t xml:space="preserve"> </w:t>
      </w:r>
      <w:r>
        <w:t xml:space="preserve">set, are used for the tuned</w:t>
      </w:r>
      <w:r>
        <w:t xml:space="preserve"> </w:t>
      </w:r>
      <w:r>
        <w:t xml:space="preserve">supervised-comparator analysis (Robustness to tuned supervised comparators and</w:t>
      </w:r>
      <w:r>
        <w:t xml:space="preserve"> </w:t>
      </w:r>
      <w:r>
        <w:t xml:space="preserve">compartment attribution) and for descriptive checks such as Cohort handling in</w:t>
      </w:r>
      <w:r>
        <w:t xml:space="preserve"> </w:t>
      </w:r>
      <w:r>
        <w:t xml:space="preserve">the training objective below. Both of those supervised-comparator constructions,</w:t>
      </w:r>
      <w:r>
        <w:t xml:space="preserve"> </w:t>
      </w:r>
      <w:r>
        <w:t xml:space="preserve">the one on the full shared support and the one on per-program masks,</w:t>
      </w:r>
      <w:r>
        <w:t xml:space="preserve"> </w:t>
      </w:r>
      <w:r>
        <w:t xml:space="preserve">additionally refit unpenalized Cox coefficients on the training scores rather</w:t>
      </w:r>
      <w:r>
        <w:t xml:space="preserve"> </w:t>
      </w:r>
      <w:r>
        <w:t xml:space="preserve">than carrying</w:t>
      </w:r>
      <w:r>
        <w:t xml:space="preserve"> </w:t>
      </w:r>
      <m:oMath>
        <m:acc>
          <m:accPr>
            <m:chr m:val="̂"/>
          </m:accPr>
          <m:e>
            <m:r>
              <m:t>β</m:t>
            </m:r>
          </m:e>
        </m:acc>
      </m:oMath>
      <w:r>
        <w:t xml:space="preserve"> </w:t>
      </w:r>
      <w:r>
        <w:t xml:space="preserve">forward. Throughout, projection denotes multiplication by this fixed gene-weight matrix; the truncated columns are not renormalized, so the term does not imply an orthogonal geometric projection. The Cox coefficients</w:t>
      </w:r>
      <w:r>
        <w:t xml:space="preserve"> </w:t>
      </w:r>
      <m:oMath>
        <m:acc>
          <m:accPr>
            <m:chr m:val="̂"/>
          </m:accPr>
          <m:e>
            <m:r>
              <m:t>β</m:t>
            </m:r>
          </m:e>
        </m:acc>
      </m:oMath>
      <w:r>
        <w:t xml:space="preserve"> </w:t>
      </w:r>
      <w:r>
        <w:t xml:space="preserve">were estimated during model fitting from the full-support scores</w:t>
      </w:r>
      <w:r>
        <w:t xml:space="preserve"> </w:t>
      </w:r>
      <m:oMath>
        <m:sSup>
          <m:e>
            <m:r>
              <m:t>W</m:t>
            </m:r>
          </m:e>
          <m:sup>
            <m:r>
              <m:rPr>
                <m:sty m:val="p"/>
              </m:rPr>
              <m:t>⊤</m:t>
            </m:r>
          </m:sup>
        </m:sSup>
        <m:r>
          <m:t>X</m:t>
        </m:r>
      </m:oMath>
      <w:r>
        <w:t xml:space="preserve"> </w:t>
      </w:r>
      <w:r>
        <w:t xml:space="preserve">over all analyzed genes; for cross-validation and external scoring they were carried forward unchanged and applied to scores from the truncated basis</w:t>
      </w:r>
      <w:r>
        <w:t xml:space="preserve"> </w:t>
      </w:r>
      <m:oMath>
        <m:acc>
          <m:accPr>
            <m:chr m:val="̃"/>
          </m:accPr>
          <m:e>
            <m:r>
              <m:t>W</m:t>
            </m:r>
          </m:e>
        </m:acc>
      </m:oMath>
      <w:r>
        <w:t xml:space="preserve">, and were not refit after truncation (Algorithm [alg:cv]). The elastic-net penalty set the trained coefficient for D2 to exactly</w:t>
      </w:r>
      <w:r>
        <w:t xml:space="preserve"> </w:t>
      </w:r>
      <w:r>
        <w:t xml:space="preserve">zero, so</w:t>
      </w:r>
      <w:r>
        <w:t xml:space="preserve"> </w:t>
      </w:r>
      <m:oMath>
        <m:acc>
          <m:accPr>
            <m:chr m:val="̂"/>
          </m:accPr>
          <m:e>
            <m:r>
              <m:t>η</m:t>
            </m:r>
          </m:e>
        </m:acc>
      </m:oMath>
      <w:r>
        <w:t xml:space="preserve"> </w:t>
      </w:r>
      <w:r>
        <w:t xml:space="preserve">is a weighted sum of the D1 and D3 scores. Prognostic</w:t>
      </w:r>
      <w:r>
        <w:t xml:space="preserve"> </w:t>
      </w:r>
      <w:r>
        <w:t xml:space="preserve">performance was summarized using the concordance index as defined above</w:t>
      </w:r>
      <w:r>
        <w:t xml:space="preserve"> </w:t>
      </w:r>
      <w:r>
        <w:t xml:space="preserve">(Cross-validation procedure). When multiple datasets were pooled, Cox models were</w:t>
      </w:r>
      <w:r>
        <w:t xml:space="preserve"> </w:t>
      </w:r>
      <w:r>
        <w:t xml:space="preserve">stratified by dataset to allow cohort-specific baseline hazards.</w:t>
      </w:r>
    </w:p>
    <w:p>
      <w:pPr>
        <w:pStyle w:val="BodyText"/>
      </w:pPr>
      <w:r>
        <w:t xml:space="preserve">For a fixed fitted predictor and scoring support, the manuscript uses the</w:t>
      </w:r>
      <w:r>
        <w:t xml:space="preserve"> </w:t>
      </w:r>
      <w:r>
        <w:t xml:space="preserve">following reporting scalings. Every linear predictor built on the union support</w:t>
      </w:r>
      <w:r>
        <w:t xml:space="preserve"> </w:t>
      </w:r>
      <w:r>
        <w:t xml:space="preserve">is the same linear functional of expression up to a positive constant, and the</w:t>
      </w:r>
      <w:r>
        <w:t xml:space="preserve"> </w:t>
      </w:r>
      <w:r>
        <w:t xml:space="preserve">map from scaling to reported quantity is as follows. (i) During cross-validated</w:t>
      </w:r>
      <w:r>
        <w:t xml:space="preserve"> </w:t>
      </w:r>
      <w:r>
        <w:t xml:space="preserve">tuning the collapsed weight vector</w:t>
      </w:r>
      <w:r>
        <w:t xml:space="preserve"> </w:t>
      </w:r>
      <m:oMath>
        <m:acc>
          <m:accPr>
            <m:chr m:val="̃"/>
          </m:accPr>
          <m:e>
            <m:r>
              <m:t>W</m:t>
            </m:r>
          </m:e>
        </m:acc>
        <m:acc>
          <m:accPr>
            <m:chr m:val="̂"/>
          </m:accPr>
          <m:e>
            <m:r>
              <m:t>β</m:t>
            </m:r>
          </m:e>
        </m:acc>
      </m:oMath>
      <w:r>
        <w:t xml:space="preserve"> </w:t>
      </w:r>
      <w:r>
        <w:t xml:space="preserve">is scaled to unit</w:t>
      </w:r>
      <w:r>
        <w:t xml:space="preserve"> </w:t>
      </w:r>
      <m:oMath>
        <m:sSub>
          <m:e>
            <m:r>
              <m:rPr>
                <m:sty m:val="p"/>
              </m:rPr>
              <m:t>ℓ</m:t>
            </m:r>
          </m:e>
          <m:sub>
            <m:r>
              <m:t>2</m:t>
            </m:r>
          </m:sub>
        </m:sSub>
      </m:oMath>
      <w:r>
        <w:t xml:space="preserve"> </w:t>
      </w:r>
      <w:r>
        <w:t xml:space="preserve">norm (main text, Methods); this changes</w:t>
      </w:r>
      <w:r>
        <w:t xml:space="preserve"> </w:t>
      </w:r>
      <m:oMath>
        <m:acc>
          <m:accPr>
            <m:chr m:val="̂"/>
          </m:accPr>
          <m:e>
            <m:r>
              <m:t>η</m:t>
            </m:r>
          </m:e>
        </m:acc>
      </m:oMath>
      <w:r>
        <w:t xml:space="preserve"> </w:t>
      </w:r>
      <w:r>
        <w:t xml:space="preserve">by a positive</w:t>
      </w:r>
      <w:r>
        <w:t xml:space="preserve"> </w:t>
      </w:r>
      <w:r>
        <w:t xml:space="preserve">constant only. (ii) Primary risk-score hazard ratios, namely the headline pooled</w:t>
      </w:r>
      <w:r>
        <w:t xml:space="preserve"> </w:t>
      </w:r>
      <w:r>
        <w:t xml:space="preserve">estimate, the covariate-adjusted estimates of main-text Table</w:t>
      </w:r>
      <w:r>
        <w:t xml:space="preserve"> </w:t>
      </w:r>
      <w:r>
        <w:t xml:space="preserve">[tab:hr-adjusted] and the leave-one-dataset-out estimates, divide</w:t>
      </w:r>
      <w:r>
        <w:t xml:space="preserve"> </w:t>
      </w:r>
      <m:oMath>
        <m:acc>
          <m:accPr>
            <m:chr m:val="̂"/>
          </m:accPr>
          <m:e>
            <m:r>
              <m:t>η</m:t>
            </m:r>
          </m:e>
        </m:acc>
      </m:oMath>
      <w:r>
        <w:t xml:space="preserve"> </w:t>
      </w:r>
      <w:r>
        <w:t xml:space="preserve">by its standard deviation over the pooled, de-duplicated validation</w:t>
      </w:r>
      <w:r>
        <w:t xml:space="preserve"> </w:t>
      </w:r>
      <w:r>
        <w:t xml:space="preserve">set, so they are per pooled standard deviation. (iii) Two further analyses</w:t>
      </w:r>
      <w:r>
        <w:t xml:space="preserve"> </w:t>
      </w:r>
      <w:r>
        <w:t xml:space="preserve">standardize to zero mean and unit standard deviation within groups, and the</w:t>
      </w:r>
      <w:r>
        <w:t xml:space="preserve"> </w:t>
      </w:r>
      <w:r>
        <w:t xml:space="preserve">grouping differs between them. The per-factor forest estimates (main-text</w:t>
      </w:r>
      <w:r>
        <w:t xml:space="preserve"> </w:t>
      </w:r>
      <w:r>
        <w:t xml:space="preserve">Fig. [fig:val]a) and the D1 classifier-adjustment analysis (Variance</w:t>
      </w:r>
      <w:r>
        <w:t xml:space="preserve"> </w:t>
      </w:r>
      <w:r>
        <w:t xml:space="preserve">partition of the D1 score) standardize within each of the five platform</w:t>
      </w:r>
      <w:r>
        <w:t xml:space="preserve"> </w:t>
      </w:r>
      <w:r>
        <w:t xml:space="preserve">datasets, whereas the between-cohort slope analysis, its interaction test and</w:t>
      </w:r>
      <w:r>
        <w:t xml:space="preserve"> </w:t>
      </w:r>
      <w:r>
        <w:t xml:space="preserve">the cohort-specific hazard ratios of Table [tab:het-ci] standardize within</w:t>
      </w:r>
      <w:r>
        <w:t xml:space="preserve"> </w:t>
      </w:r>
      <w:r>
        <w:t xml:space="preserve">each of the four patient cohorts, so these are per within-dataset and per</w:t>
      </w:r>
      <w:r>
        <w:t xml:space="preserve"> </w:t>
      </w:r>
      <w:r>
        <w:t xml:space="preserve">within-cohort standard deviation respectively. Hazard ratios under (ii) and</w:t>
      </w:r>
      <w:r>
        <w:t xml:space="preserve"> </w:t>
      </w:r>
      <w:r>
        <w:t xml:space="preserve">(iii) are not interchangeable. Within a given cohort or dataset, centering and</w:t>
      </w:r>
      <w:r>
        <w:t xml:space="preserve"> </w:t>
      </w:r>
      <w:r>
        <w:t xml:space="preserve">positive rescaling of a fixed score leave its C-index unchanged; this does not</w:t>
      </w:r>
      <w:r>
        <w:t xml:space="preserve"> </w:t>
      </w:r>
      <w:r>
        <w:t xml:space="preserve">equate different predictors and does not preserve pooled rankings across groups</w:t>
      </w:r>
      <w:r>
        <w:t xml:space="preserve"> </w:t>
      </w:r>
      <w:r>
        <w:t xml:space="preserve">standardized differently. Analyses that use a different gene support, listed</w:t>
      </w:r>
      <w:r>
        <w:t xml:space="preserve"> </w:t>
      </w:r>
      <w:r>
        <w:t xml:space="preserve">above, are not scalings of this functional and are reported as separate</w:t>
      </w:r>
      <w:r>
        <w:t xml:space="preserve"> </w:t>
      </w:r>
      <w:r>
        <w:t xml:space="preserve">quantities.</w:t>
      </w:r>
    </w:p>
    <w:p>
      <w:pPr>
        <w:pStyle w:val="BodyText"/>
      </w:pPr>
      <w:r>
        <w:t xml:space="preserve">Two further conventions apply to the primary combined external C-index and its</w:t>
      </w:r>
      <w:r>
        <w:t xml:space="preserve"> </w:t>
      </w:r>
      <w:r>
        <w:t xml:space="preserve">confidence interval. The combined C-index is the event-weighted mean of the</w:t>
      </w:r>
      <w:r>
        <w:t xml:space="preserve"> </w:t>
      </w:r>
      <w:r>
        <w:t xml:space="preserve">four cohort C-indices rather than a concordance</w:t>
      </w:r>
      <w:r>
        <w:t xml:space="preserve"> </w:t>
      </w:r>
      <w:r>
        <w:t xml:space="preserve">computed over pooled patients, so no concordance pair is formed across cohorts.</w:t>
      </w:r>
      <w:r>
        <w:t xml:space="preserve"> </w:t>
      </w:r>
      <w:r>
        <w:t xml:space="preserve">Its confidence interval is a percentile interval from a stratified nonparametric</w:t>
      </w:r>
      <w:r>
        <w:t xml:space="preserve"> </w:t>
      </w:r>
      <w:r>
        <w:t xml:space="preserve">bootstrap that resamples patients with replacement within cohort</w:t>
      </w:r>
      <w:r>
        <w:t xml:space="preserve"> </w:t>
      </w:r>
      <w:r>
        <w:t xml:space="preserve">(</w:t>
      </w:r>
      <m:oMath>
        <m:r>
          <m:t>B</m:t>
        </m:r>
        <m:r>
          <m:rPr>
            <m:sty m:val="p"/>
          </m:rPr>
          <m:t>=</m:t>
        </m:r>
        <m:r>
          <m:t>1</m:t>
        </m:r>
        <m:r>
          <m:rPr>
            <m:sty m:val="p"/>
          </m:rPr>
          <m:t>,</m:t>
        </m:r>
        <m:r>
          <m:t>000</m:t>
        </m:r>
      </m:oMath>
      <w:r>
        <w:t xml:space="preserve"> </w:t>
      </w:r>
      <w:r>
        <w:t xml:space="preserve">replicates, seed</w:t>
      </w:r>
      <w:r>
        <w:t xml:space="preserve"> </w:t>
      </w:r>
      <w:r>
        <w:t xml:space="preserve">1), so resampling preserves cohort membership (Between-cohort</w:t>
      </w:r>
      <w:r>
        <w:t xml:space="preserve"> </w:t>
      </w:r>
      <w:r>
        <w:t xml:space="preserve">heterogeneity and C-index confidence intervals).</w:t>
      </w:r>
    </w:p>
    <w:bookmarkStart w:id="36" w:name="independence-of-discovery-and-validation"/>
    <w:p>
      <w:pPr>
        <w:pStyle w:val="Heading2"/>
      </w:pPr>
      <w:r>
        <w:t xml:space="preserve">Independence of discovery and validation</w:t>
      </w:r>
    </w:p>
    <w:p>
      <w:pPr>
        <w:pStyle w:val="FirstParagraph"/>
      </w:pPr>
      <w:r>
        <w:t xml:space="preserve">DeSurv</w:t>
      </w:r>
      <w:r>
        <w:t xml:space="preserve"> </w:t>
      </w:r>
      <w:r>
        <w:t xml:space="preserve">is trained with survival supervision only; it never uses PurIST, DeCAF, or any molecular</w:t>
      </w:r>
      <w:r>
        <w:t xml:space="preserve"> </w:t>
      </w:r>
      <w:r>
        <w:t xml:space="preserve">subtype label during factorization or hyperparameter selection. The PurIST and DeCAF</w:t>
      </w:r>
      <w:r>
        <w:t xml:space="preserve"> </w:t>
      </w:r>
      <w:r>
        <w:t xml:space="preserve">subtype calls were fixed before the DeSurv analysis (loaded as precomputed per-cohort</w:t>
      </w:r>
      <w:r>
        <w:t xml:space="preserve"> </w:t>
      </w:r>
      <w:r>
        <w:t xml:space="preserve">annotations) and enter only as covariates in the adjusted Cox models, not as inputs to</w:t>
      </w:r>
      <w:r>
        <w:t xml:space="preserve"> </w:t>
      </w:r>
      <w:r>
        <w:t xml:space="preserve">DeSurv. All rank and hyperparameter selection (including the one-standard-error rule) was</w:t>
      </w:r>
      <w:r>
        <w:t xml:space="preserve"> </w:t>
      </w:r>
      <w:r>
        <w:t xml:space="preserve">performed by cross-validation entirely within the TCGA and CPTAC training data;</w:t>
      </w:r>
      <w:r>
        <w:t xml:space="preserve"> </w:t>
      </w:r>
      <w:r>
        <w:t xml:space="preserve">no external validation cohort was used for training or tuning.</w:t>
      </w:r>
      <w:r>
        <w:t xml:space="preserve"> </w:t>
      </w:r>
      <w:r>
        <w:t xml:space="preserve">Validation-cohort expression enters only at scoring, a fixed-basis projection</w:t>
      </w:r>
      <w:r>
        <w:t xml:space="preserve"> </w:t>
      </w:r>
      <w:r>
        <w:t xml:space="preserve">(</w:t>
      </w:r>
      <m:oMath>
        <m:r>
          <m:t>Z</m:t>
        </m:r>
        <m:r>
          <m:rPr>
            <m:sty m:val="p"/>
          </m:rPr>
          <m:t>=</m:t>
        </m:r>
        <m:sSup>
          <m:e>
            <m:acc>
              <m:accPr>
                <m:chr m:val="̃"/>
              </m:accPr>
              <m:e>
                <m:r>
                  <m:t>W</m:t>
                </m:r>
              </m:e>
            </m:acc>
          </m:e>
          <m:sup>
            <m:r>
              <m:rPr>
                <m:sty m:val="p"/>
              </m:rPr>
              <m:t>⊤</m:t>
            </m:r>
          </m:sup>
        </m:sSup>
        <m:sSub>
          <m:e>
            <m:r>
              <m:t>X</m:t>
            </m:r>
          </m:e>
          <m:sub>
            <m:r>
              <m:rPr>
                <m:nor/>
                <m:sty m:val="p"/>
              </m:rPr>
              <m:t>new</m:t>
            </m:r>
          </m:sub>
        </m:sSub>
      </m:oMath>
      <w:r>
        <w:t xml:space="preserve">) that uses no validation outcome, and</w:t>
      </w:r>
      <w:r>
        <w:t xml:space="preserve"> </w:t>
      </w:r>
      <w:r>
        <w:t xml:space="preserve">validation-cohort survival outcomes were used only for the final, out-of-sample</w:t>
      </w:r>
      <w:r>
        <w:t xml:space="preserve"> </w:t>
      </w:r>
      <w:r>
        <w:t xml:space="preserve">performance evaluation.</w:t>
      </w:r>
    </w:p>
    <w:bookmarkEnd w:id="36"/>
    <w:bookmarkStart w:id="37" w:name="X82c96449671d97cce3e2b4bf34fdfb15c1d9204"/>
    <w:p>
      <w:pPr>
        <w:pStyle w:val="Heading2"/>
      </w:pPr>
      <w:r>
        <w:t xml:space="preserve">Cohort handling in the training objective</w:t>
      </w:r>
    </w:p>
    <w:p>
      <w:pPr>
        <w:pStyle w:val="FirstParagraph"/>
      </w:pPr>
      <w:r>
        <w:t xml:space="preserve">The training Cox objective was fit to the pooled TCGA-PAAD and CPTAC samples without a cohort term; cross-validation folds were constructed within cohort with stratification by event status. Because survival shapes</w:t>
      </w:r>
      <w:r>
        <w:t xml:space="preserve"> </w:t>
      </w:r>
      <m:oMath>
        <m:r>
          <m:t>W</m:t>
        </m:r>
      </m:oMath>
      <w:r>
        <w:t xml:space="preserve">, a cohort effect associated with both expression and survival could in principle be rewarded by the survival gradient. As a descriptive check for cohort-driven association, computed from the cached training data and final fit and not a refit, the fitted linear predictor remained strongly associated with survival within TCGA-PAAD and CPTAC separately (in-sample HR per SD 3.50 and 3.72; Table [tab:clinical-adjustment]) and in a model stratified by cohort (HR per SD 3.35, against 3.12 unstratified), while the between-cohort shift in the score was opposite to the between-cohort hazard difference: the predictor averaged 0.73 SD higher in TCGA-PAAD, yet CPTAC had the higher hazard given the predictor (HR 1.90). These in-sample quantities argue against the specific mechanism in which the survival gradient learns cohort membership, but they do not rule out cohort influence on the factorization, which the external validation addresses directly.</w:t>
      </w:r>
    </w:p>
    <w:bookmarkEnd w:id="37"/>
    <w:bookmarkEnd w:id="38"/>
    <w:bookmarkStart w:id="39" w:name="gene-program-correlation-analysis"/>
    <w:p>
      <w:pPr>
        <w:pStyle w:val="Heading1"/>
      </w:pPr>
      <w:r>
        <w:t xml:space="preserve">Gene Program Correlation Analysis</w:t>
      </w:r>
    </w:p>
    <w:p>
      <w:pPr>
        <w:pStyle w:val="FirstParagraph"/>
      </w:pPr>
      <w:r>
        <w:t xml:space="preserve">To assess the biological identity of learned factors, we evaluated the</w:t>
      </w:r>
      <w:r>
        <w:t xml:space="preserve"> </w:t>
      </w:r>
      <w:r>
        <w:t xml:space="preserve">correspondence between factor-specific gene rankings and established PDAC gene</w:t>
      </w:r>
      <w:r>
        <w:t xml:space="preserve"> </w:t>
      </w:r>
      <w:r>
        <w:t xml:space="preserve">programs. Each column</w:t>
      </w:r>
      <w:r>
        <w:t xml:space="preserve"> </w:t>
      </w:r>
      <m:oMath>
        <m:r>
          <m:t>j</m:t>
        </m:r>
      </m:oMath>
      <w:r>
        <w:t xml:space="preserve"> </w:t>
      </w:r>
      <w:r>
        <w:t xml:space="preserve">of the gene program matrix</w:t>
      </w:r>
      <w:r>
        <w:t xml:space="preserve"> </w:t>
      </w:r>
      <m:oMath>
        <m:r>
          <m:t>W</m:t>
        </m:r>
      </m:oMath>
      <w:r>
        <w:t xml:space="preserve"> </w:t>
      </w:r>
      <w:r>
        <w:t xml:space="preserve">was first scaled by its</w:t>
      </w:r>
      <w:r>
        <w:t xml:space="preserve"> </w:t>
      </w:r>
      <w:r>
        <w:t xml:space="preserve">column maximum,</w:t>
      </w:r>
      <w:r>
        <w:t xml:space="preserve"> </w:t>
      </w:r>
      <m:oMath>
        <m:sSubSup>
          <m:e>
            <m:r>
              <m:t>W</m:t>
            </m:r>
          </m:e>
          <m:sub>
            <m:r>
              <m:t>i</m:t>
            </m:r>
            <m:r>
              <m:t>j</m:t>
            </m:r>
          </m:sub>
          <m:sup>
            <m:r>
              <m:rPr>
                <m:sty m:val="p"/>
              </m:rPr>
              <m:t>*</m:t>
            </m:r>
          </m:sup>
        </m:sSubSup>
        <m:r>
          <m:rPr>
            <m:sty m:val="p"/>
          </m:rPr>
          <m:t>=</m:t>
        </m:r>
        <m:sSub>
          <m:e>
            <m:r>
              <m:t>W</m:t>
            </m:r>
          </m:e>
          <m:sub>
            <m:r>
              <m:t>i</m:t>
            </m:r>
            <m:r>
              <m:t>j</m:t>
            </m:r>
          </m:sub>
        </m:sSub>
        <m:r>
          <m:rPr>
            <m:sty m:val="p"/>
          </m:rPr>
          <m:t>/</m:t>
        </m:r>
        <m:sSub>
          <m:e>
            <m:r>
              <m:rPr>
                <m:sty m:val="p"/>
              </m:rPr>
              <m:t>max</m:t>
            </m:r>
          </m:e>
          <m:sub>
            <m:r>
              <m:t>i</m:t>
            </m:r>
          </m:sub>
        </m:sSub>
        <m:sSub>
          <m:e>
            <m:r>
              <m:t>W</m:t>
            </m:r>
          </m:e>
          <m:sub>
            <m:r>
              <m:t>i</m:t>
            </m:r>
            <m:r>
              <m:t>j</m:t>
            </m:r>
          </m:sub>
        </m:sSub>
      </m:oMath>
      <w:r>
        <w:t xml:space="preserve">, placing all factors on a</w:t>
      </w:r>
      <w:r>
        <w:t xml:space="preserve"> </w:t>
      </w:r>
      <w:r>
        <w:t xml:space="preserve">common</w:t>
      </w:r>
      <w:r>
        <w:t xml:space="preserve"> </w:t>
      </w:r>
      <m:oMath>
        <m:d>
          <m:dPr>
            <m:begChr m:val="["/>
            <m:endChr m:val="]"/>
            <m:sepChr m:val=""/>
            <m:grow/>
          </m:dPr>
          <m:e>
            <m:r>
              <m:t>0</m:t>
            </m:r>
            <m:r>
              <m:rPr>
                <m:sty m:val="p"/>
              </m:rPr>
              <m:t>,</m:t>
            </m:r>
            <m:r>
              <m:t>1</m:t>
            </m:r>
          </m:e>
        </m:d>
      </m:oMath>
      <w:r>
        <w:t xml:space="preserve"> </w:t>
      </w:r>
      <w:r>
        <w:t xml:space="preserve">scale, and the specificity score for gene</w:t>
      </w:r>
      <w:r>
        <w:t xml:space="preserve"> </w:t>
      </w:r>
      <m:oMath>
        <m:r>
          <m:t>i</m:t>
        </m:r>
      </m:oMath>
      <w:r>
        <w:t xml:space="preserve"> </w:t>
      </w:r>
      <w:r>
        <w:t xml:space="preserve">in factor</w:t>
      </w:r>
      <w:r>
        <w:t xml:space="preserve"> </w:t>
      </w:r>
      <m:oMath>
        <m:r>
          <m:t>j</m:t>
        </m:r>
      </m:oMath>
      <w:r>
        <w:t xml:space="preserve"> </w:t>
      </w:r>
      <w:r>
        <w:t xml:space="preserve">was</w:t>
      </w:r>
      <w:r>
        <w:t xml:space="preserve"> </w:t>
      </w:r>
      <w:r>
        <w:t xml:space="preserve">defined as</w:t>
      </w:r>
    </w:p>
    <w:p>
      <w:pPr>
        <w:pStyle w:val="BodyText"/>
      </w:pPr>
      <m:oMathPara>
        <m:oMathParaPr>
          <m:jc m:val="center"/>
        </m:oMathParaPr>
        <m:oMath>
          <m:sSub>
            <m:e>
              <m:r>
                <m:t>s</m:t>
              </m:r>
            </m:e>
            <m:sub>
              <m:r>
                <m:t>i</m:t>
              </m:r>
              <m:r>
                <m:t>j</m:t>
              </m:r>
            </m:sub>
          </m:sSub>
          <m:r>
            <m:rPr>
              <m:sty m:val="p"/>
            </m:rPr>
            <m:t>=</m:t>
          </m:r>
          <m:sSubSup>
            <m:e>
              <m:r>
                <m:t>W</m:t>
              </m:r>
            </m:e>
            <m:sub>
              <m:r>
                <m:t>i</m:t>
              </m:r>
              <m:r>
                <m:t>j</m:t>
              </m:r>
            </m:sub>
            <m:sup>
              <m:r>
                <m:rPr>
                  <m:sty m:val="p"/>
                </m:rPr>
                <m:t>*</m:t>
              </m:r>
            </m:sup>
          </m:sSubSup>
          <m:r>
            <m:rPr>
              <m:sty m:val="p"/>
            </m:rPr>
            <m:t>−</m:t>
          </m:r>
          <m:limLow>
            <m:e>
              <m:r>
                <m:rPr>
                  <m:sty m:val="p"/>
                </m:rPr>
                <m:t>max</m:t>
              </m:r>
            </m:e>
            <m:lim>
              <m:r>
                <m:t>j</m:t>
              </m:r>
              <m:r>
                <m:rPr>
                  <m:sty m:val="p"/>
                </m:rPr>
                <m:t>′</m:t>
              </m:r>
              <m:r>
                <m:rPr>
                  <m:sty m:val="p"/>
                </m:rPr>
                <m:t>≠</m:t>
              </m:r>
              <m:r>
                <m:t>j</m:t>
              </m:r>
            </m:lim>
          </m:limLow>
          <m:sSubSup>
            <m:e>
              <m:r>
                <m:t>W</m:t>
              </m:r>
            </m:e>
            <m:sub>
              <m:r>
                <m:t>i</m:t>
              </m:r>
              <m:r>
                <m:t>j</m:t>
              </m:r>
              <m:r>
                <m:rPr>
                  <m:sty m:val="p"/>
                </m:rPr>
                <m:t>′</m:t>
              </m:r>
            </m:sub>
            <m:sup>
              <m:r>
                <m:rPr>
                  <m:sty m:val="p"/>
                </m:rPr>
                <m:t>*</m:t>
              </m:r>
            </m:sup>
          </m:sSubSup>
          <m:r>
            <m:rPr>
              <m:sty m:val="p"/>
            </m:rPr>
            <m:t>.</m:t>
          </m:r>
        </m:oMath>
      </m:oMathPara>
    </w:p>
    <w:p>
      <w:pPr>
        <w:pStyle w:val="FirstParagraph"/>
      </w:pPr>
      <w:r>
        <w:t xml:space="preserve">Genes were ranked in descending order of</w:t>
      </w:r>
      <w:r>
        <w:t xml:space="preserve"> </w:t>
      </w:r>
      <m:oMath>
        <m:sSub>
          <m:e>
            <m:r>
              <m:t>s</m:t>
            </m:r>
          </m:e>
          <m:sub>
            <m:r>
              <m:t>i</m:t>
            </m:r>
            <m:r>
              <m:t>j</m:t>
            </m:r>
          </m:sub>
        </m:sSub>
      </m:oMath>
      <w:r>
        <w:t xml:space="preserve">. This ranking defines both the</w:t>
      </w:r>
      <w:r>
        <w:t xml:space="preserve"> </w:t>
      </w:r>
      <w:r>
        <w:t xml:space="preserve">top-</w:t>
      </w:r>
      <m:oMath>
        <m:sSub>
          <m:e>
            <m:r>
              <m:t>n</m:t>
            </m:r>
          </m:e>
          <m:sub>
            <m:r>
              <m:rPr>
                <m:nor/>
                <m:sty m:val="p"/>
              </m:rPr>
              <m:t>top</m:t>
            </m:r>
          </m:sub>
        </m:sSub>
      </m:oMath>
      <w:r>
        <w:t xml:space="preserve"> </w:t>
      </w:r>
      <w:r>
        <w:t xml:space="preserve">genes used to score samples (Supplementary Data: factor-specific</w:t>
      </w:r>
      <w:r>
        <w:t xml:space="preserve"> </w:t>
      </w:r>
      <w:r>
        <w:t xml:space="preserve">gene lists) and, for the top 50 genes per factor, the loadings used to quantify</w:t>
      </w:r>
      <w:r>
        <w:t xml:space="preserve"> </w:t>
      </w:r>
      <w:r>
        <w:t xml:space="preserve">factor–program correspondence.</w:t>
      </w:r>
    </w:p>
    <w:p>
      <w:pPr>
        <w:pStyle w:val="BodyText"/>
      </w:pPr>
      <w:r>
        <w:t xml:space="preserve">For each factor</w:t>
      </w:r>
      <w:r>
        <w:t xml:space="preserve"> </w:t>
      </w:r>
      <m:oMath>
        <m:r>
          <m:t>j</m:t>
        </m:r>
      </m:oMath>
      <w:r>
        <w:t xml:space="preserve"> </w:t>
      </w:r>
      <w:r>
        <w:t xml:space="preserve">and each reference gene program</w:t>
      </w:r>
      <w:r>
        <w:t xml:space="preserve"> </w:t>
      </w:r>
      <m:oMath>
        <m:sSub>
          <m:e>
            <m:r>
              <m:t>G</m:t>
            </m:r>
          </m:e>
          <m:sub>
            <m:r>
              <m:t>k</m:t>
            </m:r>
          </m:sub>
        </m:sSub>
      </m:oMath>
      <w:r>
        <w:t xml:space="preserve">, we computed the</w:t>
      </w:r>
      <w:r>
        <w:t xml:space="preserve"> </w:t>
      </w:r>
      <w:r>
        <w:t xml:space="preserve">Spearman rank correlation between the continuous factor loadings</w:t>
      </w:r>
      <w:r>
        <w:t xml:space="preserve"> </w:t>
      </w:r>
      <m:oMath>
        <m:sSub>
          <m:e>
            <m:r>
              <m:t>W</m:t>
            </m:r>
          </m:e>
          <m:sub>
            <m:r>
              <m:rPr>
                <m:sty m:val="p"/>
              </m:rPr>
              <m:t>⋅</m:t>
            </m:r>
            <m:r>
              <m:t>j</m:t>
            </m:r>
          </m:sub>
        </m:sSub>
      </m:oMath>
      <w:r>
        <w:t xml:space="preserve"> </w:t>
      </w:r>
      <w:r>
        <w:t xml:space="preserve">(restricted to the union of the per-factor top-50 gene sets intersected with the</w:t>
      </w:r>
      <w:r>
        <w:t xml:space="preserve"> </w:t>
      </w:r>
      <w:r>
        <w:t xml:space="preserve">reference programs) and a binary indicator vector</w:t>
      </w:r>
      <w:r>
        <w:t xml:space="preserve"> </w:t>
      </w:r>
      <m:oMath>
        <m:r>
          <m:rPr>
            <m:sty m:val="b"/>
          </m:rPr>
          <m:t>1</m:t>
        </m:r>
        <m:d>
          <m:dPr>
            <m:begChr m:val="["/>
            <m:endChr m:val="]"/>
            <m:sepChr m:val=""/>
            <m:grow/>
          </m:dPr>
          <m:e>
            <m:r>
              <m:rPr>
                <m:nor/>
                <m:sty m:val="p"/>
              </m:rPr>
              <m:t>gene</m:t>
            </m:r>
            <m:r>
              <m:rPr>
                <m:sty m:val="p"/>
              </m:rPr>
              <m:t>∈</m:t>
            </m:r>
            <m:sSub>
              <m:e>
                <m:r>
                  <m:t>G</m:t>
                </m:r>
              </m:e>
              <m:sub>
                <m:r>
                  <m:t>k</m:t>
                </m:r>
              </m:sub>
            </m:sSub>
          </m:e>
        </m:d>
      </m:oMath>
      <w:r>
        <w:t xml:space="preserve"> </w:t>
      </w:r>
      <w:r>
        <w:t xml:space="preserve">(main-text Fig. 2a,b; Methods).</w:t>
      </w:r>
      <w:r>
        <w:t xml:space="preserve"> </w:t>
      </w:r>
      <m:oMath>
        <m:r>
          <m:t>P</m:t>
        </m:r>
      </m:oMath>
      <w:r>
        <w:t xml:space="preserve"> </w:t>
      </w:r>
      <w:r>
        <w:t xml:space="preserve">values were derived from the asymptotic</w:t>
      </w:r>
      <w:r>
        <w:t xml:space="preserve"> </w:t>
      </w:r>
      <w:r>
        <w:t xml:space="preserve">Spearman test and adjusted for multiple comparisons using the Benjamini–Hochberg</w:t>
      </w:r>
      <w:r>
        <w:t xml:space="preserve"> </w:t>
      </w:r>
      <w:r>
        <w:t xml:space="preserve">procedure within each factor column independently; as in the main text, these</w:t>
      </w:r>
      <w:r>
        <w:t xml:space="preserve"> </w:t>
      </w:r>
      <w:r>
        <w:t xml:space="preserve">adjusted</w:t>
      </w:r>
      <w:r>
        <w:t xml:space="preserve"> </w:t>
      </w:r>
      <m:oMath>
        <m:r>
          <m:t>P</m:t>
        </m:r>
      </m:oMath>
      <w:r>
        <w:t xml:space="preserve"> </w:t>
      </w:r>
      <w:r>
        <w:t xml:space="preserve">values are displayed as descriptive marks, because the gene</w:t>
      </w:r>
      <w:r>
        <w:t xml:space="preserve"> </w:t>
      </w:r>
      <w:r>
        <w:t xml:space="preserve">universe is itself selected by loading. Reference programs were</w:t>
      </w:r>
      <w:r>
        <w:t xml:space="preserve"> </w:t>
      </w:r>
      <w:r>
        <w:t xml:space="preserve">included in the visualization only if at least one factor yielded a Spearman</w:t>
      </w:r>
      <w:r>
        <w:t xml:space="preserve"> </w:t>
      </w:r>
      <w:r>
        <w:t xml:space="preserve">correlation exceeding</w:t>
      </w:r>
      <w:r>
        <w:t xml:space="preserve"> </w:t>
      </w:r>
      <m:oMath>
        <m:r>
          <m:t>0.2</m:t>
        </m:r>
      </m:oMath>
      <w:r>
        <w:t xml:space="preserve">.</w:t>
      </w:r>
    </w:p>
    <w:p>
      <w:pPr>
        <w:pStyle w:val="BodyText"/>
      </w:pPr>
      <w:r>
        <w:t xml:space="preserve">The reference universe comprises 45 published PDAC gene programs (Table</w:t>
      </w:r>
      <w:r>
        <w:t xml:space="preserve"> </w:t>
      </w:r>
      <w:r>
        <w:t xml:space="preserve">[tab:ref-universe]): the PurIST basal-like and classical tumor signatures</w:t>
      </w:r>
      <w:hyperlink w:anchor="ref-rashid2020purity">
        <w:r>
          <w:rPr>
            <w:rStyle w:val="Hyperlink"/>
            <w:vertAlign w:val="superscript"/>
          </w:rPr>
          <w:t xml:space="preserve">19</w:t>
        </w:r>
      </w:hyperlink>
      <w:r>
        <w:t xml:space="preserve">; the DECODER compartment signatures</w:t>
      </w:r>
      <w:hyperlink w:anchor="ref-peng2019novo">
        <w:r>
          <w:rPr>
            <w:rStyle w:val="Hyperlink"/>
            <w:vertAlign w:val="superscript"/>
          </w:rPr>
          <w:t xml:space="preserve">21</w:t>
        </w:r>
      </w:hyperlink>
      <w:r>
        <w:t xml:space="preserve">; the</w:t>
      </w:r>
      <w:r>
        <w:t xml:space="preserve"> </w:t>
      </w:r>
      <w:r>
        <w:t xml:space="preserve">Moffitt tumor, stroma and immune programs</w:t>
      </w:r>
      <w:hyperlink w:anchor="ref-moffitt2015virtual">
        <w:r>
          <w:rPr>
            <w:rStyle w:val="Hyperlink"/>
            <w:vertAlign w:val="superscript"/>
          </w:rPr>
          <w:t xml:space="preserve">16</w:t>
        </w:r>
      </w:hyperlink>
      <w:r>
        <w:t xml:space="preserve">; the Collisson</w:t>
      </w:r>
      <w:r>
        <w:t xml:space="preserve"> </w:t>
      </w:r>
      <w:r>
        <w:t xml:space="preserve">subtypes</w:t>
      </w:r>
      <w:hyperlink w:anchor="ref-collisson2011subtypes">
        <w:r>
          <w:rPr>
            <w:rStyle w:val="Hyperlink"/>
            <w:vertAlign w:val="superscript"/>
          </w:rPr>
          <w:t xml:space="preserve">22</w:t>
        </w:r>
      </w:hyperlink>
      <w:r>
        <w:t xml:space="preserve">; the Bailey subtypes, including ADEX</w:t>
      </w:r>
      <w:r>
        <w:t xml:space="preserve"> </w:t>
      </w:r>
      <w:r>
        <w:t xml:space="preserve">(aberrantly differentiated endocrine exocrine)</w:t>
      </w:r>
      <w:hyperlink w:anchor="ref-Bailey2016">
        <w:r>
          <w:rPr>
            <w:rStyle w:val="Hyperlink"/>
            <w:vertAlign w:val="superscript"/>
          </w:rPr>
          <w:t xml:space="preserve">17</w:t>
        </w:r>
      </w:hyperlink>
      <w:r>
        <w:t xml:space="preserve">; the Chan-Seng-Yue</w:t>
      </w:r>
      <w:r>
        <w:t xml:space="preserve"> </w:t>
      </w:r>
      <w:r>
        <w:t xml:space="preserve">subtypes</w:t>
      </w:r>
      <w:hyperlink w:anchor="ref-chansengyue2020transcription">
        <w:r>
          <w:rPr>
            <w:rStyle w:val="Hyperlink"/>
            <w:vertAlign w:val="superscript"/>
          </w:rPr>
          <w:t xml:space="preserve">23</w:t>
        </w:r>
      </w:hyperlink>
      <w:r>
        <w:t xml:space="preserve">; the Maurer ECM and immune programs</w:t>
      </w:r>
      <w:hyperlink w:anchor="ref-Maurer2019">
        <w:r>
          <w:rPr>
            <w:rStyle w:val="Hyperlink"/>
            <w:vertAlign w:val="superscript"/>
          </w:rPr>
          <w:t xml:space="preserve">24</w:t>
        </w:r>
      </w:hyperlink>
      <w:r>
        <w:t xml:space="preserve">; the five Puleo whole-tumor components together with Puleo’s two</w:t>
      </w:r>
      <w:r>
        <w:t xml:space="preserve"> </w:t>
      </w:r>
      <w:r>
        <w:t xml:space="preserve">tumor-compartment signatures</w:t>
      </w:r>
      <w:hyperlink w:anchor="ref-puleo2018stratification">
        <w:r>
          <w:rPr>
            <w:rStyle w:val="Hyperlink"/>
            <w:vertAlign w:val="superscript"/>
          </w:rPr>
          <w:t xml:space="preserve">18</w:t>
        </w:r>
      </w:hyperlink>
      <w:r>
        <w:t xml:space="preserve">; the Elyada iCAF and</w:t>
      </w:r>
      <w:r>
        <w:t xml:space="preserve"> </w:t>
      </w:r>
      <w:r>
        <w:t xml:space="preserve">myCAF signatures</w:t>
      </w:r>
      <w:hyperlink w:anchor="ref-elyada2019cross">
        <w:r>
          <w:rPr>
            <w:rStyle w:val="Hyperlink"/>
            <w:vertAlign w:val="superscript"/>
          </w:rPr>
          <w:t xml:space="preserve">25</w:t>
        </w:r>
      </w:hyperlink>
      <w:r>
        <w:t xml:space="preserve">; the SCISSORS fibroblast and tumor</w:t>
      </w:r>
      <w:r>
        <w:t xml:space="preserve"> </w:t>
      </w:r>
      <w:r>
        <w:t xml:space="preserve">signatures</w:t>
      </w:r>
      <w:hyperlink w:anchor="ref-leary2023s">
        <w:r>
          <w:rPr>
            <w:rStyle w:val="Hyperlink"/>
            <w:vertAlign w:val="superscript"/>
          </w:rPr>
          <w:t xml:space="preserve">26</w:t>
        </w:r>
      </w:hyperlink>
      <w:r>
        <w:t xml:space="preserve">; and the DeCAF proCAF and restCAF programs</w:t>
      </w:r>
      <w:hyperlink w:anchor="ref-peng2024determination">
        <w:r>
          <w:rPr>
            <w:rStyle w:val="Hyperlink"/>
            <w:vertAlign w:val="superscript"/>
          </w:rPr>
          <w:t xml:space="preserve">20</w:t>
        </w:r>
      </w:hyperlink>
      <w:r>
        <w:t xml:space="preserve">. Nine source entries were excluded before analysis: six that duplicate a</w:t>
      </w:r>
      <w:r>
        <w:t xml:space="preserve"> </w:t>
      </w:r>
      <w:r>
        <w:t xml:space="preserve">retained list gene for gene (a second copy of the Moffitt activated and normal</w:t>
      </w:r>
      <w:r>
        <w:t xml:space="preserve"> </w:t>
      </w:r>
      <w:r>
        <w:t xml:space="preserve">stroma lists, the SCISSORS CAF-versus-perivascular variants of its apCAF, iCAF</w:t>
      </w:r>
      <w:r>
        <w:t xml:space="preserve"> </w:t>
      </w:r>
      <w:r>
        <w:t xml:space="preserve">and myCAF lists, and a second copy of its perivascular list), the two nine-gene</w:t>
      </w:r>
      <w:r>
        <w:t xml:space="preserve"> </w:t>
      </w:r>
      <w:r>
        <w:t xml:space="preserve">PurISS iCAF and myCAF lists, and Bailey’s non-unique gene set. The SCISSORS iCAF</w:t>
      </w:r>
      <w:r>
        <w:t xml:space="preserve"> </w:t>
      </w:r>
      <w:r>
        <w:t xml:space="preserve">and myCAF signatures are displayed under the DeCAF nomenclature, restCAF and</w:t>
      </w:r>
      <w:r>
        <w:t xml:space="preserve"> </w:t>
      </w:r>
      <w:r>
        <w:t xml:space="preserve">proCAF (Stromal resolution: which reference programs are recovered from bulk).</w:t>
      </w:r>
      <w:r>
        <w:t xml:space="preserve"> </w:t>
      </w:r>
      <w:r>
        <w:t xml:space="preserve">Puleo’s whole-tumor pure basal-like component and its tumor-compartment</w:t>
      </w:r>
      <w:r>
        <w:t xml:space="preserve"> </w:t>
      </w:r>
      <w:r>
        <w:t xml:space="preserve">basal-like signature are distinct programs and are labeled as such in every</w:t>
      </w:r>
      <w:r>
        <w:t xml:space="preserve"> </w:t>
      </w:r>
      <w:r>
        <w:t xml:space="preserve">figure. Many programs place only a minority of their genes inside the 1,970-gene</w:t>
      </w:r>
      <w:r>
        <w:t xml:space="preserve"> </w:t>
      </w:r>
      <w:r>
        <w:t xml:space="preserve">analysis set; the correlation for a program is computed over the genes it shares</w:t>
      </w:r>
      <w:r>
        <w:t xml:space="preserve"> </w:t>
      </w:r>
      <w:r>
        <w:t xml:space="preserve">with that set, and a program with no such genes cannot be represented.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Displayed alias</w:t>
            </w:r>
          </w:p>
        </w:tc>
        <w:tc>
          <w:tcPr/>
          <w:p>
            <w:pPr>
              <w:pStyle w:val="Compact"/>
              <w:jc w:val="left"/>
            </w:pPr>
            <w:r>
              <w:t xml:space="preserve">Source</w:t>
            </w:r>
          </w:p>
        </w:tc>
        <w:tc>
          <w:tcPr/>
          <w:p>
            <w:pPr>
              <w:pStyle w:val="Compact"/>
              <w:jc w:val="left"/>
            </w:pPr>
            <w:r>
              <w:t xml:space="preserve">Genes</w:t>
            </w:r>
          </w:p>
        </w:tc>
        <w:tc>
          <w:tcPr/>
          <w:p>
            <w:pPr>
              <w:pStyle w:val="Compact"/>
              <w:jc w:val="left"/>
            </w:pPr>
            <w:r>
              <w:t xml:space="preserve">In analysis set</w:t>
            </w:r>
          </w:p>
        </w:tc>
      </w:tr>
      <w:tr>
        <w:tc>
          <w:tcPr/>
          <w:p>
            <w:pPr>
              <w:pStyle w:val="Compact"/>
              <w:jc w:val="left"/>
            </w:pPr>
            <w:r>
              <w:t xml:space="preserve">PurIST: Basal Like</w:t>
            </w:r>
          </w:p>
        </w:tc>
        <w:tc>
          <w:tcPr/>
          <w:p>
            <w:pPr>
              <w:pStyle w:val="Compact"/>
              <w:jc w:val="left"/>
            </w:pPr>
            <w:r>
              <w:t xml:space="preserve">Rashid et al. 2020</w:t>
            </w:r>
          </w:p>
        </w:tc>
        <w:tc>
          <w:tcPr/>
          <w:p>
            <w:pPr>
              <w:pStyle w:val="Compact"/>
              <w:jc w:val="left"/>
            </w:pPr>
            <w:r>
              <w:t xml:space="preserve">8</w:t>
            </w:r>
          </w:p>
        </w:tc>
        <w:tc>
          <w:tcPr/>
          <w:p>
            <w:pPr>
              <w:pStyle w:val="Compact"/>
              <w:jc w:val="left"/>
            </w:pPr>
            <w:r>
              <w:t xml:space="preserve">7</w:t>
            </w:r>
          </w:p>
        </w:tc>
      </w:tr>
      <w:tr>
        <w:tc>
          <w:tcPr/>
          <w:p>
            <w:pPr>
              <w:pStyle w:val="Compact"/>
              <w:jc w:val="left"/>
            </w:pPr>
            <w:r>
              <w:t xml:space="preserve">PurIST: Classical</w:t>
            </w:r>
          </w:p>
        </w:tc>
        <w:tc>
          <w:tcPr/>
          <w:p>
            <w:pPr>
              <w:pStyle w:val="Compact"/>
              <w:jc w:val="left"/>
            </w:pPr>
            <w:r>
              <w:t xml:space="preserve">Rashid et al. 2020</w:t>
            </w:r>
          </w:p>
        </w:tc>
        <w:tc>
          <w:tcPr/>
          <w:p>
            <w:pPr>
              <w:pStyle w:val="Compact"/>
              <w:jc w:val="left"/>
            </w:pPr>
            <w:r>
              <w:t xml:space="preserve">8</w:t>
            </w:r>
          </w:p>
        </w:tc>
        <w:tc>
          <w:tcPr/>
          <w:p>
            <w:pPr>
              <w:pStyle w:val="Compact"/>
              <w:jc w:val="left"/>
            </w:pPr>
            <w:r>
              <w:t xml:space="preserve">8</w:t>
            </w:r>
          </w:p>
        </w:tc>
      </w:tr>
      <w:tr>
        <w:tc>
          <w:tcPr/>
          <w:p>
            <w:pPr>
              <w:pStyle w:val="Compact"/>
              <w:jc w:val="left"/>
            </w:pPr>
            <w:r>
              <w:t xml:space="preserve">DECODER: Basal-like tumor</w:t>
            </w:r>
          </w:p>
        </w:tc>
        <w:tc>
          <w:tcPr/>
          <w:p>
            <w:pPr>
              <w:pStyle w:val="Compact"/>
              <w:jc w:val="left"/>
            </w:pPr>
            <w:r>
              <w:t xml:space="preserve">Peng et al. 2019</w:t>
            </w:r>
          </w:p>
        </w:tc>
        <w:tc>
          <w:tcPr/>
          <w:p>
            <w:pPr>
              <w:pStyle w:val="Compact"/>
              <w:jc w:val="left"/>
            </w:pPr>
            <w:r>
              <w:t xml:space="preserve">394</w:t>
            </w:r>
          </w:p>
        </w:tc>
        <w:tc>
          <w:tcPr/>
          <w:p>
            <w:pPr>
              <w:pStyle w:val="Compact"/>
              <w:jc w:val="left"/>
            </w:pPr>
            <w:r>
              <w:t xml:space="preserve">139</w:t>
            </w:r>
          </w:p>
        </w:tc>
      </w:tr>
      <w:tr>
        <w:tc>
          <w:tcPr/>
          <w:p>
            <w:pPr>
              <w:pStyle w:val="Compact"/>
              <w:jc w:val="left"/>
            </w:pPr>
            <w:r>
              <w:t xml:space="preserve">DECODER: Classical tumor</w:t>
            </w:r>
          </w:p>
        </w:tc>
        <w:tc>
          <w:tcPr/>
          <w:p>
            <w:pPr>
              <w:pStyle w:val="Compact"/>
              <w:jc w:val="left"/>
            </w:pPr>
            <w:r>
              <w:t xml:space="preserve">Peng et al. 2019</w:t>
            </w:r>
          </w:p>
        </w:tc>
        <w:tc>
          <w:tcPr/>
          <w:p>
            <w:pPr>
              <w:pStyle w:val="Compact"/>
              <w:jc w:val="left"/>
            </w:pPr>
            <w:r>
              <w:t xml:space="preserve">372</w:t>
            </w:r>
          </w:p>
        </w:tc>
        <w:tc>
          <w:tcPr/>
          <w:p>
            <w:pPr>
              <w:pStyle w:val="Compact"/>
              <w:jc w:val="left"/>
            </w:pPr>
            <w:r>
              <w:t xml:space="preserve">166</w:t>
            </w:r>
          </w:p>
        </w:tc>
      </w:tr>
      <w:tr>
        <w:tc>
          <w:tcPr/>
          <w:p>
            <w:pPr>
              <w:pStyle w:val="Compact"/>
              <w:jc w:val="left"/>
            </w:pPr>
            <w:r>
              <w:t xml:space="preserve">DECODER: Activated Stroma</w:t>
            </w:r>
          </w:p>
        </w:tc>
        <w:tc>
          <w:tcPr/>
          <w:p>
            <w:pPr>
              <w:pStyle w:val="Compact"/>
              <w:jc w:val="left"/>
            </w:pPr>
            <w:r>
              <w:t xml:space="preserve">Peng et al. 2019</w:t>
            </w:r>
          </w:p>
        </w:tc>
        <w:tc>
          <w:tcPr/>
          <w:p>
            <w:pPr>
              <w:pStyle w:val="Compact"/>
              <w:jc w:val="left"/>
            </w:pPr>
            <w:r>
              <w:t xml:space="preserve">206</w:t>
            </w:r>
          </w:p>
        </w:tc>
        <w:tc>
          <w:tcPr/>
          <w:p>
            <w:pPr>
              <w:pStyle w:val="Compact"/>
              <w:jc w:val="left"/>
            </w:pPr>
            <w:r>
              <w:t xml:space="preserve">108</w:t>
            </w:r>
          </w:p>
        </w:tc>
      </w:tr>
      <w:tr>
        <w:tc>
          <w:tcPr/>
          <w:p>
            <w:pPr>
              <w:pStyle w:val="Compact"/>
              <w:jc w:val="left"/>
            </w:pPr>
            <w:r>
              <w:t xml:space="preserve">DECODER: Normal Stroma</w:t>
            </w:r>
          </w:p>
        </w:tc>
        <w:tc>
          <w:tcPr/>
          <w:p>
            <w:pPr>
              <w:pStyle w:val="Compact"/>
              <w:jc w:val="left"/>
            </w:pPr>
            <w:r>
              <w:t xml:space="preserve">Peng et al. 2019</w:t>
            </w:r>
          </w:p>
        </w:tc>
        <w:tc>
          <w:tcPr/>
          <w:p>
            <w:pPr>
              <w:pStyle w:val="Compact"/>
              <w:jc w:val="left"/>
            </w:pPr>
            <w:r>
              <w:t xml:space="preserve">97</w:t>
            </w:r>
          </w:p>
        </w:tc>
        <w:tc>
          <w:tcPr/>
          <w:p>
            <w:pPr>
              <w:pStyle w:val="Compact"/>
              <w:jc w:val="left"/>
            </w:pPr>
            <w:r>
              <w:t xml:space="preserve">15</w:t>
            </w:r>
          </w:p>
        </w:tc>
      </w:tr>
      <w:tr>
        <w:tc>
          <w:tcPr/>
          <w:p>
            <w:pPr>
              <w:pStyle w:val="Compact"/>
              <w:jc w:val="left"/>
            </w:pPr>
            <w:r>
              <w:t xml:space="preserve">DECODER: Immune</w:t>
            </w:r>
          </w:p>
        </w:tc>
        <w:tc>
          <w:tcPr/>
          <w:p>
            <w:pPr>
              <w:pStyle w:val="Compact"/>
              <w:jc w:val="left"/>
            </w:pPr>
            <w:r>
              <w:t xml:space="preserve">Peng et al. 2019</w:t>
            </w:r>
          </w:p>
        </w:tc>
        <w:tc>
          <w:tcPr/>
          <w:p>
            <w:pPr>
              <w:pStyle w:val="Compact"/>
              <w:jc w:val="left"/>
            </w:pPr>
            <w:r>
              <w:t xml:space="preserve">408</w:t>
            </w:r>
          </w:p>
        </w:tc>
        <w:tc>
          <w:tcPr/>
          <w:p>
            <w:pPr>
              <w:pStyle w:val="Compact"/>
              <w:jc w:val="left"/>
            </w:pPr>
            <w:r>
              <w:t xml:space="preserve">60</w:t>
            </w:r>
          </w:p>
        </w:tc>
      </w:tr>
      <w:tr>
        <w:tc>
          <w:tcPr/>
          <w:p>
            <w:pPr>
              <w:pStyle w:val="Compact"/>
              <w:jc w:val="left"/>
            </w:pPr>
            <w:r>
              <w:t xml:space="preserve">DECODER: Exocrine</w:t>
            </w:r>
          </w:p>
        </w:tc>
        <w:tc>
          <w:tcPr/>
          <w:p>
            <w:pPr>
              <w:pStyle w:val="Compact"/>
              <w:jc w:val="left"/>
            </w:pPr>
            <w:r>
              <w:t xml:space="preserve">Peng et al. 2019</w:t>
            </w:r>
          </w:p>
        </w:tc>
        <w:tc>
          <w:tcPr/>
          <w:p>
            <w:pPr>
              <w:pStyle w:val="Compact"/>
              <w:jc w:val="left"/>
            </w:pPr>
            <w:r>
              <w:t xml:space="preserve">113</w:t>
            </w:r>
          </w:p>
        </w:tc>
        <w:tc>
          <w:tcPr/>
          <w:p>
            <w:pPr>
              <w:pStyle w:val="Compact"/>
              <w:jc w:val="left"/>
            </w:pPr>
            <w:r>
              <w:t xml:space="preserve">44</w:t>
            </w:r>
          </w:p>
        </w:tc>
      </w:tr>
      <w:tr>
        <w:tc>
          <w:tcPr/>
          <w:p>
            <w:pPr>
              <w:pStyle w:val="Compact"/>
              <w:jc w:val="left"/>
            </w:pPr>
            <w:r>
              <w:t xml:space="preserve">DECODER: Endocrine</w:t>
            </w:r>
          </w:p>
        </w:tc>
        <w:tc>
          <w:tcPr/>
          <w:p>
            <w:pPr>
              <w:pStyle w:val="Compact"/>
              <w:jc w:val="left"/>
            </w:pPr>
            <w:r>
              <w:t xml:space="preserve">Peng et al. 2019</w:t>
            </w:r>
          </w:p>
        </w:tc>
        <w:tc>
          <w:tcPr/>
          <w:p>
            <w:pPr>
              <w:pStyle w:val="Compact"/>
              <w:jc w:val="left"/>
            </w:pPr>
            <w:r>
              <w:t xml:space="preserve">380</w:t>
            </w:r>
          </w:p>
        </w:tc>
        <w:tc>
          <w:tcPr/>
          <w:p>
            <w:pPr>
              <w:pStyle w:val="Compact"/>
              <w:jc w:val="left"/>
            </w:pPr>
            <w:r>
              <w:t xml:space="preserve">61</w:t>
            </w:r>
          </w:p>
        </w:tc>
      </w:tr>
      <w:tr>
        <w:tc>
          <w:tcPr/>
          <w:p>
            <w:pPr>
              <w:pStyle w:val="Compact"/>
              <w:jc w:val="left"/>
            </w:pPr>
            <w:r>
              <w:t xml:space="preserve">Moffitt: Basal-like</w:t>
            </w:r>
          </w:p>
        </w:tc>
        <w:tc>
          <w:tcPr/>
          <w:p>
            <w:pPr>
              <w:pStyle w:val="Compact"/>
              <w:jc w:val="left"/>
            </w:pPr>
            <w:r>
              <w:t xml:space="preserve">Moffitt et al. 2015</w:t>
            </w:r>
          </w:p>
        </w:tc>
        <w:tc>
          <w:tcPr/>
          <w:p>
            <w:pPr>
              <w:pStyle w:val="Compact"/>
              <w:jc w:val="left"/>
            </w:pPr>
            <w:r>
              <w:t xml:space="preserve">25</w:t>
            </w:r>
          </w:p>
        </w:tc>
        <w:tc>
          <w:tcPr/>
          <w:p>
            <w:pPr>
              <w:pStyle w:val="Compact"/>
              <w:jc w:val="left"/>
            </w:pPr>
            <w:r>
              <w:t xml:space="preserve">20</w:t>
            </w:r>
          </w:p>
        </w:tc>
      </w:tr>
      <w:tr>
        <w:tc>
          <w:tcPr/>
          <w:p>
            <w:pPr>
              <w:pStyle w:val="Compact"/>
              <w:jc w:val="left"/>
            </w:pPr>
            <w:r>
              <w:t xml:space="preserve">Moffitt: Classical</w:t>
            </w:r>
          </w:p>
        </w:tc>
        <w:tc>
          <w:tcPr/>
          <w:p>
            <w:pPr>
              <w:pStyle w:val="Compact"/>
              <w:jc w:val="left"/>
            </w:pPr>
            <w:r>
              <w:t xml:space="preserve">Moffitt et al. 2015</w:t>
            </w:r>
          </w:p>
        </w:tc>
        <w:tc>
          <w:tcPr/>
          <w:p>
            <w:pPr>
              <w:pStyle w:val="Compact"/>
              <w:jc w:val="left"/>
            </w:pPr>
            <w:r>
              <w:t xml:space="preserve">25</w:t>
            </w:r>
          </w:p>
        </w:tc>
        <w:tc>
          <w:tcPr/>
          <w:p>
            <w:pPr>
              <w:pStyle w:val="Compact"/>
              <w:jc w:val="left"/>
            </w:pPr>
            <w:r>
              <w:t xml:space="preserve">21</w:t>
            </w:r>
          </w:p>
        </w:tc>
      </w:tr>
      <w:tr>
        <w:tc>
          <w:tcPr/>
          <w:p>
            <w:pPr>
              <w:pStyle w:val="Compact"/>
              <w:jc w:val="left"/>
            </w:pPr>
            <w:r>
              <w:t xml:space="preserve">Moffitt: Activated</w:t>
            </w:r>
          </w:p>
        </w:tc>
        <w:tc>
          <w:tcPr/>
          <w:p>
            <w:pPr>
              <w:pStyle w:val="Compact"/>
              <w:jc w:val="left"/>
            </w:pPr>
            <w:r>
              <w:t xml:space="preserve">Moffitt et al. 2015</w:t>
            </w:r>
          </w:p>
        </w:tc>
        <w:tc>
          <w:tcPr/>
          <w:p>
            <w:pPr>
              <w:pStyle w:val="Compact"/>
              <w:jc w:val="left"/>
            </w:pPr>
            <w:r>
              <w:t xml:space="preserve">25</w:t>
            </w:r>
          </w:p>
        </w:tc>
        <w:tc>
          <w:tcPr/>
          <w:p>
            <w:pPr>
              <w:pStyle w:val="Compact"/>
              <w:jc w:val="left"/>
            </w:pPr>
            <w:r>
              <w:t xml:space="preserve">24</w:t>
            </w:r>
          </w:p>
        </w:tc>
      </w:tr>
      <w:tr>
        <w:tc>
          <w:tcPr/>
          <w:p>
            <w:pPr>
              <w:pStyle w:val="Compact"/>
              <w:jc w:val="left"/>
            </w:pPr>
            <w:r>
              <w:t xml:space="preserve">Moffitt: Normal</w:t>
            </w:r>
          </w:p>
        </w:tc>
        <w:tc>
          <w:tcPr/>
          <w:p>
            <w:pPr>
              <w:pStyle w:val="Compact"/>
              <w:jc w:val="left"/>
            </w:pPr>
            <w:r>
              <w:t xml:space="preserve">Moffitt et al. 2015</w:t>
            </w:r>
          </w:p>
        </w:tc>
        <w:tc>
          <w:tcPr/>
          <w:p>
            <w:pPr>
              <w:pStyle w:val="Compact"/>
              <w:jc w:val="left"/>
            </w:pPr>
            <w:r>
              <w:t xml:space="preserve">25</w:t>
            </w:r>
          </w:p>
        </w:tc>
        <w:tc>
          <w:tcPr/>
          <w:p>
            <w:pPr>
              <w:pStyle w:val="Compact"/>
              <w:jc w:val="left"/>
            </w:pPr>
            <w:r>
              <w:t xml:space="preserve">11</w:t>
            </w:r>
          </w:p>
        </w:tc>
      </w:tr>
      <w:tr>
        <w:tc>
          <w:tcPr/>
          <w:p>
            <w:pPr>
              <w:pStyle w:val="Compact"/>
              <w:jc w:val="left"/>
            </w:pPr>
            <w:r>
              <w:t xml:space="preserve">Moffitt: Immune</w:t>
            </w:r>
          </w:p>
        </w:tc>
        <w:tc>
          <w:tcPr/>
          <w:p>
            <w:pPr>
              <w:pStyle w:val="Compact"/>
              <w:jc w:val="left"/>
            </w:pPr>
            <w:r>
              <w:t xml:space="preserve">Moffitt et al. 2015</w:t>
            </w:r>
          </w:p>
        </w:tc>
        <w:tc>
          <w:tcPr/>
          <w:p>
            <w:pPr>
              <w:pStyle w:val="Compact"/>
              <w:jc w:val="left"/>
            </w:pPr>
            <w:r>
              <w:t xml:space="preserve">25</w:t>
            </w:r>
          </w:p>
        </w:tc>
        <w:tc>
          <w:tcPr/>
          <w:p>
            <w:pPr>
              <w:pStyle w:val="Compact"/>
              <w:jc w:val="left"/>
            </w:pPr>
            <w:r>
              <w:t xml:space="preserve">5</w:t>
            </w:r>
          </w:p>
        </w:tc>
      </w:tr>
      <w:tr>
        <w:tc>
          <w:tcPr/>
          <w:p>
            <w:pPr>
              <w:pStyle w:val="Compact"/>
              <w:jc w:val="left"/>
            </w:pPr>
            <w:r>
              <w:t xml:space="preserve">Collisson: Classical</w:t>
            </w:r>
          </w:p>
        </w:tc>
        <w:tc>
          <w:tcPr/>
          <w:p>
            <w:pPr>
              <w:pStyle w:val="Compact"/>
              <w:jc w:val="left"/>
            </w:pPr>
            <w:r>
              <w:t xml:space="preserve">Collisson et al. 2011</w:t>
            </w:r>
          </w:p>
        </w:tc>
        <w:tc>
          <w:tcPr/>
          <w:p>
            <w:pPr>
              <w:pStyle w:val="Compact"/>
              <w:jc w:val="left"/>
            </w:pPr>
            <w:r>
              <w:t xml:space="preserve">22</w:t>
            </w:r>
          </w:p>
        </w:tc>
        <w:tc>
          <w:tcPr/>
          <w:p>
            <w:pPr>
              <w:pStyle w:val="Compact"/>
              <w:jc w:val="left"/>
            </w:pPr>
            <w:r>
              <w:t xml:space="preserve">22</w:t>
            </w:r>
          </w:p>
        </w:tc>
      </w:tr>
      <w:tr>
        <w:tc>
          <w:tcPr/>
          <w:p>
            <w:pPr>
              <w:pStyle w:val="Compact"/>
              <w:jc w:val="left"/>
            </w:pPr>
            <w:r>
              <w:t xml:space="preserve">Collisson: Exocrine</w:t>
            </w:r>
          </w:p>
        </w:tc>
        <w:tc>
          <w:tcPr/>
          <w:p>
            <w:pPr>
              <w:pStyle w:val="Compact"/>
              <w:jc w:val="left"/>
            </w:pPr>
            <w:r>
              <w:t xml:space="preserve">Collisson et al. 2011</w:t>
            </w:r>
          </w:p>
        </w:tc>
        <w:tc>
          <w:tcPr/>
          <w:p>
            <w:pPr>
              <w:pStyle w:val="Compact"/>
              <w:jc w:val="left"/>
            </w:pPr>
            <w:r>
              <w:t xml:space="preserve">20</w:t>
            </w:r>
          </w:p>
        </w:tc>
        <w:tc>
          <w:tcPr/>
          <w:p>
            <w:pPr>
              <w:pStyle w:val="Compact"/>
              <w:jc w:val="left"/>
            </w:pPr>
            <w:r>
              <w:t xml:space="preserve">19</w:t>
            </w:r>
          </w:p>
        </w:tc>
      </w:tr>
      <w:tr>
        <w:tc>
          <w:tcPr/>
          <w:p>
            <w:pPr>
              <w:pStyle w:val="Compact"/>
              <w:jc w:val="left"/>
            </w:pPr>
            <w:r>
              <w:t xml:space="preserve">Collisson: QM</w:t>
            </w:r>
          </w:p>
        </w:tc>
        <w:tc>
          <w:tcPr/>
          <w:p>
            <w:pPr>
              <w:pStyle w:val="Compact"/>
              <w:jc w:val="left"/>
            </w:pPr>
            <w:r>
              <w:t xml:space="preserve">Collisson et al. 2011</w:t>
            </w:r>
          </w:p>
        </w:tc>
        <w:tc>
          <w:tcPr/>
          <w:p>
            <w:pPr>
              <w:pStyle w:val="Compact"/>
              <w:jc w:val="left"/>
            </w:pPr>
            <w:r>
              <w:t xml:space="preserve">20</w:t>
            </w:r>
          </w:p>
        </w:tc>
        <w:tc>
          <w:tcPr/>
          <w:p>
            <w:pPr>
              <w:pStyle w:val="Compact"/>
              <w:jc w:val="left"/>
            </w:pPr>
            <w:r>
              <w:t xml:space="preserve">12</w:t>
            </w:r>
          </w:p>
        </w:tc>
      </w:tr>
      <w:tr>
        <w:tc>
          <w:tcPr/>
          <w:p>
            <w:pPr>
              <w:pStyle w:val="Compact"/>
              <w:jc w:val="left"/>
            </w:pPr>
            <w:r>
              <w:t xml:space="preserve">Bailey: Squamous</w:t>
            </w:r>
          </w:p>
        </w:tc>
        <w:tc>
          <w:tcPr/>
          <w:p>
            <w:pPr>
              <w:pStyle w:val="Compact"/>
              <w:jc w:val="left"/>
            </w:pPr>
            <w:r>
              <w:t xml:space="preserve">Bailey et al. 2016</w:t>
            </w:r>
          </w:p>
        </w:tc>
        <w:tc>
          <w:tcPr/>
          <w:p>
            <w:pPr>
              <w:pStyle w:val="Compact"/>
              <w:jc w:val="left"/>
            </w:pPr>
            <w:r>
              <w:t xml:space="preserve">87</w:t>
            </w:r>
          </w:p>
        </w:tc>
        <w:tc>
          <w:tcPr/>
          <w:p>
            <w:pPr>
              <w:pStyle w:val="Compact"/>
              <w:jc w:val="left"/>
            </w:pPr>
            <w:r>
              <w:t xml:space="preserve">27</w:t>
            </w:r>
          </w:p>
        </w:tc>
      </w:tr>
      <w:tr>
        <w:tc>
          <w:tcPr/>
          <w:p>
            <w:pPr>
              <w:pStyle w:val="Compact"/>
              <w:jc w:val="left"/>
            </w:pPr>
            <w:r>
              <w:t xml:space="preserve">Bailey: Immunogenic</w:t>
            </w:r>
          </w:p>
        </w:tc>
        <w:tc>
          <w:tcPr/>
          <w:p>
            <w:pPr>
              <w:pStyle w:val="Compact"/>
              <w:jc w:val="left"/>
            </w:pPr>
            <w:r>
              <w:t xml:space="preserve">Bailey et al. 2016</w:t>
            </w:r>
          </w:p>
        </w:tc>
        <w:tc>
          <w:tcPr/>
          <w:p>
            <w:pPr>
              <w:pStyle w:val="Compact"/>
              <w:jc w:val="left"/>
            </w:pPr>
            <w:r>
              <w:t xml:space="preserve">145</w:t>
            </w:r>
          </w:p>
        </w:tc>
        <w:tc>
          <w:tcPr/>
          <w:p>
            <w:pPr>
              <w:pStyle w:val="Compact"/>
              <w:jc w:val="left"/>
            </w:pPr>
            <w:r>
              <w:t xml:space="preserve">22</w:t>
            </w:r>
          </w:p>
        </w:tc>
      </w:tr>
      <w:tr>
        <w:tc>
          <w:tcPr/>
          <w:p>
            <w:pPr>
              <w:pStyle w:val="Compact"/>
              <w:jc w:val="left"/>
            </w:pPr>
            <w:r>
              <w:t xml:space="preserve">Bailey: Pancreatic Progenitor</w:t>
            </w:r>
          </w:p>
        </w:tc>
        <w:tc>
          <w:tcPr/>
          <w:p>
            <w:pPr>
              <w:pStyle w:val="Compact"/>
              <w:jc w:val="left"/>
            </w:pPr>
            <w:r>
              <w:t xml:space="preserve">Bailey et al. 2016</w:t>
            </w:r>
          </w:p>
        </w:tc>
        <w:tc>
          <w:tcPr/>
          <w:p>
            <w:pPr>
              <w:pStyle w:val="Compact"/>
              <w:jc w:val="left"/>
            </w:pPr>
            <w:r>
              <w:t xml:space="preserve">73</w:t>
            </w:r>
          </w:p>
        </w:tc>
        <w:tc>
          <w:tcPr/>
          <w:p>
            <w:pPr>
              <w:pStyle w:val="Compact"/>
              <w:jc w:val="left"/>
            </w:pPr>
            <w:r>
              <w:t xml:space="preserve">7</w:t>
            </w:r>
          </w:p>
        </w:tc>
      </w:tr>
      <w:tr>
        <w:tc>
          <w:tcPr/>
          <w:p>
            <w:pPr>
              <w:pStyle w:val="Compact"/>
              <w:jc w:val="left"/>
            </w:pPr>
            <w:r>
              <w:t xml:space="preserve">Bailey: ADEX</w:t>
            </w:r>
          </w:p>
        </w:tc>
        <w:tc>
          <w:tcPr/>
          <w:p>
            <w:pPr>
              <w:pStyle w:val="Compact"/>
              <w:jc w:val="left"/>
            </w:pPr>
            <w:r>
              <w:t xml:space="preserve">Bailey et al. 2016</w:t>
            </w:r>
          </w:p>
        </w:tc>
        <w:tc>
          <w:tcPr/>
          <w:p>
            <w:pPr>
              <w:pStyle w:val="Compact"/>
              <w:jc w:val="left"/>
            </w:pPr>
            <w:r>
              <w:t xml:space="preserve">57</w:t>
            </w:r>
          </w:p>
        </w:tc>
        <w:tc>
          <w:tcPr/>
          <w:p>
            <w:pPr>
              <w:pStyle w:val="Compact"/>
              <w:jc w:val="left"/>
            </w:pPr>
            <w:r>
              <w:t xml:space="preserve">37</w:t>
            </w:r>
          </w:p>
        </w:tc>
      </w:tr>
      <w:tr>
        <w:tc>
          <w:tcPr/>
          <w:p>
            <w:pPr>
              <w:pStyle w:val="Compact"/>
              <w:jc w:val="left"/>
            </w:pPr>
            <w:r>
              <w:t xml:space="preserve">Chan-Seng-Yue: Basal-like A</w:t>
            </w:r>
          </w:p>
        </w:tc>
        <w:tc>
          <w:tcPr/>
          <w:p>
            <w:pPr>
              <w:pStyle w:val="Compact"/>
              <w:jc w:val="left"/>
            </w:pPr>
            <w:r>
              <w:t xml:space="preserve">Chan-Seng-Yue et al. 2020</w:t>
            </w:r>
          </w:p>
        </w:tc>
        <w:tc>
          <w:tcPr/>
          <w:p>
            <w:pPr>
              <w:pStyle w:val="Compact"/>
              <w:jc w:val="left"/>
            </w:pPr>
            <w:r>
              <w:t xml:space="preserve">100</w:t>
            </w:r>
          </w:p>
        </w:tc>
        <w:tc>
          <w:tcPr/>
          <w:p>
            <w:pPr>
              <w:pStyle w:val="Compact"/>
              <w:jc w:val="left"/>
            </w:pPr>
            <w:r>
              <w:t xml:space="preserve">34</w:t>
            </w:r>
          </w:p>
        </w:tc>
      </w:tr>
      <w:tr>
        <w:tc>
          <w:tcPr/>
          <w:p>
            <w:pPr>
              <w:pStyle w:val="Compact"/>
              <w:jc w:val="left"/>
            </w:pPr>
            <w:r>
              <w:t xml:space="preserve">Chan-Seng-Yue: Basal-like B</w:t>
            </w:r>
          </w:p>
        </w:tc>
        <w:tc>
          <w:tcPr/>
          <w:p>
            <w:pPr>
              <w:pStyle w:val="Compact"/>
              <w:jc w:val="left"/>
            </w:pPr>
            <w:r>
              <w:t xml:space="preserve">Chan-Seng-Yue et al. 2020</w:t>
            </w:r>
          </w:p>
        </w:tc>
        <w:tc>
          <w:tcPr/>
          <w:p>
            <w:pPr>
              <w:pStyle w:val="Compact"/>
              <w:jc w:val="left"/>
            </w:pPr>
            <w:r>
              <w:t xml:space="preserve">100</w:t>
            </w:r>
          </w:p>
        </w:tc>
        <w:tc>
          <w:tcPr/>
          <w:p>
            <w:pPr>
              <w:pStyle w:val="Compact"/>
              <w:jc w:val="left"/>
            </w:pPr>
            <w:r>
              <w:t xml:space="preserve">28</w:t>
            </w:r>
          </w:p>
        </w:tc>
      </w:tr>
      <w:tr>
        <w:tc>
          <w:tcPr/>
          <w:p>
            <w:pPr>
              <w:pStyle w:val="Compact"/>
              <w:jc w:val="left"/>
            </w:pPr>
            <w:r>
              <w:t xml:space="preserve">Chan-Seng-Yue: Classical A</w:t>
            </w:r>
          </w:p>
        </w:tc>
        <w:tc>
          <w:tcPr/>
          <w:p>
            <w:pPr>
              <w:pStyle w:val="Compact"/>
              <w:jc w:val="left"/>
            </w:pPr>
            <w:r>
              <w:t xml:space="preserve">Chan-Seng-Yue et al. 2020</w:t>
            </w:r>
          </w:p>
        </w:tc>
        <w:tc>
          <w:tcPr/>
          <w:p>
            <w:pPr>
              <w:pStyle w:val="Compact"/>
              <w:jc w:val="left"/>
            </w:pPr>
            <w:r>
              <w:t xml:space="preserve">100</w:t>
            </w:r>
          </w:p>
        </w:tc>
        <w:tc>
          <w:tcPr/>
          <w:p>
            <w:pPr>
              <w:pStyle w:val="Compact"/>
              <w:jc w:val="left"/>
            </w:pPr>
            <w:r>
              <w:t xml:space="preserve">69</w:t>
            </w:r>
          </w:p>
        </w:tc>
      </w:tr>
      <w:tr>
        <w:tc>
          <w:tcPr/>
          <w:p>
            <w:pPr>
              <w:pStyle w:val="Compact"/>
              <w:jc w:val="left"/>
            </w:pPr>
            <w:r>
              <w:t xml:space="preserve">Chan-Seng-Yue: Classical B</w:t>
            </w:r>
          </w:p>
        </w:tc>
        <w:tc>
          <w:tcPr/>
          <w:p>
            <w:pPr>
              <w:pStyle w:val="Compact"/>
              <w:jc w:val="left"/>
            </w:pPr>
            <w:r>
              <w:t xml:space="preserve">Chan-Seng-Yue et al. 2020</w:t>
            </w:r>
          </w:p>
        </w:tc>
        <w:tc>
          <w:tcPr/>
          <w:p>
            <w:pPr>
              <w:pStyle w:val="Compact"/>
              <w:jc w:val="left"/>
            </w:pPr>
            <w:r>
              <w:t xml:space="preserve">100</w:t>
            </w:r>
          </w:p>
        </w:tc>
        <w:tc>
          <w:tcPr/>
          <w:p>
            <w:pPr>
              <w:pStyle w:val="Compact"/>
              <w:jc w:val="left"/>
            </w:pPr>
            <w:r>
              <w:t xml:space="preserve">31</w:t>
            </w:r>
          </w:p>
        </w:tc>
      </w:tr>
      <w:tr>
        <w:tc>
          <w:tcPr/>
          <w:p>
            <w:pPr>
              <w:pStyle w:val="Compact"/>
              <w:jc w:val="left"/>
            </w:pPr>
            <w:r>
              <w:t xml:space="preserve">Maurer: ECM</w:t>
            </w:r>
          </w:p>
        </w:tc>
        <w:tc>
          <w:tcPr/>
          <w:p>
            <w:pPr>
              <w:pStyle w:val="Compact"/>
              <w:jc w:val="left"/>
            </w:pPr>
            <w:r>
              <w:t xml:space="preserve">Maurer et al. 2019</w:t>
            </w:r>
          </w:p>
        </w:tc>
        <w:tc>
          <w:tcPr/>
          <w:p>
            <w:pPr>
              <w:pStyle w:val="Compact"/>
              <w:jc w:val="left"/>
            </w:pPr>
            <w:r>
              <w:t xml:space="preserve">222</w:t>
            </w:r>
          </w:p>
        </w:tc>
        <w:tc>
          <w:tcPr/>
          <w:p>
            <w:pPr>
              <w:pStyle w:val="Compact"/>
              <w:jc w:val="left"/>
            </w:pPr>
            <w:r>
              <w:t xml:space="preserve">139</w:t>
            </w:r>
          </w:p>
        </w:tc>
      </w:tr>
      <w:tr>
        <w:tc>
          <w:tcPr/>
          <w:p>
            <w:pPr>
              <w:pStyle w:val="Compact"/>
              <w:jc w:val="left"/>
            </w:pPr>
            <w:r>
              <w:t xml:space="preserve">Maurer: Immune</w:t>
            </w:r>
          </w:p>
        </w:tc>
        <w:tc>
          <w:tcPr/>
          <w:p>
            <w:pPr>
              <w:pStyle w:val="Compact"/>
              <w:jc w:val="left"/>
            </w:pPr>
            <w:r>
              <w:t xml:space="preserve">Maurer et al. 2019</w:t>
            </w:r>
          </w:p>
        </w:tc>
        <w:tc>
          <w:tcPr/>
          <w:p>
            <w:pPr>
              <w:pStyle w:val="Compact"/>
              <w:jc w:val="left"/>
            </w:pPr>
            <w:r>
              <w:t xml:space="preserve">251</w:t>
            </w:r>
          </w:p>
        </w:tc>
        <w:tc>
          <w:tcPr/>
          <w:p>
            <w:pPr>
              <w:pStyle w:val="Compact"/>
              <w:jc w:val="left"/>
            </w:pPr>
            <w:r>
              <w:t xml:space="preserve">101</w:t>
            </w:r>
          </w:p>
        </w:tc>
      </w:tr>
      <w:tr>
        <w:tc>
          <w:tcPr/>
          <w:p>
            <w:pPr>
              <w:pStyle w:val="Compact"/>
              <w:jc w:val="left"/>
            </w:pPr>
            <w:r>
              <w:t xml:space="preserve">Puleo: Pure Classical</w:t>
            </w:r>
          </w:p>
        </w:tc>
        <w:tc>
          <w:tcPr/>
          <w:p>
            <w:pPr>
              <w:pStyle w:val="Compact"/>
              <w:jc w:val="left"/>
            </w:pPr>
            <w:r>
              <w:t xml:space="preserve">Puleo et al. 2018</w:t>
            </w:r>
          </w:p>
        </w:tc>
        <w:tc>
          <w:tcPr/>
          <w:p>
            <w:pPr>
              <w:pStyle w:val="Compact"/>
              <w:jc w:val="left"/>
            </w:pPr>
            <w:r>
              <w:t xml:space="preserve">90</w:t>
            </w:r>
          </w:p>
        </w:tc>
        <w:tc>
          <w:tcPr/>
          <w:p>
            <w:pPr>
              <w:pStyle w:val="Compact"/>
              <w:jc w:val="left"/>
            </w:pPr>
            <w:r>
              <w:t xml:space="preserve">71</w:t>
            </w:r>
          </w:p>
        </w:tc>
      </w:tr>
      <w:tr>
        <w:tc>
          <w:tcPr/>
          <w:p>
            <w:pPr>
              <w:pStyle w:val="Compact"/>
              <w:jc w:val="left"/>
            </w:pPr>
            <w:r>
              <w:t xml:space="preserve">Puleo: Immune Classical</w:t>
            </w:r>
          </w:p>
        </w:tc>
        <w:tc>
          <w:tcPr/>
          <w:p>
            <w:pPr>
              <w:pStyle w:val="Compact"/>
              <w:jc w:val="left"/>
            </w:pPr>
            <w:r>
              <w:t xml:space="preserve">Puleo et al. 2018</w:t>
            </w:r>
          </w:p>
        </w:tc>
        <w:tc>
          <w:tcPr/>
          <w:p>
            <w:pPr>
              <w:pStyle w:val="Compact"/>
              <w:jc w:val="left"/>
            </w:pPr>
            <w:r>
              <w:t xml:space="preserve">56</w:t>
            </w:r>
          </w:p>
        </w:tc>
        <w:tc>
          <w:tcPr/>
          <w:p>
            <w:pPr>
              <w:pStyle w:val="Compact"/>
              <w:jc w:val="left"/>
            </w:pPr>
            <w:r>
              <w:t xml:space="preserve">7</w:t>
            </w:r>
          </w:p>
        </w:tc>
      </w:tr>
      <w:tr>
        <w:tc>
          <w:tcPr/>
          <w:p>
            <w:pPr>
              <w:pStyle w:val="Compact"/>
              <w:jc w:val="left"/>
            </w:pPr>
            <w:r>
              <w:t xml:space="preserve">Puleo: Desmoplastic</w:t>
            </w:r>
          </w:p>
        </w:tc>
        <w:tc>
          <w:tcPr/>
          <w:p>
            <w:pPr>
              <w:pStyle w:val="Compact"/>
              <w:jc w:val="left"/>
            </w:pPr>
            <w:r>
              <w:t xml:space="preserve">Puleo et al. 2018</w:t>
            </w:r>
          </w:p>
        </w:tc>
        <w:tc>
          <w:tcPr/>
          <w:p>
            <w:pPr>
              <w:pStyle w:val="Compact"/>
              <w:jc w:val="left"/>
            </w:pPr>
            <w:r>
              <w:t xml:space="preserve">101</w:t>
            </w:r>
          </w:p>
        </w:tc>
        <w:tc>
          <w:tcPr/>
          <w:p>
            <w:pPr>
              <w:pStyle w:val="Compact"/>
              <w:jc w:val="left"/>
            </w:pPr>
            <w:r>
              <w:t xml:space="preserve">65</w:t>
            </w:r>
          </w:p>
        </w:tc>
      </w:tr>
      <w:tr>
        <w:tc>
          <w:tcPr/>
          <w:p>
            <w:pPr>
              <w:pStyle w:val="Compact"/>
              <w:jc w:val="left"/>
            </w:pPr>
            <w:r>
              <w:t xml:space="preserve">Puleo: Stroma Activated</w:t>
            </w:r>
          </w:p>
        </w:tc>
        <w:tc>
          <w:tcPr/>
          <w:p>
            <w:pPr>
              <w:pStyle w:val="Compact"/>
              <w:jc w:val="left"/>
            </w:pPr>
            <w:r>
              <w:t xml:space="preserve">Puleo et al. 2018</w:t>
            </w:r>
          </w:p>
        </w:tc>
        <w:tc>
          <w:tcPr/>
          <w:p>
            <w:pPr>
              <w:pStyle w:val="Compact"/>
              <w:jc w:val="left"/>
            </w:pPr>
            <w:r>
              <w:t xml:space="preserve">62</w:t>
            </w:r>
          </w:p>
        </w:tc>
        <w:tc>
          <w:tcPr/>
          <w:p>
            <w:pPr>
              <w:pStyle w:val="Compact"/>
              <w:jc w:val="left"/>
            </w:pPr>
            <w:r>
              <w:t xml:space="preserve">50</w:t>
            </w:r>
          </w:p>
        </w:tc>
      </w:tr>
      <w:tr>
        <w:tc>
          <w:tcPr/>
          <w:p>
            <w:pPr>
              <w:pStyle w:val="Compact"/>
              <w:jc w:val="left"/>
            </w:pPr>
            <w:r>
              <w:t xml:space="preserve">Puleo: Pure Basal-like</w:t>
            </w:r>
          </w:p>
        </w:tc>
        <w:tc>
          <w:tcPr/>
          <w:p>
            <w:pPr>
              <w:pStyle w:val="Compact"/>
              <w:jc w:val="left"/>
            </w:pPr>
            <w:r>
              <w:t xml:space="preserve">Puleo et al. 2018</w:t>
            </w:r>
          </w:p>
        </w:tc>
        <w:tc>
          <w:tcPr/>
          <w:p>
            <w:pPr>
              <w:pStyle w:val="Compact"/>
              <w:jc w:val="left"/>
            </w:pPr>
            <w:r>
              <w:t xml:space="preserve">94</w:t>
            </w:r>
          </w:p>
        </w:tc>
        <w:tc>
          <w:tcPr/>
          <w:p>
            <w:pPr>
              <w:pStyle w:val="Compact"/>
              <w:jc w:val="left"/>
            </w:pPr>
            <w:r>
              <w:t xml:space="preserve">57</w:t>
            </w:r>
          </w:p>
        </w:tc>
      </w:tr>
      <w:tr>
        <w:tc>
          <w:tcPr/>
          <w:p>
            <w:pPr>
              <w:pStyle w:val="Compact"/>
              <w:jc w:val="left"/>
            </w:pPr>
            <w:r>
              <w:t xml:space="preserve">Puleo: Basal-like tumor</w:t>
            </w:r>
          </w:p>
        </w:tc>
        <w:tc>
          <w:tcPr/>
          <w:p>
            <w:pPr>
              <w:pStyle w:val="Compact"/>
              <w:jc w:val="left"/>
            </w:pPr>
            <w:r>
              <w:t xml:space="preserve">Puleo et al. 2018</w:t>
            </w:r>
          </w:p>
        </w:tc>
        <w:tc>
          <w:tcPr/>
          <w:p>
            <w:pPr>
              <w:pStyle w:val="Compact"/>
              <w:jc w:val="left"/>
            </w:pPr>
            <w:r>
              <w:t xml:space="preserve">461</w:t>
            </w:r>
          </w:p>
        </w:tc>
        <w:tc>
          <w:tcPr/>
          <w:p>
            <w:pPr>
              <w:pStyle w:val="Compact"/>
              <w:jc w:val="left"/>
            </w:pPr>
            <w:r>
              <w:t xml:space="preserve">118</w:t>
            </w:r>
          </w:p>
        </w:tc>
      </w:tr>
      <w:tr>
        <w:tc>
          <w:tcPr/>
          <w:p>
            <w:pPr>
              <w:pStyle w:val="Compact"/>
              <w:jc w:val="left"/>
            </w:pPr>
            <w:r>
              <w:t xml:space="preserve">Puleo: Classical tumor</w:t>
            </w:r>
          </w:p>
        </w:tc>
        <w:tc>
          <w:tcPr/>
          <w:p>
            <w:pPr>
              <w:pStyle w:val="Compact"/>
              <w:jc w:val="left"/>
            </w:pPr>
            <w:r>
              <w:t xml:space="preserve">Puleo et al. 2018</w:t>
            </w:r>
          </w:p>
        </w:tc>
        <w:tc>
          <w:tcPr/>
          <w:p>
            <w:pPr>
              <w:pStyle w:val="Compact"/>
              <w:jc w:val="left"/>
            </w:pPr>
            <w:r>
              <w:t xml:space="preserve">539</w:t>
            </w:r>
          </w:p>
        </w:tc>
        <w:tc>
          <w:tcPr/>
          <w:p>
            <w:pPr>
              <w:pStyle w:val="Compact"/>
              <w:jc w:val="left"/>
            </w:pPr>
            <w:r>
              <w:t xml:space="preserve">273</w:t>
            </w:r>
          </w:p>
        </w:tc>
      </w:tr>
      <w:tr>
        <w:tc>
          <w:tcPr/>
          <w:p>
            <w:pPr>
              <w:pStyle w:val="Compact"/>
              <w:jc w:val="left"/>
            </w:pPr>
            <w:r>
              <w:t xml:space="preserve">Elyada: iCAF</w:t>
            </w:r>
          </w:p>
        </w:tc>
        <w:tc>
          <w:tcPr/>
          <w:p>
            <w:pPr>
              <w:pStyle w:val="Compact"/>
              <w:jc w:val="left"/>
            </w:pPr>
            <w:r>
              <w:t xml:space="preserve">Elyada et al. 2019</w:t>
            </w:r>
          </w:p>
        </w:tc>
        <w:tc>
          <w:tcPr/>
          <w:p>
            <w:pPr>
              <w:pStyle w:val="Compact"/>
              <w:jc w:val="left"/>
            </w:pPr>
            <w:r>
              <w:t xml:space="preserve">35</w:t>
            </w:r>
          </w:p>
        </w:tc>
        <w:tc>
          <w:tcPr/>
          <w:p>
            <w:pPr>
              <w:pStyle w:val="Compact"/>
              <w:jc w:val="left"/>
            </w:pPr>
            <w:r>
              <w:t xml:space="preserve">25</w:t>
            </w:r>
          </w:p>
        </w:tc>
      </w:tr>
      <w:tr>
        <w:tc>
          <w:tcPr/>
          <w:p>
            <w:pPr>
              <w:pStyle w:val="Compact"/>
              <w:jc w:val="left"/>
            </w:pPr>
            <w:r>
              <w:t xml:space="preserve">Elyada: myCAF</w:t>
            </w:r>
          </w:p>
        </w:tc>
        <w:tc>
          <w:tcPr/>
          <w:p>
            <w:pPr>
              <w:pStyle w:val="Compact"/>
              <w:jc w:val="left"/>
            </w:pPr>
            <w:r>
              <w:t xml:space="preserve">Elyada et al. 2019</w:t>
            </w:r>
          </w:p>
        </w:tc>
        <w:tc>
          <w:tcPr/>
          <w:p>
            <w:pPr>
              <w:pStyle w:val="Compact"/>
              <w:jc w:val="left"/>
            </w:pPr>
            <w:r>
              <w:t xml:space="preserve">16</w:t>
            </w:r>
          </w:p>
        </w:tc>
        <w:tc>
          <w:tcPr/>
          <w:p>
            <w:pPr>
              <w:pStyle w:val="Compact"/>
              <w:jc w:val="left"/>
            </w:pPr>
            <w:r>
              <w:t xml:space="preserve">15</w:t>
            </w:r>
          </w:p>
        </w:tc>
      </w:tr>
      <w:tr>
        <w:tc>
          <w:tcPr/>
          <w:p>
            <w:pPr>
              <w:pStyle w:val="Compact"/>
              <w:jc w:val="left"/>
            </w:pPr>
            <w:r>
              <w:t xml:space="preserve">SCISSORS: apCAF</w:t>
            </w:r>
          </w:p>
        </w:tc>
        <w:tc>
          <w:tcPr/>
          <w:p>
            <w:pPr>
              <w:pStyle w:val="Compact"/>
              <w:jc w:val="left"/>
            </w:pPr>
            <w:r>
              <w:t xml:space="preserve">Leary et al. 2023</w:t>
            </w:r>
          </w:p>
        </w:tc>
        <w:tc>
          <w:tcPr/>
          <w:p>
            <w:pPr>
              <w:pStyle w:val="Compact"/>
              <w:jc w:val="left"/>
            </w:pPr>
            <w:r>
              <w:t xml:space="preserve">25</w:t>
            </w:r>
          </w:p>
        </w:tc>
        <w:tc>
          <w:tcPr/>
          <w:p>
            <w:pPr>
              <w:pStyle w:val="Compact"/>
              <w:jc w:val="left"/>
            </w:pPr>
            <w:r>
              <w:t xml:space="preserve">4</w:t>
            </w:r>
          </w:p>
        </w:tc>
      </w:tr>
      <w:tr>
        <w:tc>
          <w:tcPr/>
          <w:p>
            <w:pPr>
              <w:pStyle w:val="Compact"/>
              <w:jc w:val="left"/>
            </w:pPr>
            <w:r>
              <w:t xml:space="preserve">SCISSORS: restCAF</w:t>
            </w:r>
          </w:p>
        </w:tc>
        <w:tc>
          <w:tcPr/>
          <w:p>
            <w:pPr>
              <w:pStyle w:val="Compact"/>
              <w:jc w:val="left"/>
            </w:pPr>
            <w:r>
              <w:t xml:space="preserve">Leary et al. 2023</w:t>
            </w:r>
          </w:p>
        </w:tc>
        <w:tc>
          <w:tcPr/>
          <w:p>
            <w:pPr>
              <w:pStyle w:val="Compact"/>
              <w:jc w:val="left"/>
            </w:pPr>
            <w:r>
              <w:t xml:space="preserve">25</w:t>
            </w:r>
          </w:p>
        </w:tc>
        <w:tc>
          <w:tcPr/>
          <w:p>
            <w:pPr>
              <w:pStyle w:val="Compact"/>
              <w:jc w:val="left"/>
            </w:pPr>
            <w:r>
              <w:t xml:space="preserve">17</w:t>
            </w:r>
          </w:p>
        </w:tc>
      </w:tr>
      <w:tr>
        <w:tc>
          <w:tcPr/>
          <w:p>
            <w:pPr>
              <w:pStyle w:val="Compact"/>
              <w:jc w:val="left"/>
            </w:pPr>
            <w:r>
              <w:t xml:space="preserve">SCISSORS: proCAF</w:t>
            </w:r>
          </w:p>
        </w:tc>
        <w:tc>
          <w:tcPr/>
          <w:p>
            <w:pPr>
              <w:pStyle w:val="Compact"/>
              <w:jc w:val="left"/>
            </w:pPr>
            <w:r>
              <w:t xml:space="preserve">Leary et al. 2023</w:t>
            </w:r>
          </w:p>
        </w:tc>
        <w:tc>
          <w:tcPr/>
          <w:p>
            <w:pPr>
              <w:pStyle w:val="Compact"/>
              <w:jc w:val="left"/>
            </w:pPr>
            <w:r>
              <w:t xml:space="preserve">25</w:t>
            </w:r>
          </w:p>
        </w:tc>
        <w:tc>
          <w:tcPr/>
          <w:p>
            <w:pPr>
              <w:pStyle w:val="Compact"/>
              <w:jc w:val="left"/>
            </w:pPr>
            <w:r>
              <w:t xml:space="preserve">16</w:t>
            </w:r>
          </w:p>
        </w:tc>
      </w:tr>
      <w:tr>
        <w:tc>
          <w:tcPr/>
          <w:p>
            <w:pPr>
              <w:pStyle w:val="Compact"/>
              <w:jc w:val="left"/>
            </w:pPr>
            <w:r>
              <w:t xml:space="preserve">SCISSORS: Perivascular</w:t>
            </w:r>
          </w:p>
        </w:tc>
        <w:tc>
          <w:tcPr/>
          <w:p>
            <w:pPr>
              <w:pStyle w:val="Compact"/>
              <w:jc w:val="left"/>
            </w:pPr>
            <w:r>
              <w:t xml:space="preserve">Leary et al. 2023</w:t>
            </w:r>
          </w:p>
        </w:tc>
        <w:tc>
          <w:tcPr/>
          <w:p>
            <w:pPr>
              <w:pStyle w:val="Compact"/>
              <w:jc w:val="left"/>
            </w:pPr>
            <w:r>
              <w:t xml:space="preserve">25</w:t>
            </w:r>
          </w:p>
        </w:tc>
        <w:tc>
          <w:tcPr/>
          <w:p>
            <w:pPr>
              <w:pStyle w:val="Compact"/>
              <w:jc w:val="left"/>
            </w:pPr>
            <w:r>
              <w:t xml:space="preserve">5</w:t>
            </w:r>
          </w:p>
        </w:tc>
      </w:tr>
      <w:tr>
        <w:tc>
          <w:tcPr/>
          <w:p>
            <w:pPr>
              <w:pStyle w:val="Compact"/>
              <w:jc w:val="left"/>
            </w:pPr>
            <w:r>
              <w:t xml:space="preserve">SCISSORS: panCAF</w:t>
            </w:r>
          </w:p>
        </w:tc>
        <w:tc>
          <w:tcPr/>
          <w:p>
            <w:pPr>
              <w:pStyle w:val="Compact"/>
              <w:jc w:val="left"/>
            </w:pPr>
            <w:r>
              <w:t xml:space="preserve">Leary et al. 2023</w:t>
            </w:r>
          </w:p>
        </w:tc>
        <w:tc>
          <w:tcPr/>
          <w:p>
            <w:pPr>
              <w:pStyle w:val="Compact"/>
              <w:jc w:val="left"/>
            </w:pPr>
            <w:r>
              <w:t xml:space="preserve">25</w:t>
            </w:r>
          </w:p>
        </w:tc>
        <w:tc>
          <w:tcPr/>
          <w:p>
            <w:pPr>
              <w:pStyle w:val="Compact"/>
              <w:jc w:val="left"/>
            </w:pPr>
            <w:r>
              <w:t xml:space="preserve">22</w:t>
            </w:r>
          </w:p>
        </w:tc>
      </w:tr>
      <w:tr>
        <w:tc>
          <w:tcPr/>
          <w:p>
            <w:pPr>
              <w:pStyle w:val="Compact"/>
              <w:jc w:val="left"/>
            </w:pPr>
            <w:r>
              <w:t xml:space="preserve">SCISSORS: Basal-like</w:t>
            </w:r>
          </w:p>
        </w:tc>
        <w:tc>
          <w:tcPr/>
          <w:p>
            <w:pPr>
              <w:pStyle w:val="Compact"/>
              <w:jc w:val="left"/>
            </w:pPr>
            <w:r>
              <w:t xml:space="preserve">Leary et al. 2023</w:t>
            </w:r>
          </w:p>
        </w:tc>
        <w:tc>
          <w:tcPr/>
          <w:p>
            <w:pPr>
              <w:pStyle w:val="Compact"/>
              <w:jc w:val="left"/>
            </w:pPr>
            <w:r>
              <w:t xml:space="preserve">25</w:t>
            </w:r>
          </w:p>
        </w:tc>
        <w:tc>
          <w:tcPr/>
          <w:p>
            <w:pPr>
              <w:pStyle w:val="Compact"/>
              <w:jc w:val="left"/>
            </w:pPr>
            <w:r>
              <w:t xml:space="preserve">24</w:t>
            </w:r>
          </w:p>
        </w:tc>
      </w:tr>
      <w:tr>
        <w:tc>
          <w:tcPr/>
          <w:p>
            <w:pPr>
              <w:pStyle w:val="Compact"/>
              <w:jc w:val="left"/>
            </w:pPr>
            <w:r>
              <w:t xml:space="preserve">SCISSORS: Classical</w:t>
            </w:r>
          </w:p>
        </w:tc>
        <w:tc>
          <w:tcPr/>
          <w:p>
            <w:pPr>
              <w:pStyle w:val="Compact"/>
              <w:jc w:val="left"/>
            </w:pPr>
            <w:r>
              <w:t xml:space="preserve">Leary et al. 2023</w:t>
            </w:r>
          </w:p>
        </w:tc>
        <w:tc>
          <w:tcPr/>
          <w:p>
            <w:pPr>
              <w:pStyle w:val="Compact"/>
              <w:jc w:val="left"/>
            </w:pPr>
            <w:r>
              <w:t xml:space="preserve">25</w:t>
            </w:r>
          </w:p>
        </w:tc>
        <w:tc>
          <w:tcPr/>
          <w:p>
            <w:pPr>
              <w:pStyle w:val="Compact"/>
              <w:jc w:val="left"/>
            </w:pPr>
            <w:r>
              <w:t xml:space="preserve">22</w:t>
            </w:r>
          </w:p>
        </w:tc>
      </w:tr>
      <w:tr>
        <w:tc>
          <w:tcPr/>
          <w:p>
            <w:pPr>
              <w:pStyle w:val="Compact"/>
              <w:jc w:val="left"/>
            </w:pPr>
            <w:r>
              <w:t xml:space="preserve">deCAF: proCAF</w:t>
            </w:r>
          </w:p>
        </w:tc>
        <w:tc>
          <w:tcPr/>
          <w:p>
            <w:pPr>
              <w:pStyle w:val="Compact"/>
              <w:jc w:val="left"/>
            </w:pPr>
            <w:r>
              <w:t xml:space="preserve">Peng et al. 2026</w:t>
            </w:r>
          </w:p>
        </w:tc>
        <w:tc>
          <w:tcPr/>
          <w:p>
            <w:pPr>
              <w:pStyle w:val="Compact"/>
              <w:jc w:val="left"/>
            </w:pPr>
            <w:r>
              <w:t xml:space="preserve">9</w:t>
            </w:r>
          </w:p>
        </w:tc>
        <w:tc>
          <w:tcPr/>
          <w:p>
            <w:pPr>
              <w:pStyle w:val="Compact"/>
              <w:jc w:val="left"/>
            </w:pPr>
            <w:r>
              <w:t xml:space="preserve">4</w:t>
            </w:r>
          </w:p>
        </w:tc>
      </w:tr>
      <w:tr>
        <w:tc>
          <w:tcPr/>
          <w:p>
            <w:pPr>
              <w:pStyle w:val="Compact"/>
              <w:jc w:val="left"/>
            </w:pPr>
            <w:r>
              <w:t xml:space="preserve">deCAF: restCAF</w:t>
            </w:r>
          </w:p>
        </w:tc>
        <w:tc>
          <w:tcPr/>
          <w:p>
            <w:pPr>
              <w:pStyle w:val="Compact"/>
              <w:jc w:val="left"/>
            </w:pPr>
            <w:r>
              <w:t xml:space="preserve">Peng et al. 2026</w:t>
            </w:r>
          </w:p>
        </w:tc>
        <w:tc>
          <w:tcPr/>
          <w:p>
            <w:pPr>
              <w:pStyle w:val="Compact"/>
              <w:jc w:val="left"/>
            </w:pPr>
            <w:r>
              <w:t xml:space="preserve">9</w:t>
            </w:r>
          </w:p>
        </w:tc>
        <w:tc>
          <w:tcPr/>
          <w:p>
            <w:pPr>
              <w:pStyle w:val="Compact"/>
              <w:jc w:val="left"/>
            </w:pPr>
            <w:r>
              <w:t xml:space="preserve">8</w:t>
            </w:r>
          </w:p>
        </w:tc>
      </w:tr>
    </w:tbl>
    <w:p>
      <w:pPr>
        <w:pStyle w:val="BodyText"/>
      </w:pPr>
      <w:r>
        <w:rPr>
          <w:iCs/>
          <w:i/>
        </w:rPr>
        <w:t xml:space="preserve">The 45-program reference universe used for every factor-to-program correspondence analysis (main-text Fig. 2a,b; Supplementary Figs. [fig:fig-nmf-k7-heatmap] and [fig:fig-rpm]), generated from the same renamed and de-duplicated object the analyses read. Displayed alias is the row label used in the figures; Genes is the size of the published list; In analysis set is the number of those genes among the 1,970 analyzed genes, over which the Spearman correlation is computed. The SCISSORS restCAF and proCAF rows are the SCISSORS iCAF and myCAF signatures under DeCAF nomenclature. The two Puleo basal-like rows are different programs: the whole-tumor pure basal-like component and the tumor-compartment basal-like signature.</w:t>
      </w:r>
    </w:p>
    <w:bookmarkEnd w:id="39"/>
    <w:bookmarkStart w:id="40" w:name="X5aef97a5757f001f3698477374c0ce3518408db"/>
    <w:p>
      <w:pPr>
        <w:pStyle w:val="Heading1"/>
      </w:pPr>
      <w:r>
        <w:t xml:space="preserve">Reconstruction and Survival Contribution per Factor</w:t>
      </w:r>
    </w:p>
    <w:p>
      <w:pPr>
        <w:pStyle w:val="FirstParagraph"/>
      </w:pPr>
      <w:r>
        <w:t xml:space="preserve">NMF does not provide an orthogonal variance decomposition; it seeks a low-rank</w:t>
      </w:r>
      <w:r>
        <w:t xml:space="preserve"> </w:t>
      </w:r>
      <w:r>
        <w:t xml:space="preserve">reconstruction of the expression matrix</w:t>
      </w:r>
      <w:r>
        <w:t xml:space="preserve"> </w:t>
      </w:r>
      <m:oMath>
        <m:r>
          <m:t>X</m:t>
        </m:r>
        <m:r>
          <m:rPr>
            <m:sty m:val="p"/>
          </m:rPr>
          <m:t>≈</m:t>
        </m:r>
        <m:r>
          <m:t>W</m:t>
        </m:r>
        <m:r>
          <m:t>H</m:t>
        </m:r>
      </m:oMath>
      <w:r>
        <w:t xml:space="preserve">. We therefore measure</w:t>
      </w:r>
      <w:r>
        <w:t xml:space="preserve"> </w:t>
      </w:r>
      <w:r>
        <w:t xml:space="preserve">each factor’s contribution to reconstruction rather than to variance</w:t>
      </w:r>
      <w:r>
        <w:t xml:space="preserve"> </w:t>
      </w:r>
      <w:r>
        <w:t xml:space="preserve">explained. For a subset of factors</w:t>
      </w:r>
      <w:r>
        <w:t xml:space="preserve"> </w:t>
      </w:r>
      <m:oMath>
        <m:r>
          <m:t>S</m:t>
        </m:r>
        <m:r>
          <m:rPr>
            <m:sty m:val="p"/>
          </m:rPr>
          <m:t>⊆</m:t>
        </m:r>
        <m:r>
          <m:rPr>
            <m:sty m:val="p"/>
          </m:rPr>
          <m:t>{</m:t>
        </m:r>
        <m:r>
          <m:t>1</m:t>
        </m:r>
        <m:r>
          <m:rPr>
            <m:sty m:val="p"/>
          </m:rPr>
          <m:t>,</m:t>
        </m:r>
        <m:r>
          <m:rPr>
            <m:sty m:val="p"/>
          </m:rPr>
          <m:t>…</m:t>
        </m:r>
        <m:r>
          <m:rPr>
            <m:sty m:val="p"/>
          </m:rPr>
          <m:t>,</m:t>
        </m:r>
        <m:r>
          <m:t>k</m:t>
        </m:r>
        <m:r>
          <m:rPr>
            <m:sty m:val="p"/>
          </m:rPr>
          <m:t>}</m:t>
        </m:r>
      </m:oMath>
      <w:r>
        <w:t xml:space="preserve">, define the</w:t>
      </w:r>
      <w:r>
        <w:t xml:space="preserve"> </w:t>
      </w:r>
      <w:r>
        <w:t xml:space="preserve">reconstruction value</w:t>
      </w:r>
    </w:p>
    <w:p>
      <w:pPr>
        <w:pStyle w:val="BodyText"/>
      </w:pPr>
      <m:oMathPara>
        <m:oMathParaPr>
          <m:jc m:val="center"/>
        </m:oMathParaPr>
        <m:oMath>
          <m:r>
            <m:t>v</m:t>
          </m:r>
          <m:d>
            <m:dPr>
              <m:begChr m:val="("/>
              <m:endChr m:val=")"/>
              <m:sepChr m:val=""/>
              <m:grow/>
            </m:dPr>
            <m:e>
              <m:r>
                <m:t>S</m:t>
              </m:r>
            </m:e>
          </m:d>
          <m:r>
            <m:rPr>
              <m:sty m:val="p"/>
            </m:rPr>
            <m:t>=</m:t>
          </m:r>
          <m:r>
            <m:rPr>
              <m:sty m:val="p"/>
            </m:rPr>
            <m:t>∥</m:t>
          </m:r>
          <m:r>
            <m:t>X</m:t>
          </m:r>
          <m:sSubSup>
            <m:e>
              <m:r>
                <m:rPr>
                  <m:sty m:val="p"/>
                </m:rPr>
                <m:t>∥</m:t>
              </m:r>
            </m:e>
            <m:sub>
              <m:r>
                <m:t>F</m:t>
              </m:r>
            </m:sub>
            <m:sup>
              <m:r>
                <m:t>2</m:t>
              </m:r>
            </m:sup>
          </m:sSubSup>
          <m:r>
            <m:rPr>
              <m:sty m:val="p"/>
            </m:rPr>
            <m:t>−</m:t>
          </m:r>
          <m:r>
            <m:rPr>
              <m:sty m:val="p"/>
            </m:rPr>
            <m:t>∥</m:t>
          </m:r>
          <m:r>
            <m:t>X</m:t>
          </m:r>
          <m:r>
            <m:rPr>
              <m:sty m:val="p"/>
            </m:rPr>
            <m:t>−</m:t>
          </m:r>
          <m:nary>
            <m:naryPr>
              <m:chr m:val="∑"/>
              <m:limLoc m:val="undOvr"/>
              <m:subHide m:val="off"/>
              <m:supHide m:val="on"/>
            </m:naryPr>
            <m:sub>
              <m:r>
                <m:t>j</m:t>
              </m:r>
              <m:r>
                <m:rPr>
                  <m:sty m:val="p"/>
                </m:rPr>
                <m:t>∈</m:t>
              </m:r>
              <m:r>
                <m:t>S</m:t>
              </m:r>
            </m:sub>
            <m:sup>
              <m:r>
                <m:t>​</m:t>
              </m:r>
            </m:sup>
            <m:e>
              <m:sSub>
                <m:e>
                  <m:r>
                    <m:t>W</m:t>
                  </m:r>
                </m:e>
                <m:sub>
                  <m:r>
                    <m:rPr>
                      <m:sty m:val="p"/>
                    </m:rPr>
                    <m:t>⋅</m:t>
                  </m:r>
                  <m:r>
                    <m:t>j</m:t>
                  </m:r>
                </m:sub>
              </m:sSub>
            </m:e>
          </m:nary>
          <m:sSub>
            <m:e>
              <m:r>
                <m:t>H</m:t>
              </m:r>
            </m:e>
            <m:sub>
              <m:r>
                <m:t>j</m:t>
              </m:r>
              <m:r>
                <m:rPr>
                  <m:sty m:val="p"/>
                </m:rPr>
                <m:t>⋅</m:t>
              </m:r>
            </m:sub>
          </m:sSub>
          <m:sSubSup>
            <m:e>
              <m:r>
                <m:rPr>
                  <m:sty m:val="p"/>
                </m:rPr>
                <m:t>∥</m:t>
              </m:r>
            </m:e>
            <m:sub>
              <m:r>
                <m:t>F</m:t>
              </m:r>
            </m:sub>
            <m:sup>
              <m:r>
                <m:t>2</m:t>
              </m:r>
            </m:sup>
          </m:sSubSup>
          <m:r>
            <m:rPr>
              <m:sty m:val="p"/>
            </m:rPr>
            <m:t>,</m:t>
          </m:r>
        </m:oMath>
      </m:oMathPara>
    </w:p>
    <w:p>
      <w:pPr>
        <w:pStyle w:val="FirstParagraph"/>
      </w:pPr>
      <w:r>
        <w:t xml:space="preserve">the reduction in residual error relative to the null (zero-factor) model, where</w:t>
      </w:r>
      <w:r>
        <w:t xml:space="preserve"> </w:t>
      </w:r>
      <m:oMath>
        <m:sSub>
          <m:e>
            <m:r>
              <m:t>W</m:t>
            </m:r>
          </m:e>
          <m:sub>
            <m:r>
              <m:rPr>
                <m:sty m:val="p"/>
              </m:rPr>
              <m:t>⋅</m:t>
            </m:r>
            <m:r>
              <m:t>j</m:t>
            </m:r>
          </m:sub>
        </m:sSub>
        <m:sSub>
          <m:e>
            <m:r>
              <m:t>H</m:t>
            </m:r>
          </m:e>
          <m:sub>
            <m:r>
              <m:t>j</m:t>
            </m:r>
            <m:r>
              <m:rPr>
                <m:sty m:val="p"/>
              </m:rPr>
              <m:t>⋅</m:t>
            </m:r>
          </m:sub>
        </m:sSub>
      </m:oMath>
      <w:r>
        <w:t xml:space="preserve"> </w:t>
      </w:r>
      <w:r>
        <w:t xml:space="preserve">is the rank-one outer-product contribution of factor</w:t>
      </w:r>
      <w:r>
        <w:t xml:space="preserve"> </w:t>
      </w:r>
      <m:oMath>
        <m:r>
          <m:t>j</m:t>
        </m:r>
      </m:oMath>
      <w:r>
        <w:t xml:space="preserve"> </w:t>
      </w:r>
      <w:r>
        <w:t xml:space="preserve">(the outer product of column</w:t>
      </w:r>
      <w:r>
        <w:t xml:space="preserve"> </w:t>
      </w:r>
      <m:oMath>
        <m:r>
          <m:t>j</m:t>
        </m:r>
      </m:oMath>
      <w:r>
        <w:t xml:space="preserve"> </w:t>
      </w:r>
      <w:r>
        <w:t xml:space="preserve">of</w:t>
      </w:r>
      <w:r>
        <w:t xml:space="preserve"> </w:t>
      </w:r>
      <m:oMath>
        <m:r>
          <m:t>W</m:t>
        </m:r>
      </m:oMath>
      <w:r>
        <w:t xml:space="preserve"> </w:t>
      </w:r>
      <w:r>
        <w:t xml:space="preserve">with row</w:t>
      </w:r>
      <w:r>
        <w:t xml:space="preserve"> </w:t>
      </w:r>
      <m:oMath>
        <m:r>
          <m:t>j</m:t>
        </m:r>
      </m:oMath>
      <w:r>
        <w:t xml:space="preserve"> </w:t>
      </w:r>
      <w:r>
        <w:t xml:space="preserve">of</w:t>
      </w:r>
      <w:r>
        <w:t xml:space="preserve"> </w:t>
      </w:r>
      <m:oMath>
        <m:r>
          <m:t>H</m:t>
        </m:r>
      </m:oMath>
      <w:r>
        <w:t xml:space="preserve">). The</w:t>
      </w:r>
      <w:r>
        <w:t xml:space="preserve"> </w:t>
      </w:r>
      <w:r>
        <w:t xml:space="preserve">reconstruction Shapley value</w:t>
      </w:r>
      <w:hyperlink w:anchor="ref-shapley1953value">
        <w:r>
          <w:rPr>
            <w:rStyle w:val="Hyperlink"/>
            <w:vertAlign w:val="superscript"/>
          </w:rPr>
          <w:t xml:space="preserve">27</w:t>
        </w:r>
      </w:hyperlink>
      <w:r>
        <w:t xml:space="preserve"> </w:t>
      </w:r>
      <w:r>
        <w:t xml:space="preserve">of factor</w:t>
      </w:r>
      <w:r>
        <w:t xml:space="preserve"> </w:t>
      </w:r>
      <m:oMath>
        <m:r>
          <m:t>j</m:t>
        </m:r>
      </m:oMath>
      <w:r>
        <w:t xml:space="preserve">,</w:t>
      </w:r>
    </w:p>
    <w:p>
      <w:pPr>
        <w:pStyle w:val="BodyText"/>
      </w:pPr>
      <m:oMathPara>
        <m:oMathParaPr>
          <m:jc m:val="center"/>
        </m:oMathParaPr>
        <m:oMath>
          <m:sSub>
            <m:e>
              <m:r>
                <m:t>ϕ</m:t>
              </m:r>
            </m:e>
            <m:sub>
              <m:r>
                <m:t>j</m:t>
              </m:r>
            </m:sub>
          </m:sSub>
          <m:r>
            <m:rPr>
              <m:sty m:val="p"/>
            </m:rPr>
            <m:t>=</m:t>
          </m:r>
          <m:nary>
            <m:naryPr>
              <m:chr m:val="∑"/>
              <m:limLoc m:val="undOvr"/>
              <m:subHide m:val="off"/>
              <m:supHide m:val="on"/>
            </m:naryPr>
            <m:sub>
              <m:r>
                <m:t>S</m:t>
              </m:r>
              <m:r>
                <m:rPr>
                  <m:sty m:val="p"/>
                </m:rPr>
                <m:t>⊆</m:t>
              </m:r>
              <m:r>
                <m:rPr>
                  <m:sty m:val="p"/>
                </m:rPr>
                <m:t>{</m:t>
              </m:r>
              <m:r>
                <m:t>1</m:t>
              </m:r>
              <m:r>
                <m:rPr>
                  <m:sty m:val="p"/>
                </m:rPr>
                <m:t>,</m:t>
              </m:r>
              <m:r>
                <m:rPr>
                  <m:sty m:val="p"/>
                </m:rPr>
                <m:t>…</m:t>
              </m:r>
              <m:r>
                <m:rPr>
                  <m:sty m:val="p"/>
                </m:rPr>
                <m:t>,</m:t>
              </m:r>
              <m:r>
                <m:t>k</m:t>
              </m:r>
              <m:r>
                <m:rPr>
                  <m:sty m:val="p"/>
                </m:rPr>
                <m:t>}</m:t>
              </m:r>
              <m:r>
                <m:rPr>
                  <m:sty m:val="p"/>
                </m:rPr>
                <m:t>\</m:t>
              </m:r>
              <m:r>
                <m:rPr>
                  <m:sty m:val="p"/>
                </m:rPr>
                <m:t>{</m:t>
              </m:r>
              <m:r>
                <m:t>j</m:t>
              </m:r>
              <m:r>
                <m:rPr>
                  <m:sty m:val="p"/>
                </m:rPr>
                <m:t>}</m:t>
              </m:r>
            </m:sub>
            <m:sup>
              <m:r>
                <m:t>​</m:t>
              </m:r>
            </m:sup>
            <m:e>
              <m:f>
                <m:fPr>
                  <m:type m:val="bar"/>
                </m:fPr>
                <m:num>
                  <m:d>
                    <m:dPr>
                      <m:begChr m:val="|"/>
                      <m:endChr m:val="|"/>
                      <m:sepChr m:val=""/>
                      <m:grow/>
                    </m:dPr>
                    <m:e>
                      <m:r>
                        <m:t>S</m:t>
                      </m:r>
                    </m:e>
                  </m:d>
                  <m:r>
                    <m:rPr>
                      <m:sty m:val="p"/>
                    </m:rPr>
                    <m:t>!</m:t>
                  </m:r>
                  <m:r>
                    <m:t> </m:t>
                  </m:r>
                  <m:d>
                    <m:dPr>
                      <m:begChr m:val="("/>
                      <m:endChr m:val=")"/>
                      <m:sepChr m:val=""/>
                      <m:grow/>
                    </m:dPr>
                    <m:e>
                      <m:r>
                        <m:t>k</m:t>
                      </m:r>
                      <m:r>
                        <m:rPr>
                          <m:sty m:val="p"/>
                        </m:rPr>
                        <m:t>−</m:t>
                      </m:r>
                      <m:d>
                        <m:dPr>
                          <m:begChr m:val="|"/>
                          <m:endChr m:val="|"/>
                          <m:sepChr m:val=""/>
                          <m:grow/>
                        </m:dPr>
                        <m:e>
                          <m:r>
                            <m:t>S</m:t>
                          </m:r>
                        </m:e>
                      </m:d>
                      <m:r>
                        <m:rPr>
                          <m:sty m:val="p"/>
                        </m:rPr>
                        <m:t>−</m:t>
                      </m:r>
                      <m:r>
                        <m:t>1</m:t>
                      </m:r>
                    </m:e>
                  </m:d>
                  <m:r>
                    <m:rPr>
                      <m:sty m:val="p"/>
                    </m:rPr>
                    <m:t>!</m:t>
                  </m:r>
                </m:num>
                <m:den>
                  <m:r>
                    <m:t>k</m:t>
                  </m:r>
                  <m:r>
                    <m:rPr>
                      <m:sty m:val="p"/>
                    </m:rPr>
                    <m:t>!</m:t>
                  </m:r>
                </m:den>
              </m:f>
            </m:e>
          </m:nary>
          <m:r>
            <m:t> </m:t>
          </m:r>
          <m:d>
            <m:dPr>
              <m:begChr m:val="("/>
              <m:endChr m:val=")"/>
              <m:sepChr m:val=""/>
              <m:grow/>
            </m:dPr>
            <m:e>
              <m:r>
                <m:t>v</m:t>
              </m:r>
              <m:d>
                <m:dPr>
                  <m:begChr m:val="("/>
                  <m:endChr m:val=")"/>
                  <m:sepChr m:val=""/>
                  <m:grow/>
                </m:dPr>
                <m:e>
                  <m:r>
                    <m:t>S</m:t>
                  </m:r>
                  <m:r>
                    <m:rPr>
                      <m:sty m:val="p"/>
                    </m:rPr>
                    <m:t>∪</m:t>
                  </m:r>
                  <m:r>
                    <m:rPr>
                      <m:sty m:val="p"/>
                    </m:rPr>
                    <m:t>{</m:t>
                  </m:r>
                  <m:r>
                    <m:t>j</m:t>
                  </m:r>
                  <m:r>
                    <m:rPr>
                      <m:sty m:val="p"/>
                    </m:rPr>
                    <m:t>}</m:t>
                  </m:r>
                </m:e>
              </m:d>
              <m:r>
                <m:rPr>
                  <m:sty m:val="p"/>
                </m:rPr>
                <m:t>−</m:t>
              </m:r>
              <m:r>
                <m:t>v</m:t>
              </m:r>
              <m:d>
                <m:dPr>
                  <m:begChr m:val="("/>
                  <m:endChr m:val=")"/>
                  <m:sepChr m:val=""/>
                  <m:grow/>
                </m:dPr>
                <m:e>
                  <m:r>
                    <m:t>S</m:t>
                  </m:r>
                </m:e>
              </m:d>
            </m:e>
          </m:d>
          <m:r>
            <m:rPr>
              <m:sty m:val="p"/>
            </m:rPr>
            <m:t>,</m:t>
          </m:r>
        </m:oMath>
      </m:oMathPara>
    </w:p>
    <w:p>
      <w:pPr>
        <w:pStyle w:val="FirstParagraph"/>
      </w:pPr>
      <w:r>
        <w:t xml:space="preserve">is its average marginal reconstruction gain over all orderings of the factors.</w:t>
      </w:r>
    </w:p>
    <w:p>
      <w:pPr>
        <w:pStyle w:val="BodyText"/>
      </w:pPr>
      <w:r>
        <w:t xml:space="preserve">By the Shapley efficiency axiom,</w:t>
      </w:r>
      <w:r>
        <w:t xml:space="preserve"> </w:t>
      </w:r>
      <m:oMath>
        <m:nary>
          <m:naryPr>
            <m:chr m:val="∑"/>
            <m:limLoc m:val="undOvr"/>
            <m:subHide m:val="off"/>
            <m:supHide m:val="on"/>
          </m:naryPr>
          <m:sub>
            <m:r>
              <m:t>j</m:t>
            </m:r>
          </m:sub>
          <m:sup>
            <m:r>
              <m:t>​</m:t>
            </m:r>
          </m:sup>
          <m:e>
            <m:sSub>
              <m:e>
                <m:r>
                  <m:t>ϕ</m:t>
                </m:r>
              </m:e>
              <m:sub>
                <m:r>
                  <m:t>j</m:t>
                </m:r>
              </m:sub>
            </m:sSub>
          </m:e>
        </m:nary>
        <m:r>
          <m:rPr>
            <m:sty m:val="p"/>
          </m:rPr>
          <m:t>=</m:t>
        </m:r>
        <m:r>
          <m:t>v</m:t>
        </m:r>
        <m:d>
          <m:dPr>
            <m:begChr m:val="("/>
            <m:endChr m:val=")"/>
            <m:sepChr m:val=""/>
            <m:grow/>
          </m:dPr>
          <m:e>
            <m:r>
              <m:rPr>
                <m:sty m:val="p"/>
              </m:rPr>
              <m:t>{</m:t>
            </m:r>
            <m:r>
              <m:t>1</m:t>
            </m:r>
            <m:r>
              <m:rPr>
                <m:sty m:val="p"/>
              </m:rPr>
              <m:t>,</m:t>
            </m:r>
            <m:r>
              <m:rPr>
                <m:sty m:val="p"/>
              </m:rPr>
              <m:t>…</m:t>
            </m:r>
            <m:r>
              <m:rPr>
                <m:sty m:val="p"/>
              </m:rPr>
              <m:t>,</m:t>
            </m:r>
            <m:r>
              <m:t>k</m:t>
            </m:r>
            <m:r>
              <m:rPr>
                <m:sty m:val="p"/>
              </m:rPr>
              <m:t>}</m:t>
            </m:r>
          </m:e>
        </m:d>
      </m:oMath>
      <w:r>
        <w:t xml:space="preserve">, the total</w:t>
      </w:r>
      <w:r>
        <w:t xml:space="preserve"> </w:t>
      </w:r>
      <w:r>
        <w:t xml:space="preserve">reconstruction gain of the full model relative to the zero-factor</w:t>
      </w:r>
      <w:r>
        <w:t xml:space="preserve"> </w:t>
      </w:r>
      <w:r>
        <w:t xml:space="preserve">reconstruction, so the normalized shares</w:t>
      </w:r>
      <w:r>
        <w:t xml:space="preserve"> </w:t>
      </w:r>
      <m:oMath>
        <m:sSub>
          <m:e>
            <m:r>
              <m:t>ϕ</m:t>
            </m:r>
          </m:e>
          <m:sub>
            <m:r>
              <m:t>j</m:t>
            </m:r>
          </m:sub>
        </m:sSub>
        <m:r>
          <m:rPr>
            <m:sty m:val="p"/>
          </m:rPr>
          <m:t>/</m:t>
        </m:r>
        <m:nary>
          <m:naryPr>
            <m:chr m:val="∑"/>
            <m:limLoc m:val="undOvr"/>
            <m:subHide m:val="off"/>
            <m:supHide m:val="on"/>
          </m:naryPr>
          <m:sub>
            <m:r>
              <m:t>l</m:t>
            </m:r>
          </m:sub>
          <m:sup>
            <m:r>
              <m:t>​</m:t>
            </m:r>
          </m:sup>
          <m:e>
            <m:sSub>
              <m:e>
                <m:r>
                  <m:t>ϕ</m:t>
                </m:r>
              </m:e>
              <m:sub>
                <m:r>
                  <m:t>l</m:t>
                </m:r>
              </m:sub>
            </m:sSub>
          </m:e>
        </m:nary>
      </m:oMath>
      <w:r>
        <w:t xml:space="preserve"> </w:t>
      </w:r>
      <w:r>
        <w:t xml:space="preserve">form an</w:t>
      </w:r>
      <w:r>
        <w:t xml:space="preserve"> </w:t>
      </w:r>
      <w:r>
        <w:t xml:space="preserve">additive decomposition of that gain; they sum to one by construction and are</w:t>
      </w:r>
      <w:r>
        <w:t xml:space="preserve"> </w:t>
      </w:r>
      <w:r>
        <w:t xml:space="preserve">reported as percentages summing to 100%. Individual shares may be signed in</w:t>
      </w:r>
      <w:r>
        <w:t xml:space="preserve"> </w:t>
      </w:r>
      <w:r>
        <w:t xml:space="preserve">principle but were all positive in the reported PDAC models. The reconstruction</w:t>
      </w:r>
      <w:r>
        <w:t xml:space="preserve"> </w:t>
      </w:r>
      <w:r>
        <w:t xml:space="preserve">values</w:t>
      </w:r>
      <w:r>
        <w:t xml:space="preserve"> </w:t>
      </w:r>
      <m:oMath>
        <m:r>
          <m:t>v</m:t>
        </m:r>
        <m:d>
          <m:dPr>
            <m:begChr m:val="("/>
            <m:endChr m:val=")"/>
            <m:sepChr m:val=""/>
            <m:grow/>
          </m:dPr>
          <m:e>
            <m:r>
              <m:t>S</m:t>
            </m:r>
          </m:e>
        </m:d>
      </m:oMath>
      <w:r>
        <w:t xml:space="preserve"> </w:t>
      </w:r>
      <w:r>
        <w:t xml:space="preserve">are uncentered, taken about zero as written above, and grand-mean</w:t>
      </w:r>
      <w:r>
        <w:t xml:space="preserve"> </w:t>
      </w:r>
      <w:r>
        <w:t xml:space="preserve">centering enters only the separately reported centered</w:t>
      </w:r>
      <w:r>
        <w:t xml:space="preserve"> </w:t>
      </w:r>
      <m:oMath>
        <m:sSup>
          <m:e>
            <m:r>
              <m:t>R</m:t>
            </m:r>
          </m:e>
          <m:sup>
            <m:r>
              <m:t>2</m:t>
            </m:r>
          </m:sup>
        </m:sSup>
      </m:oMath>
      <w:r>
        <w:t xml:space="preserve"> </w:t>
      </w:r>
      <w:r>
        <w:t xml:space="preserve">of Cross-method</w:t>
      </w:r>
      <w:r>
        <w:t xml:space="preserve"> </w:t>
      </w:r>
      <w:r>
        <w:t xml:space="preserve">reconstructability and reconstruction fidelity. These quantities describe</w:t>
      </w:r>
      <w:r>
        <w:t xml:space="preserve"> </w:t>
      </w:r>
      <w:r>
        <w:t xml:space="preserve">different aspects of reconstruction and should not be interpreted as</w:t>
      </w:r>
      <w:r>
        <w:t xml:space="preserve"> </w:t>
      </w:r>
      <w:r>
        <w:t xml:space="preserve">interchangeable measures. This is a genuine additive decomposition, in contrast to per-factor</w:t>
      </w:r>
      <w:r>
        <w:t xml:space="preserve"> </w:t>
      </w:r>
      <w:r>
        <w:t xml:space="preserve">variance fractions, which for non-orthogonal factorizations such as NMF do not</w:t>
      </w:r>
      <w:r>
        <w:t xml:space="preserve"> </w:t>
      </w:r>
      <w:r>
        <w:t xml:space="preserve">partition (cross-terms between rank-one contributions are non-zero). The Shapley</w:t>
      </w:r>
      <w:r>
        <w:t xml:space="preserve"> </w:t>
      </w:r>
      <w:r>
        <w:t xml:space="preserve">shares are computed exactly by enumerating the</w:t>
      </w:r>
      <w:r>
        <w:t xml:space="preserve"> </w:t>
      </w:r>
      <m:oMath>
        <m:sSup>
          <m:e>
            <m:r>
              <m:t>2</m:t>
            </m:r>
          </m:e>
          <m:sup>
            <m:r>
              <m:t>k</m:t>
            </m:r>
          </m:sup>
        </m:sSup>
      </m:oMath>
      <w:r>
        <w:t xml:space="preserve"> </w:t>
      </w:r>
      <w:r>
        <w:t xml:space="preserve">subsets (trivial at the</w:t>
      </w:r>
      <w:r>
        <w:t xml:space="preserve"> </w:t>
      </w:r>
      <w:r>
        <w:t xml:space="preserve">small ranks considered here).</w:t>
      </w:r>
    </w:p>
    <w:p>
      <w:pPr>
        <w:pStyle w:val="BodyText"/>
      </w:pPr>
      <w:r>
        <w:t xml:space="preserve">The survival contribution of factor</w:t>
      </w:r>
      <w:r>
        <w:t xml:space="preserve"> </w:t>
      </w:r>
      <m:oMath>
        <m:r>
          <m:t>j</m:t>
        </m:r>
      </m:oMath>
      <w:r>
        <w:t xml:space="preserve"> </w:t>
      </w:r>
      <w:r>
        <w:t xml:space="preserve">was quantified as the Type III partial</w:t>
      </w:r>
      <w:r>
        <w:t xml:space="preserve"> </w:t>
      </w:r>
      <w:r>
        <w:t xml:space="preserve">likelihood increment, computed on full-support training scores</w:t>
      </w:r>
      <w:r>
        <w:t xml:space="preserve"> </w:t>
      </w:r>
      <m:oMath>
        <m:sSup>
          <m:e>
            <m:r>
              <m:t>W</m:t>
            </m:r>
          </m:e>
          <m:sup>
            <m:r>
              <m:rPr>
                <m:sty m:val="p"/>
              </m:rPr>
              <m:t>⊤</m:t>
            </m:r>
          </m:sup>
        </m:sSup>
        <m:r>
          <m:t>X</m:t>
        </m:r>
      </m:oMath>
      <w:r>
        <w:t xml:space="preserve"> </w:t>
      </w:r>
      <w:r>
        <w:t xml:space="preserve">over</w:t>
      </w:r>
      <w:r>
        <w:t xml:space="preserve"> </w:t>
      </w:r>
      <w:r>
        <w:t xml:space="preserve">all analyzed genes rather than on the truncated union support used for external</w:t>
      </w:r>
      <w:r>
        <w:t xml:space="preserve"> </w:t>
      </w:r>
      <w:r>
        <w:t xml:space="preserve">validation, as the reduction in Cox partial log-likelihood when factor</w:t>
      </w:r>
      <w:r>
        <w:t xml:space="preserve"> </w:t>
      </w:r>
      <m:oMath>
        <m:r>
          <m:t>j</m:t>
        </m:r>
      </m:oMath>
      <w:r>
        <w:t xml:space="preserve"> </w:t>
      </w:r>
      <w:r>
        <w:t xml:space="preserve">is</w:t>
      </w:r>
      <w:r>
        <w:t xml:space="preserve"> </w:t>
      </w:r>
      <w:r>
        <w:t xml:space="preserve">omitted from the full</w:t>
      </w:r>
      <w:r>
        <w:t xml:space="preserve"> </w:t>
      </w:r>
      <m:oMath>
        <m:r>
          <m:t>k</m:t>
        </m:r>
      </m:oMath>
      <w:r>
        <w:t xml:space="preserve">-factor model,</w:t>
      </w:r>
    </w:p>
    <w:p>
      <w:pPr>
        <w:pStyle w:val="BodyText"/>
      </w:pPr>
      <m:oMathPara>
        <m:oMathParaPr>
          <m:jc m:val="center"/>
        </m:oMathParaPr>
        <m:oMath>
          <m:r>
            <m:t>Δ</m:t>
          </m:r>
          <m:sSub>
            <m:e>
              <m:r>
                <m:rPr>
                  <m:sty m:val="p"/>
                </m:rPr>
                <m:t>ℓ</m:t>
              </m:r>
            </m:e>
            <m:sub>
              <m:r>
                <m:t>j</m:t>
              </m:r>
            </m:sub>
          </m:sSub>
          <m:r>
            <m:rPr>
              <m:sty m:val="p"/>
            </m:rPr>
            <m:t>=</m:t>
          </m:r>
          <m:sSub>
            <m:e>
              <m:r>
                <m:rPr>
                  <m:sty m:val="p"/>
                </m:rPr>
                <m:t>ℓ</m:t>
              </m:r>
            </m:e>
            <m:sub>
              <m:r>
                <m:rPr>
                  <m:nor/>
                  <m:sty m:val="p"/>
                </m:rPr>
                <m:t>full</m:t>
              </m:r>
            </m:sub>
          </m:sSub>
          <m:d>
            <m:dPr>
              <m:begChr m:val="("/>
              <m:endChr m:val=")"/>
              <m:sepChr m:val=""/>
              <m:grow/>
            </m:dPr>
            <m:e>
              <m:sSub>
                <m:e>
                  <m:acc>
                    <m:accPr>
                      <m:chr m:val="̂"/>
                    </m:accPr>
                    <m:e>
                      <m:r>
                        <m:t>β</m:t>
                      </m:r>
                    </m:e>
                  </m:acc>
                </m:e>
                <m:sub>
                  <m:r>
                    <m:rPr>
                      <m:nor/>
                      <m:sty m:val="p"/>
                    </m:rPr>
                    <m:t>full</m:t>
                  </m:r>
                </m:sub>
              </m:sSub>
            </m:e>
          </m:d>
          <m:r>
            <m:rPr>
              <m:sty m:val="p"/>
            </m:rPr>
            <m:t>−</m:t>
          </m:r>
          <m:sSub>
            <m:e>
              <m:r>
                <m:rPr>
                  <m:sty m:val="p"/>
                </m:rPr>
                <m:t>ℓ</m:t>
              </m:r>
            </m:e>
            <m:sub>
              <m:r>
                <m:rPr>
                  <m:sty m:val="p"/>
                </m:rPr>
                <m:t>−</m:t>
              </m:r>
              <m:r>
                <m:t>j</m:t>
              </m:r>
            </m:sub>
          </m:sSub>
          <m:d>
            <m:dPr>
              <m:begChr m:val="("/>
              <m:endChr m:val=")"/>
              <m:sepChr m:val=""/>
              <m:grow/>
            </m:dPr>
            <m:e>
              <m:sSub>
                <m:e>
                  <m:acc>
                    <m:accPr>
                      <m:chr m:val="̂"/>
                    </m:accPr>
                    <m:e>
                      <m:r>
                        <m:t>β</m:t>
                      </m:r>
                    </m:e>
                  </m:acc>
                </m:e>
                <m:sub>
                  <m:r>
                    <m:rPr>
                      <m:sty m:val="p"/>
                    </m:rPr>
                    <m:t>−</m:t>
                  </m:r>
                  <m:r>
                    <m:t>j</m:t>
                  </m:r>
                </m:sub>
              </m:sSub>
            </m:e>
          </m:d>
          <m:r>
            <m:rPr>
              <m:sty m:val="p"/>
            </m:rPr>
            <m:t>,</m:t>
          </m:r>
        </m:oMath>
      </m:oMathPara>
    </w:p>
    <w:p>
      <w:pPr>
        <w:pStyle w:val="FirstParagraph"/>
      </w:pPr>
      <w:r>
        <w:t xml:space="preserve">where</w:t>
      </w:r>
      <w:r>
        <w:t xml:space="preserve"> </w:t>
      </w:r>
      <m:oMath>
        <m:sSub>
          <m:e>
            <m:r>
              <m:rPr>
                <m:sty m:val="p"/>
              </m:rPr>
              <m:t>ℓ</m:t>
            </m:r>
          </m:e>
          <m:sub>
            <m:r>
              <m:rPr>
                <m:nor/>
                <m:sty m:val="p"/>
              </m:rPr>
              <m:t>full</m:t>
            </m:r>
          </m:sub>
        </m:sSub>
        <m:d>
          <m:dPr>
            <m:begChr m:val="("/>
            <m:endChr m:val=")"/>
            <m:sepChr m:val=""/>
            <m:grow/>
          </m:dPr>
          <m:e>
            <m:sSub>
              <m:e>
                <m:acc>
                  <m:accPr>
                    <m:chr m:val="̂"/>
                  </m:accPr>
                  <m:e>
                    <m:r>
                      <m:t>β</m:t>
                    </m:r>
                  </m:e>
                </m:acc>
              </m:e>
              <m:sub>
                <m:r>
                  <m:rPr>
                    <m:nor/>
                    <m:sty m:val="p"/>
                  </m:rPr>
                  <m:t>full</m:t>
                </m:r>
              </m:sub>
            </m:sSub>
          </m:e>
        </m:d>
      </m:oMath>
      <w:r>
        <w:t xml:space="preserve"> </w:t>
      </w:r>
      <w:r>
        <w:t xml:space="preserve">is the maximized unpenalized</w:t>
      </w:r>
      <w:r>
        <w:t xml:space="preserve"> </w:t>
      </w:r>
      <w:r>
        <w:t xml:space="preserve">Cox partial log-likelihood of the full</w:t>
      </w:r>
      <w:r>
        <w:t xml:space="preserve"> </w:t>
      </w:r>
      <m:oMath>
        <m:r>
          <m:t>k</m:t>
        </m:r>
      </m:oMath>
      <w:r>
        <w:t xml:space="preserve">-factor model and</w:t>
      </w:r>
      <w:r>
        <w:t xml:space="preserve"> </w:t>
      </w:r>
      <m:oMath>
        <m:sSub>
          <m:e>
            <m:r>
              <m:rPr>
                <m:sty m:val="p"/>
              </m:rPr>
              <m:t>ℓ</m:t>
            </m:r>
          </m:e>
          <m:sub>
            <m:r>
              <m:rPr>
                <m:sty m:val="p"/>
              </m:rPr>
              <m:t>−</m:t>
            </m:r>
            <m:r>
              <m:t>j</m:t>
            </m:r>
          </m:sub>
        </m:sSub>
        <m:d>
          <m:dPr>
            <m:begChr m:val="("/>
            <m:endChr m:val=")"/>
            <m:sepChr m:val=""/>
            <m:grow/>
          </m:dPr>
          <m:e>
            <m:sSub>
              <m:e>
                <m:acc>
                  <m:accPr>
                    <m:chr m:val="̂"/>
                  </m:accPr>
                  <m:e>
                    <m:r>
                      <m:t>β</m:t>
                    </m:r>
                  </m:e>
                </m:acc>
              </m:e>
              <m:sub>
                <m:r>
                  <m:rPr>
                    <m:sty m:val="p"/>
                  </m:rPr>
                  <m:t>−</m:t>
                </m:r>
                <m:r>
                  <m:t>j</m:t>
                </m:r>
              </m:sub>
            </m:sSub>
          </m:e>
        </m:d>
      </m:oMath>
      <w:r>
        <w:t xml:space="preserve"> </w:t>
      </w:r>
      <w:r>
        <w:t xml:space="preserve">is that of the reduced model refit on the remaining</w:t>
      </w:r>
      <w:r>
        <w:t xml:space="preserve"> </w:t>
      </w:r>
      <m:oMath>
        <m:r>
          <m:t>k</m:t>
        </m:r>
        <m:r>
          <m:rPr>
            <m:sty m:val="p"/>
          </m:rPr>
          <m:t>−</m:t>
        </m:r>
        <m:r>
          <m:t>1</m:t>
        </m:r>
      </m:oMath>
      <w:r>
        <w:t xml:space="preserve"> </w:t>
      </w:r>
      <w:r>
        <w:t xml:space="preserve">factors after omitting factor</w:t>
      </w:r>
      <w:r>
        <w:t xml:space="preserve"> </w:t>
      </w:r>
      <m:oMath>
        <m:r>
          <m:t>j</m:t>
        </m:r>
      </m:oMath>
      <w:r>
        <w:t xml:space="preserve">, each evaluated at its own maximum</w:t>
      </w:r>
      <w:r>
        <w:t xml:space="preserve"> </w:t>
      </w:r>
      <w:r>
        <w:t xml:space="preserve">partial likelihood estimate. Larger</w:t>
      </w:r>
      <w:r>
        <w:t xml:space="preserve"> </w:t>
      </w:r>
      <m:oMath>
        <m:r>
          <m:t>Δ</m:t>
        </m:r>
        <m:sSub>
          <m:e>
            <m:r>
              <m:rPr>
                <m:sty m:val="p"/>
              </m:rPr>
              <m:t>ℓ</m:t>
            </m:r>
          </m:e>
          <m:sub>
            <m:r>
              <m:t>j</m:t>
            </m:r>
          </m:sub>
        </m:sSub>
      </m:oMath>
      <w:r>
        <w:t xml:space="preserve"> </w:t>
      </w:r>
      <w:r>
        <w:t xml:space="preserve">indicates a greater conditional contribution of factor</w:t>
      </w:r>
      <w:r>
        <w:t xml:space="preserve"> </w:t>
      </w:r>
      <m:oMath>
        <m:r>
          <m:t>j</m:t>
        </m:r>
      </m:oMath>
      <w:r>
        <w:t xml:space="preserve"> </w:t>
      </w:r>
      <w:r>
        <w:t xml:space="preserve">to Cox model fit given the remaining factors. Unlike the reconstruction Shapley shares, these Type III increments are</w:t>
      </w:r>
      <w:r>
        <w:t xml:space="preserve"> </w:t>
      </w:r>
      <w:r>
        <w:t xml:space="preserve">conditional (each is evaluated against the full complement of the remaining</w:t>
      </w:r>
      <w:r>
        <w:t xml:space="preserve"> </w:t>
      </w:r>
      <m:oMath>
        <m:r>
          <m:t>k</m:t>
        </m:r>
        <m:r>
          <m:rPr>
            <m:sty m:val="p"/>
          </m:rPr>
          <m:t>−</m:t>
        </m:r>
        <m:r>
          <m:t>1</m:t>
        </m:r>
      </m:oMath>
      <w:r>
        <w:t xml:space="preserve"> </w:t>
      </w:r>
      <w:r>
        <w:t xml:space="preserve">factors) and are nonadditive: they do not partition the total model partial</w:t>
      </w:r>
      <w:r>
        <w:t xml:space="preserve"> </w:t>
      </w:r>
      <w:r>
        <w:t xml:space="preserve">likelihood and are not comparable across factors as variance-style shares. We</w:t>
      </w:r>
      <w:r>
        <w:t xml:space="preserve"> </w:t>
      </w:r>
      <w:r>
        <w:t xml:space="preserve">therefore report them as per-factor conditional increments rather than as an</w:t>
      </w:r>
      <w:r>
        <w:t xml:space="preserve"> </w:t>
      </w:r>
      <w:r>
        <w:t xml:space="preserve">additive survival decomposition. These are post-fit unpenalized Cox comparisons,</w:t>
      </w:r>
      <w:r>
        <w:t xml:space="preserve"> </w:t>
      </w:r>
      <w:r>
        <w:t xml:space="preserve">not differences obtained by deleting terms from the trained penalized DeSurv</w:t>
      </w:r>
      <w:r>
        <w:t xml:space="preserve"> </w:t>
      </w:r>
      <w:r>
        <w:t xml:space="preserve">predictor. Because the gene programs were learned using these training outcomes,</w:t>
      </w:r>
      <w:r>
        <w:t xml:space="preserve"> </w:t>
      </w:r>
      <w:r>
        <w:t xml:space="preserve">the increments describe the recovered representation and do not independently</w:t>
      </w:r>
      <w:r>
        <w:t xml:space="preserve"> </w:t>
      </w:r>
      <w:r>
        <w:t xml:space="preserve">validate prognostic relevance.</w:t>
      </w:r>
    </w:p>
    <w:p>
      <w:pPr>
        <w:pStyle w:val="BodyText"/>
      </w:pPr>
      <w:r>
        <w:t xml:space="preserve">These two quantities are plotted against each other in</w:t>
      </w:r>
      <w:r>
        <w:t xml:space="preserve"> </w:t>
      </w:r>
      <w:r>
        <w:t xml:space="preserve">main text, Fig. 2c. In PDAC at</w:t>
      </w:r>
      <w:r>
        <w:t xml:space="preserve"> </w:t>
      </w:r>
      <m:oMath>
        <m:r>
          <m:t>k</m:t>
        </m:r>
        <m:r>
          <m:rPr>
            <m:sty m:val="p"/>
          </m:rPr>
          <m:t>=</m:t>
        </m:r>
        <m:r>
          <m:t>3</m:t>
        </m:r>
      </m:oMath>
      <w:r>
        <w:t xml:space="preserve">, the reconstruction shares are</w:t>
      </w:r>
      <w:r>
        <w:t xml:space="preserve"> </w:t>
      </w:r>
      <m:oMath>
        <m:r>
          <m:t>41.8</m:t>
        </m:r>
        <m:r>
          <m:rPr>
            <m:sty m:val="p"/>
          </m:rPr>
          <m:t>%</m:t>
        </m:r>
        <m:r>
          <m:rPr>
            <m:sty m:val="p"/>
          </m:rPr>
          <m:t>/</m:t>
        </m:r>
        <m:r>
          <m:t>18.6</m:t>
        </m:r>
        <m:r>
          <m:rPr>
            <m:sty m:val="p"/>
          </m:rPr>
          <m:t>%</m:t>
        </m:r>
        <m:r>
          <m:rPr>
            <m:sty m:val="p"/>
          </m:rPr>
          <m:t>/</m:t>
        </m:r>
        <m:r>
          <m:t>39.7</m:t>
        </m:r>
        <m:r>
          <m:rPr>
            <m:sty m:val="p"/>
          </m:rPr>
          <m:t>%</m:t>
        </m:r>
      </m:oMath>
      <w:r>
        <w:t xml:space="preserve"> </w:t>
      </w:r>
      <w:r>
        <w:t xml:space="preserve">for NMF (N1/N2/N3) and</w:t>
      </w:r>
      <w:r>
        <w:t xml:space="preserve"> </w:t>
      </w:r>
      <m:oMath>
        <m:r>
          <m:t>18.8</m:t>
        </m:r>
        <m:r>
          <m:rPr>
            <m:sty m:val="p"/>
          </m:rPr>
          <m:t>%</m:t>
        </m:r>
        <m:r>
          <m:rPr>
            <m:sty m:val="p"/>
          </m:rPr>
          <m:t>/</m:t>
        </m:r>
        <m:r>
          <m:t>25.2</m:t>
        </m:r>
        <m:r>
          <m:rPr>
            <m:sty m:val="p"/>
          </m:rPr>
          <m:t>%</m:t>
        </m:r>
        <m:r>
          <m:rPr>
            <m:sty m:val="p"/>
          </m:rPr>
          <m:t>/</m:t>
        </m:r>
        <m:r>
          <m:t>56.0</m:t>
        </m:r>
        <m:r>
          <m:rPr>
            <m:sty m:val="p"/>
          </m:rPr>
          <m:t>%</m:t>
        </m:r>
      </m:oMath>
      <w:r>
        <w:t xml:space="preserve"> </w:t>
      </w:r>
      <w:r>
        <w:t xml:space="preserve">for DeSurv</w:t>
      </w:r>
      <w:r>
        <w:t xml:space="preserve"> </w:t>
      </w:r>
      <w:r>
        <w:t xml:space="preserve">(D1/D2/D3), while the survival contribution</w:t>
      </w:r>
      <w:r>
        <w:t xml:space="preserve"> </w:t>
      </w:r>
      <m:oMath>
        <m:r>
          <m:t>Δ</m:t>
        </m:r>
        <m:r>
          <m:rPr>
            <m:sty m:val="p"/>
          </m:rPr>
          <m:t>ℓ</m:t>
        </m:r>
      </m:oMath>
      <w:r>
        <w:t xml:space="preserve"> </w:t>
      </w:r>
      <w:r>
        <w:t xml:space="preserve">concentrates in DeSurv</w:t>
      </w:r>
      <w:r>
        <w:t xml:space="preserve"> </w:t>
      </w:r>
      <w:r>
        <w:t xml:space="preserve">D1 (</w:t>
      </w:r>
      <m:oMath>
        <m:r>
          <m:t>Δ</m:t>
        </m:r>
        <m:r>
          <m:rPr>
            <m:sty m:val="p"/>
          </m:rPr>
          <m:t>ℓ</m:t>
        </m:r>
        <m:r>
          <m:rPr>
            <m:sty m:val="p"/>
          </m:rPr>
          <m:t>=</m:t>
        </m:r>
        <m:r>
          <m:t>66.4</m:t>
        </m:r>
      </m:oMath>
      <w:r>
        <w:t xml:space="preserve">) with all NMF factors small</w:t>
      </w:r>
      <w:r>
        <w:t xml:space="preserve"> </w:t>
      </w:r>
      <w:r>
        <w:t xml:space="preserve">(</w:t>
      </w:r>
      <m:oMath>
        <m:r>
          <m:t>Δ</m:t>
        </m:r>
        <m:r>
          <m:rPr>
            <m:sty m:val="p"/>
          </m:rPr>
          <m:t>ℓ</m:t>
        </m:r>
        <m:r>
          <m:rPr>
            <m:sty m:val="p"/>
          </m:rPr>
          <m:t>≤</m:t>
        </m:r>
        <m:r>
          <m:t>1.2</m:t>
        </m:r>
      </m:oMath>
      <w:r>
        <w:t xml:space="preserve">).</w:t>
      </w:r>
    </w:p>
    <w:bookmarkEnd w:id="40"/>
    <w:bookmarkStart w:id="41" w:name="factor-correspondence-analysis"/>
    <w:p>
      <w:pPr>
        <w:pStyle w:val="Heading1"/>
      </w:pPr>
      <w:r>
        <w:t xml:space="preserve">Factor Correspondence Analysis</w:t>
      </w:r>
    </w:p>
    <w:p>
      <w:pPr>
        <w:pStyle w:val="FirstParagraph"/>
      </w:pPr>
      <w:r>
        <w:t xml:space="preserve">To assess which biological programs are preserved, altered, or suppressed</w:t>
      </w:r>
      <w:r>
        <w:t xml:space="preserve"> </w:t>
      </w:r>
      <w:r>
        <w:t xml:space="preserve">under survival supervision, we quantified the pairwise correspondence between</w:t>
      </w:r>
      <w:r>
        <w:t xml:space="preserve"> </w:t>
      </w:r>
      <w:r>
        <w:t xml:space="preserve">NMF and DeSurv factor loadings. For each pair of factors</w:t>
      </w:r>
      <w:r>
        <w:t xml:space="preserve"> </w:t>
      </w:r>
      <m:oMath>
        <m:d>
          <m:dPr>
            <m:begChr m:val="("/>
            <m:endChr m:val=")"/>
            <m:sepChr m:val=""/>
            <m:grow/>
          </m:dPr>
          <m:e>
            <m:sSub>
              <m:e>
                <m:r>
                  <m:t>j</m:t>
                </m:r>
              </m:e>
              <m:sub>
                <m:r>
                  <m:rPr>
                    <m:nor/>
                    <m:sty m:val="p"/>
                  </m:rPr>
                  <m:t>NMF</m:t>
                </m:r>
              </m:sub>
            </m:sSub>
            <m:r>
              <m:rPr>
                <m:sty m:val="p"/>
              </m:rPr>
              <m:t>,</m:t>
            </m:r>
            <m:r>
              <m:t> </m:t>
            </m:r>
            <m:sSub>
              <m:e>
                <m:r>
                  <m:t>j</m:t>
                </m:r>
              </m:e>
              <m:sub>
                <m:r>
                  <m:rPr>
                    <m:nor/>
                    <m:sty m:val="p"/>
                  </m:rPr>
                  <m:t>DeSurv</m:t>
                </m:r>
              </m:sub>
            </m:sSub>
          </m:e>
        </m:d>
      </m:oMath>
      <w:r>
        <w:t xml:space="preserve">, we computed the Spearman rank</w:t>
      </w:r>
      <w:r>
        <w:t xml:space="preserve"> </w:t>
      </w:r>
      <w:r>
        <w:t xml:space="preserve">correlation between the corresponding columns of the NMF gene program matrix</w:t>
      </w:r>
      <w:r>
        <w:t xml:space="preserve"> </w:t>
      </w:r>
      <m:oMath>
        <m:sSub>
          <m:e>
            <m:r>
              <m:t>W</m:t>
            </m:r>
          </m:e>
          <m:sub>
            <m:r>
              <m:rPr>
                <m:nor/>
                <m:sty m:val="p"/>
              </m:rPr>
              <m:t>NMF</m:t>
            </m:r>
          </m:sub>
        </m:sSub>
      </m:oMath>
      <w:r>
        <w:t xml:space="preserve"> </w:t>
      </w:r>
      <w:r>
        <w:t xml:space="preserve">and the DeSurv gene program matrix</w:t>
      </w:r>
      <w:r>
        <w:t xml:space="preserve"> </w:t>
      </w:r>
      <m:oMath>
        <m:sSub>
          <m:e>
            <m:r>
              <m:t>W</m:t>
            </m:r>
          </m:e>
          <m:sub>
            <m:r>
              <m:rPr>
                <m:nor/>
                <m:sty m:val="p"/>
              </m:rPr>
              <m:t>DeSurv</m:t>
            </m:r>
          </m:sub>
        </m:sSub>
      </m:oMath>
      <w:r>
        <w:t xml:space="preserve"> </w:t>
      </w:r>
      <w:r>
        <w:t xml:space="preserve">over all</w:t>
      </w:r>
      <w:r>
        <w:t xml:space="preserve"> </w:t>
      </w:r>
      <w:r>
        <w:t xml:space="preserve">genes. We use the full loading profile rather than a top-gene subset, which</w:t>
      </w:r>
      <w:r>
        <w:t xml:space="preserve"> </w:t>
      </w:r>
      <w:r>
        <w:t xml:space="preserve">would impose a threshold and overstate apparent preservation.</w:t>
      </w:r>
      <w:r>
        <w:t xml:space="preserve"> </w:t>
      </w:r>
      <w:r>
        <w:t xml:space="preserve">Spearman correlation was used to capture monotone correspondence in gene loading</w:t>
      </w:r>
      <w:r>
        <w:t xml:space="preserve"> </w:t>
      </w:r>
      <w:r>
        <w:t xml:space="preserve">ranks while remaining robust to scale differences between the two methods.</w:t>
      </w:r>
      <w:r>
        <w:t xml:space="preserve"> </w:t>
      </w:r>
      <w:r>
        <w:t xml:space="preserve">Results are displayed as a heatmap with NMF factors as rows and DeSurv factors</w:t>
      </w:r>
      <w:r>
        <w:t xml:space="preserve"> </w:t>
      </w:r>
      <w:r>
        <w:t xml:space="preserve">as columns (main text, Fig. 2d).</w:t>
      </w:r>
    </w:p>
    <w:bookmarkEnd w:id="41"/>
    <w:bookmarkStart w:id="42" w:name="analysis-scripts-and-cached-objects"/>
    <w:p>
      <w:pPr>
        <w:pStyle w:val="Heading1"/>
      </w:pPr>
      <w:r>
        <w:t xml:space="preserve">Analysis scripts and cached objects</w:t>
      </w:r>
    </w:p>
    <w:p>
      <w:pPr>
        <w:pStyle w:val="FirstParagraph"/>
      </w:pPr>
      <w:r>
        <w:t xml:space="preserve">Numerical results from the analyses are read at render time from cached</w:t>
      </w:r>
      <w:r>
        <w:t xml:space="preserve"> </w:t>
      </w:r>
      <w:r>
        <w:t xml:space="preserve">analysis objects rather than transcribed manually. Table [tab:scripts] indexes the scripts referred</w:t>
      </w:r>
      <w:r>
        <w:t xml:space="preserve"> </w:t>
      </w:r>
      <w:r>
        <w:t xml:space="preserve">to in this document by the analysis they perform, so that the prose above and</w:t>
      </w:r>
      <w:r>
        <w:t xml:space="preserve"> </w:t>
      </w:r>
      <w:r>
        <w:t xml:space="preserve">below can name analyses rather than files.</w:t>
      </w:r>
    </w:p>
    <w:p>
      <w:pPr>
        <w:pStyle w:val="BodyText"/>
      </w:pPr>
      <w:r>
        <w:t xml:space="preserve">p{9.5cm}l}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Script</w:t>
            </w:r>
          </w:p>
        </w:tc>
        <w:tc>
          <w:tcPr/>
          <w:p>
            <w:pPr>
              <w:pStyle w:val="Compact"/>
              <w:jc w:val="left"/>
            </w:pPr>
            <w:r>
              <w:t xml:space="preserve">Analysis</w:t>
            </w:r>
          </w:p>
        </w:tc>
        <w:tc>
          <w:tcPr/>
          <w:p>
            <w:pPr>
              <w:pStyle w:val="Compact"/>
              <w:jc w:val="left"/>
            </w:pPr>
            <w:r>
              <w:t xml:space="preserve">Read in</w:t>
            </w:r>
          </w:p>
        </w:tc>
      </w:tr>
      <w:tr>
        <w:tc>
          <w:tcPr/>
          <w:p>
            <w:pPr>
              <w:pStyle w:val="Compact"/>
              <w:jc w:val="left"/>
            </w:pPr>
            <w:r>
              <w:t xml:space="preserve">code/03</w:t>
            </w:r>
          </w:p>
        </w:tc>
        <w:tc>
          <w:tcPr/>
          <w:p>
            <w:pPr>
              <w:pStyle w:val="Compact"/>
              <w:jc w:val="left"/>
            </w:pPr>
            <w:r>
              <w:t xml:space="preserve">Bayesian optimization of hyperparameters; the matched-budget refinement with</w:t>
            </w:r>
            <w:r>
              <w:t xml:space="preserve"> </w:t>
            </w:r>
            <m:oMath>
              <m:r>
                <m:t>α</m:t>
              </m:r>
            </m:oMath>
            <w:r>
              <w:t xml:space="preserve"> </w:t>
            </w:r>
            <w:r>
              <w:t xml:space="preserve">pinned at 0</w:t>
            </w:r>
          </w:p>
        </w:tc>
        <w:tc>
          <w:tcPr/>
          <w:p>
            <w:pPr>
              <w:pStyle w:val="Compact"/>
              <w:jc w:val="left"/>
            </w:pPr>
            <w:r>
              <w:t xml:space="preserve">Sections [sec:bo], [sec:matched]</w:t>
            </w:r>
          </w:p>
        </w:tc>
      </w:tr>
      <w:tr>
        <w:tc>
          <w:tcPr/>
          <w:p>
            <w:pPr>
              <w:pStyle w:val="Compact"/>
              <w:jc w:val="left"/>
            </w:pPr>
            <w:r>
              <w:t xml:space="preserve">code/04</w:t>
            </w:r>
          </w:p>
        </w:tc>
        <w:tc>
          <w:tcPr/>
          <w:p>
            <w:pPr>
              <w:pStyle w:val="Compact"/>
              <w:jc w:val="left"/>
            </w:pPr>
            <w:r>
              <w:t xml:space="preserve">Final fits: 100-restart consensus fits for DeSurv and the two</w:t>
            </w:r>
            <w:r>
              <w:t xml:space="preserve"> </w:t>
            </w:r>
            <m:oMath>
              <m:r>
                <m:t>α</m:t>
              </m:r>
              <m:r>
                <m:rPr>
                  <m:sty m:val="p"/>
                </m:rPr>
                <m:t>=</m:t>
              </m:r>
              <m:r>
                <m:t>0</m:t>
              </m:r>
            </m:oMath>
            <w:r>
              <w:t xml:space="preserve"> </w:t>
            </w:r>
            <w:r>
              <w:t xml:space="preserve">controls; best-of-30-run</w:t>
            </w:r>
            <w:r>
              <w:t xml:space="preserve"> </w:t>
            </w:r>
            <w:r>
              <w:rPr>
                <w:rStyle w:val="VerbatimChar"/>
              </w:rPr>
              <w:t xml:space="preserve">NMF::nmf</w:t>
            </w:r>
            <w:r>
              <w:t xml:space="preserve"> </w:t>
            </w:r>
            <w:r>
              <w:t xml:space="preserve">fits for standard NMF at matched and elbow rank, each with a post hoc Cox fit</w:t>
            </w:r>
          </w:p>
        </w:tc>
        <w:tc>
          <w:tcPr/>
          <w:p>
            <w:pPr>
              <w:pStyle w:val="Compact"/>
              <w:jc w:val="left"/>
            </w:pPr>
            <w:r>
              <w:t xml:space="preserve">Sections [sec:consensus-init], [sec:progstab]</w:t>
            </w:r>
          </w:p>
        </w:tc>
      </w:tr>
      <w:tr>
        <w:tc>
          <w:tcPr/>
          <w:p>
            <w:pPr>
              <w:pStyle w:val="Compact"/>
              <w:jc w:val="left"/>
            </w:pPr>
            <w:r>
              <w:t xml:space="preserve">code/05</w:t>
            </w:r>
          </w:p>
        </w:tc>
        <w:tc>
          <w:tcPr/>
          <w:p>
            <w:pPr>
              <w:pStyle w:val="Compact"/>
              <w:jc w:val="left"/>
            </w:pPr>
            <w:r>
              <w:t xml:space="preserve">External validation: frozen projection, linear predictor and per-dataset C-index</w:t>
            </w:r>
          </w:p>
        </w:tc>
        <w:tc>
          <w:tcPr/>
          <w:p>
            <w:pPr>
              <w:pStyle w:val="Compact"/>
              <w:jc w:val="left"/>
            </w:pPr>
            <w:r>
              <w:t xml:space="preserve">Sections [sec:survival], [sec:het]</w:t>
            </w:r>
          </w:p>
        </w:tc>
      </w:tr>
      <w:tr>
        <w:tc>
          <w:tcPr/>
          <w:p>
            <w:pPr>
              <w:pStyle w:val="Compact"/>
              <w:jc w:val="left"/>
            </w:pPr>
            <w:r>
              <w:t xml:space="preserve">code/06</w:t>
            </w:r>
          </w:p>
        </w:tc>
        <w:tc>
          <w:tcPr/>
          <w:p>
            <w:pPr>
              <w:pStyle w:val="Compact"/>
              <w:jc w:val="left"/>
            </w:pPr>
            <w:r>
              <w:t xml:space="preserve">Fixed-hyperparameter</w:t>
            </w:r>
            <w:r>
              <w:t xml:space="preserve"> </w:t>
            </w:r>
            <m:oMath>
              <m:r>
                <m:t>k</m:t>
              </m:r>
              <m:r>
                <m:rPr>
                  <m:sty m:val="p"/>
                </m:rPr>
                <m:t>×</m:t>
              </m:r>
              <m:r>
                <m:t>α</m:t>
              </m:r>
            </m:oMath>
            <w:r>
              <w:t xml:space="preserve"> </w:t>
            </w:r>
            <w:r>
              <w:t xml:space="preserve">cross-validation grid and its external-validation curve</w:t>
            </w:r>
          </w:p>
        </w:tc>
        <w:tc>
          <w:tcPr/>
          <w:p>
            <w:pPr>
              <w:pStyle w:val="Compact"/>
              <w:jc w:val="left"/>
            </w:pPr>
            <w:r>
              <w:t xml:space="preserve">Sections [sec:cvk], [sec:coverage]</w:t>
            </w:r>
          </w:p>
        </w:tc>
      </w:tr>
      <w:tr>
        <w:tc>
          <w:tcPr/>
          <w:p>
            <w:pPr>
              <w:pStyle w:val="Compact"/>
              <w:jc w:val="left"/>
            </w:pPr>
            <w:r>
              <w:t xml:space="preserve">code/07</w:t>
            </w:r>
          </w:p>
        </w:tc>
        <w:tc>
          <w:tcPr/>
          <w:p>
            <w:pPr>
              <w:pStyle w:val="Compact"/>
              <w:jc w:val="left"/>
            </w:pPr>
            <w:r>
              <w:t xml:space="preserve">Simulation studies (three scenarios, 100 replicates each)</w:t>
            </w:r>
          </w:p>
        </w:tc>
        <w:tc>
          <w:tcPr/>
          <w:p>
            <w:pPr>
              <w:pStyle w:val="Compact"/>
              <w:jc w:val="left"/>
            </w:pPr>
            <w:r>
              <w:t xml:space="preserve">Section [sec:sim]</w:t>
            </w:r>
          </w:p>
        </w:tc>
      </w:tr>
      <w:tr>
        <w:tc>
          <w:tcPr/>
          <w:p>
            <w:pPr>
              <w:pStyle w:val="Compact"/>
              <w:jc w:val="left"/>
            </w:pPr>
            <w:r>
              <w:t xml:space="preserve">code/11</w:t>
            </w:r>
          </w:p>
        </w:tc>
        <w:tc>
          <w:tcPr/>
          <w:p>
            <w:pPr>
              <w:pStyle w:val="Compact"/>
              <w:jc w:val="left"/>
            </w:pPr>
            <w:r>
              <w:t xml:space="preserve">Treated-cohort analyses (O’Kane/COMPASS arm-stratified D1; Linehan paired D2)</w:t>
            </w:r>
          </w:p>
        </w:tc>
        <w:tc>
          <w:tcPr/>
          <w:p>
            <w:pPr>
              <w:pStyle w:val="Compact"/>
              <w:jc w:val="left"/>
            </w:pPr>
            <w:r>
              <w:t xml:space="preserve">Section [si:treated]</w:t>
            </w:r>
          </w:p>
        </w:tc>
      </w:tr>
      <w:tr>
        <w:tc>
          <w:tcPr/>
          <w:p>
            <w:pPr>
              <w:pStyle w:val="Compact"/>
              <w:jc w:val="left"/>
            </w:pPr>
            <w:r>
              <w:t xml:space="preserve">code/14</w:t>
            </w:r>
          </w:p>
        </w:tc>
        <w:tc>
          <w:tcPr/>
          <w:p>
            <w:pPr>
              <w:pStyle w:val="Compact"/>
              <w:jc w:val="left"/>
            </w:pPr>
            <w:r>
              <w:t xml:space="preserve">Variance partition of the D1 score; additive and interaction adjustment for PurIST and DeCAF</w:t>
            </w:r>
          </w:p>
        </w:tc>
        <w:tc>
          <w:tcPr/>
          <w:p>
            <w:pPr>
              <w:pStyle w:val="Compact"/>
              <w:jc w:val="left"/>
            </w:pPr>
            <w:r>
              <w:t xml:space="preserve">Section [sec:varpart]</w:t>
            </w:r>
          </w:p>
        </w:tc>
      </w:tr>
      <w:tr>
        <w:tc>
          <w:tcPr/>
          <w:p>
            <w:pPr>
              <w:pStyle w:val="Compact"/>
              <w:jc w:val="left"/>
            </w:pPr>
            <w:r>
              <w:t xml:space="preserve">code/15</w:t>
            </w:r>
          </w:p>
        </w:tc>
        <w:tc>
          <w:tcPr/>
          <w:p>
            <w:pPr>
              <w:pStyle w:val="Compact"/>
              <w:jc w:val="left"/>
            </w:pPr>
            <w:r>
              <w:t xml:space="preserve">Single-component supervised comparators and recovery of the D1 axis</w:t>
            </w:r>
          </w:p>
        </w:tc>
        <w:tc>
          <w:tcPr/>
          <w:p>
            <w:pPr>
              <w:pStyle w:val="Compact"/>
              <w:jc w:val="left"/>
            </w:pPr>
            <w:r>
              <w:t xml:space="preserve">Section [sec:d1axis]</w:t>
            </w:r>
          </w:p>
        </w:tc>
      </w:tr>
      <w:tr>
        <w:tc>
          <w:tcPr/>
          <w:p>
            <w:pPr>
              <w:pStyle w:val="Compact"/>
              <w:jc w:val="left"/>
            </w:pPr>
            <w:r>
              <w:t xml:space="preserve">code/16</w:t>
            </w:r>
          </w:p>
        </w:tc>
        <w:tc>
          <w:tcPr/>
          <w:p>
            <w:pPr>
              <w:pStyle w:val="Compact"/>
              <w:jc w:val="left"/>
            </w:pPr>
            <w:r>
              <w:t xml:space="preserve">Subsample stability of top-gene sets across methods</w:t>
            </w:r>
          </w:p>
        </w:tc>
        <w:tc>
          <w:tcPr/>
          <w:p>
            <w:pPr>
              <w:pStyle w:val="Compact"/>
              <w:jc w:val="left"/>
            </w:pPr>
            <w:r>
              <w:t xml:space="preserve">Section [sec:progstab]</w:t>
            </w:r>
          </w:p>
        </w:tc>
      </w:tr>
      <w:tr>
        <w:tc>
          <w:tcPr/>
          <w:p>
            <w:pPr>
              <w:pStyle w:val="Compact"/>
              <w:jc w:val="left"/>
            </w:pPr>
            <w:r>
              <w:t xml:space="preserve">code/17</w:t>
            </w:r>
          </w:p>
        </w:tc>
        <w:tc>
          <w:tcPr/>
          <w:p>
            <w:pPr>
              <w:pStyle w:val="Compact"/>
              <w:jc w:val="left"/>
            </w:pPr>
            <w:r>
              <w:t xml:space="preserve">Proper-scoring sensitivity (integrated Brier score, IPA)</w:t>
            </w:r>
          </w:p>
        </w:tc>
        <w:tc>
          <w:tcPr/>
          <w:p>
            <w:pPr>
              <w:pStyle w:val="Compact"/>
              <w:jc w:val="left"/>
            </w:pPr>
            <w:r>
              <w:t xml:space="preserve">Section [sec:brier]</w:t>
            </w:r>
          </w:p>
        </w:tc>
      </w:tr>
      <w:tr>
        <w:tc>
          <w:tcPr/>
          <w:p>
            <w:pPr>
              <w:pStyle w:val="Compact"/>
              <w:jc w:val="left"/>
            </w:pPr>
            <w:r>
              <w:t xml:space="preserve">code/18</w:t>
            </w:r>
          </w:p>
        </w:tc>
        <w:tc>
          <w:tcPr/>
          <w:p>
            <w:pPr>
              <w:pStyle w:val="Compact"/>
              <w:jc w:val="left"/>
            </w:pPr>
            <w:r>
              <w:t xml:space="preserve">Clinical-covariate and tumor-purity adjustment by cohort</w:t>
            </w:r>
          </w:p>
        </w:tc>
        <w:tc>
          <w:tcPr/>
          <w:p>
            <w:pPr>
              <w:pStyle w:val="Compact"/>
              <w:jc w:val="left"/>
            </w:pPr>
            <w:r>
              <w:t xml:space="preserve">Section [sec:purity]</w:t>
            </w:r>
          </w:p>
        </w:tc>
      </w:tr>
      <w:tr>
        <w:tc>
          <w:tcPr/>
          <w:p>
            <w:pPr>
              <w:pStyle w:val="Compact"/>
              <w:jc w:val="left"/>
            </w:pPr>
            <w:r>
              <w:t xml:space="preserve">code/19</w:t>
            </w:r>
          </w:p>
        </w:tc>
        <w:tc>
          <w:tcPr/>
          <w:p>
            <w:pPr>
              <w:pStyle w:val="Compact"/>
              <w:jc w:val="left"/>
            </w:pPr>
            <w:r>
              <w:t xml:space="preserve">Independently tuned supervised comparators, axis decomposition and compartment attribution</w:t>
            </w:r>
          </w:p>
        </w:tc>
        <w:tc>
          <w:tcPr/>
          <w:p>
            <w:pPr>
              <w:pStyle w:val="Compact"/>
              <w:jc w:val="left"/>
            </w:pPr>
            <w:r>
              <w:t xml:space="preserve">Section [sec:tuned]</w:t>
            </w:r>
          </w:p>
        </w:tc>
      </w:tr>
      <w:tr>
        <w:tc>
          <w:tcPr/>
          <w:p>
            <w:pPr>
              <w:pStyle w:val="Compact"/>
              <w:jc w:val="left"/>
            </w:pPr>
            <w:r>
              <w:t xml:space="preserve">code/20</w:t>
            </w:r>
          </w:p>
        </w:tc>
        <w:tc>
          <w:tcPr/>
          <w:p>
            <w:pPr>
              <w:pStyle w:val="Compact"/>
              <w:jc w:val="left"/>
            </w:pPr>
            <w:r>
              <w:t xml:space="preserve">Dispersion of individual random restarts</w:t>
            </w:r>
          </w:p>
        </w:tc>
        <w:tc>
          <w:tcPr/>
          <w:p>
            <w:pPr>
              <w:pStyle w:val="Compact"/>
              <w:jc w:val="left"/>
            </w:pPr>
            <w:r>
              <w:t xml:space="preserve">Section [sec:progstab]</w:t>
            </w:r>
          </w:p>
        </w:tc>
      </w:tr>
      <w:tr>
        <w:tc>
          <w:tcPr/>
          <w:p>
            <w:pPr>
              <w:pStyle w:val="Compact"/>
              <w:jc w:val="left"/>
            </w:pPr>
            <w:r>
              <w:t xml:space="preserve">code/21</w:t>
            </w:r>
          </w:p>
        </w:tc>
        <w:tc>
          <w:tcPr/>
          <w:p>
            <w:pPr>
              <w:pStyle w:val="Compact"/>
              <w:jc w:val="left"/>
            </w:pPr>
            <w:r>
              <w:t xml:space="preserve">Reproducibility of the consensus endpoint from disjoint restart halves</w:t>
            </w:r>
          </w:p>
        </w:tc>
        <w:tc>
          <w:tcPr/>
          <w:p>
            <w:pPr>
              <w:pStyle w:val="Compact"/>
              <w:jc w:val="left"/>
            </w:pPr>
            <w:r>
              <w:t xml:space="preserve">Section [sec:progstab]</w:t>
            </w:r>
          </w:p>
        </w:tc>
      </w:tr>
      <w:tr>
        <w:tc>
          <w:tcPr/>
          <w:p>
            <w:pPr>
              <w:pStyle w:val="Compact"/>
              <w:jc w:val="left"/>
            </w:pPr>
            <w:r>
              <w:t xml:space="preserve">code/23</w:t>
            </w:r>
          </w:p>
        </w:tc>
        <w:tc>
          <w:tcPr/>
          <w:p>
            <w:pPr>
              <w:pStyle w:val="Compact"/>
              <w:jc w:val="left"/>
            </w:pPr>
            <w:r>
              <w:t xml:space="preserve">Stromal reference-program resolution (top-gene and full-gene views)</w:t>
            </w:r>
          </w:p>
        </w:tc>
        <w:tc>
          <w:tcPr/>
          <w:p>
            <w:pPr>
              <w:pStyle w:val="Compact"/>
              <w:jc w:val="left"/>
            </w:pPr>
            <w:r>
              <w:t xml:space="preserve">Section [sec:stroma]</w:t>
            </w:r>
          </w:p>
        </w:tc>
      </w:tr>
      <w:tr>
        <w:tc>
          <w:tcPr/>
          <w:p>
            <w:pPr>
              <w:pStyle w:val="Compact"/>
              <w:jc w:val="left"/>
            </w:pPr>
            <w:r>
              <w:t xml:space="preserve">code/24</w:t>
            </w:r>
          </w:p>
        </w:tc>
        <w:tc>
          <w:tcPr/>
          <w:p>
            <w:pPr>
              <w:pStyle w:val="Compact"/>
              <w:jc w:val="left"/>
            </w:pPr>
            <w:r>
              <w:t xml:space="preserve">Reference-program coverage, edges and multiplicity by rank; the reference-universe table</w:t>
            </w:r>
          </w:p>
        </w:tc>
        <w:tc>
          <w:tcPr/>
          <w:p>
            <w:pPr>
              <w:pStyle w:val="Compact"/>
              <w:jc w:val="left"/>
            </w:pPr>
            <w:r>
              <w:t xml:space="preserve">Sections [sec:gene-program-correlation], [sec:coverage]</w:t>
            </w:r>
          </w:p>
        </w:tc>
      </w:tr>
      <w:tr>
        <w:tc>
          <w:tcPr/>
          <w:p>
            <w:pPr>
              <w:pStyle w:val="Compact"/>
              <w:jc w:val="left"/>
            </w:pPr>
            <w:r>
              <w:t xml:space="preserve">code/25</w:t>
            </w:r>
          </w:p>
        </w:tc>
        <w:tc>
          <w:tcPr/>
          <w:p>
            <w:pPr>
              <w:pStyle w:val="Compact"/>
              <w:jc w:val="left"/>
            </w:pPr>
            <w:r>
              <w:t xml:space="preserve">Between-cohort heterogeneity, proportional-hazards diagnostic and bootstrap C-index intervals</w:t>
            </w:r>
          </w:p>
        </w:tc>
        <w:tc>
          <w:tcPr/>
          <w:p>
            <w:pPr>
              <w:pStyle w:val="Compact"/>
              <w:jc w:val="left"/>
            </w:pPr>
            <w:r>
              <w:t xml:space="preserve">Sections [sec:ph], [sec:het]</w:t>
            </w:r>
          </w:p>
        </w:tc>
      </w:tr>
      <w:tr>
        <w:tc>
          <w:tcPr/>
          <w:p>
            <w:pPr>
              <w:pStyle w:val="Compact"/>
              <w:jc w:val="left"/>
            </w:pPr>
            <w:r>
              <w:t xml:space="preserve">code/26</w:t>
            </w:r>
          </w:p>
        </w:tc>
        <w:tc>
          <w:tcPr/>
          <w:p>
            <w:pPr>
              <w:pStyle w:val="Compact"/>
              <w:jc w:val="left"/>
            </w:pPr>
            <w:r>
              <w:t xml:space="preserve">Reconstruction of the gradient-scaling factor</w:t>
            </w:r>
            <w:r>
              <w:t xml:space="preserve"> </w:t>
            </w:r>
            <m:oMath>
              <m:r>
                <m:t>ζ</m:t>
              </m:r>
            </m:oMath>
            <w:r>
              <w:t xml:space="preserve"> </w:t>
            </w:r>
            <w:r>
              <w:t xml:space="preserve">along the production optimization path</w:t>
            </w:r>
          </w:p>
        </w:tc>
        <w:tc>
          <w:tcPr/>
          <w:p>
            <w:pPr>
              <w:pStyle w:val="Compact"/>
              <w:jc w:val="left"/>
            </w:pPr>
            <w:r>
              <w:t xml:space="preserve">Sections [sec:wupdate], [sec:progstab]</w:t>
            </w:r>
          </w:p>
        </w:tc>
      </w:tr>
    </w:tbl>
    <w:p>
      <w:pPr>
        <w:pStyle w:val="BodyText"/>
      </w:pPr>
      <w:r>
        <w:rPr>
          <w:iCs/>
          <w:i/>
        </w:rPr>
        <w:t xml:space="preserve">Index of analysis scripts. Scripts are numbered as in the code repository; helper functions shared by several scripts (de-duplication of PACA-AU patients, validation scoring, elbow selection) are called from the scripts listed. Section numbers refer to this document.</w:t>
      </w:r>
    </w:p>
    <w:bookmarkEnd w:id="42"/>
    <w:bookmarkStart w:id="43" w:name="supplementary-results"/>
    <w:p>
      <w:pPr>
        <w:pStyle w:val="Heading1"/>
      </w:pPr>
      <w:r>
        <w:t xml:space="preserve">Supplementary Results</w:t>
      </w:r>
    </w:p>
    <w:bookmarkEnd w:id="43"/>
    <w:bookmarkStart w:id="44" w:name="Xe6ac4b0c6b90b090fd37dec025b0814a2daa6b9"/>
    <w:p>
      <w:pPr>
        <w:pStyle w:val="Heading1"/>
      </w:pPr>
      <w:r>
        <w:t xml:space="preserve">Cross-method reconstructability and reconstruction fidelity</w:t>
      </w:r>
    </w:p>
    <w:p>
      <w:pPr>
        <w:pStyle w:val="FirstParagraph"/>
      </w:pPr>
      <w:r>
        <w:t xml:space="preserve">The factor-correspondence heatmap of Section [sec:factor-correspondence] (main-text Fig. 2d) summarizes pairwise similarity; to make a direction-aware</w:t>
      </w:r>
      <w:r>
        <w:t xml:space="preserve"> </w:t>
      </w:r>
      <w:r>
        <w:t xml:space="preserve">statement of how much of each factor is</w:t>
      </w:r>
      <w:r>
        <w:t xml:space="preserve"> </w:t>
      </w:r>
      <w:r>
        <w:rPr>
          <w:iCs/>
          <w:i/>
        </w:rPr>
        <w:t xml:space="preserve">linearly reconstructable</w:t>
      </w:r>
      <w:r>
        <w:t xml:space="preserve"> </w:t>
      </w:r>
      <w:r>
        <w:t xml:space="preserve">from the</w:t>
      </w:r>
      <w:r>
        <w:t xml:space="preserve"> </w:t>
      </w:r>
      <w:r>
        <w:t xml:space="preserve">other method’s basis, we regressed each factor’s gene-loading vector onto the full</w:t>
      </w:r>
      <w:r>
        <w:t xml:space="preserve"> </w:t>
      </w:r>
      <w:r>
        <w:t xml:space="preserve">set of the other method’s loading vectors and report the ordinary least-squares</w:t>
      </w:r>
      <w:r>
        <w:t xml:space="preserve"> </w:t>
      </w:r>
      <m:oMath>
        <m:sSup>
          <m:e>
            <m:r>
              <m:t>R</m:t>
            </m:r>
          </m:e>
          <m:sup>
            <m:r>
              <m:t>2</m:t>
            </m:r>
          </m:sup>
        </m:sSup>
      </m:oMath>
      <w:r>
        <w:t xml:space="preserve"> </w:t>
      </w:r>
      <w:r>
        <w:t xml:space="preserve">(Table [tab:projection-r2]). A high</w:t>
      </w:r>
      <w:r>
        <w:t xml:space="preserve"> </w:t>
      </w:r>
      <m:oMath>
        <m:sSup>
          <m:e>
            <m:r>
              <m:t>R</m:t>
            </m:r>
          </m:e>
          <m:sup>
            <m:r>
              <m:t>2</m:t>
            </m:r>
          </m:sup>
        </m:sSup>
      </m:oMath>
      <w:r>
        <w:t xml:space="preserve"> </w:t>
      </w:r>
      <w:r>
        <w:t xml:space="preserve">means the factor is well</w:t>
      </w:r>
      <w:r>
        <w:t xml:space="preserve"> </w:t>
      </w:r>
      <w:r>
        <w:t xml:space="preserve">reconstructed as a linear combination of the other method’s factors; a low</w:t>
      </w:r>
      <w:r>
        <w:t xml:space="preserve"> </w:t>
      </w:r>
      <m:oMath>
        <m:sSup>
          <m:e>
            <m:r>
              <m:t>R</m:t>
            </m:r>
          </m:e>
          <m:sup>
            <m:r>
              <m:t>2</m:t>
            </m:r>
          </m:sup>
        </m:sSup>
      </m:oMath>
      <w:r>
        <w:t xml:space="preserve"> </w:t>
      </w:r>
      <w:r>
        <w:t xml:space="preserve">means it is not linearly reconstructable from that basis. This is a statement</w:t>
      </w:r>
      <w:r>
        <w:t xml:space="preserve"> </w:t>
      </w:r>
      <w:r>
        <w:t xml:space="preserve">about linear reconstructability of gene-loading vectors, not about which method</w:t>
      </w:r>
      <w:r>
        <w:t xml:space="preserve"> </w:t>
      </w:r>
      <w:r>
        <w:t xml:space="preserve">discovered a program first.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Factor</w:t>
            </w:r>
          </w:p>
        </w:tc>
        <w:tc>
          <w:tcPr/>
          <w:p>
            <w:pPr>
              <w:pStyle w:val="Compact"/>
              <w:jc w:val="left"/>
            </w:pPr>
            <m:oMath>
              <m:sSup>
                <m:e>
                  <m:r>
                    <m:t>R</m:t>
                  </m:r>
                </m:e>
                <m:sup>
                  <m:r>
                    <m:t>2</m:t>
                  </m:r>
                </m:sup>
              </m:sSup>
            </m:oMath>
            <w:r>
              <w:t xml:space="preserve"> </w:t>
            </w:r>
            <w:r>
              <w:t xml:space="preserve">from the other method’s basis</w:t>
            </w:r>
          </w:p>
        </w:tc>
      </w:tr>
      <w:tr>
        <w:tc>
          <w:tcPr/>
          <w:p>
            <w:pPr>
              <w:pStyle w:val="Compact"/>
              <w:jc w:val="left"/>
            </w:pPr>
            <w:r>
              <w:t xml:space="preserve">NMF N1 (tumor)</w:t>
            </w:r>
          </w:p>
        </w:tc>
        <w:tc>
          <w:tcPr/>
          <w:p>
            <w:pPr>
              <w:pStyle w:val="Compact"/>
              <w:jc w:val="left"/>
            </w:pPr>
            <w:r>
              <w:t xml:space="preserve">0.90</w:t>
            </w:r>
          </w:p>
        </w:tc>
      </w:tr>
      <w:tr>
        <w:tc>
          <w:tcPr/>
          <w:p>
            <w:pPr>
              <w:pStyle w:val="Compact"/>
              <w:jc w:val="left"/>
            </w:pPr>
            <w:r>
              <w:t xml:space="preserve">NMF N2 (exocrine)</w:t>
            </w:r>
          </w:p>
        </w:tc>
        <w:tc>
          <w:tcPr/>
          <w:p>
            <w:pPr>
              <w:pStyle w:val="Compact"/>
              <w:jc w:val="left"/>
            </w:pPr>
            <w:r>
              <w:t xml:space="preserve">0.38</w:t>
            </w:r>
          </w:p>
        </w:tc>
      </w:tr>
      <w:tr>
        <w:tc>
          <w:tcPr/>
          <w:p>
            <w:pPr>
              <w:pStyle w:val="Compact"/>
              <w:jc w:val="left"/>
            </w:pPr>
            <w:r>
              <w:t xml:space="preserve">NMF N3 (microenviron.)</w:t>
            </w:r>
          </w:p>
        </w:tc>
        <w:tc>
          <w:tcPr/>
          <w:p>
            <w:pPr>
              <w:pStyle w:val="Compact"/>
              <w:jc w:val="left"/>
            </w:pPr>
            <w:r>
              <w:t xml:space="preserve">0.88</w:t>
            </w:r>
          </w:p>
        </w:tc>
      </w:tr>
      <w:tr>
        <w:tc>
          <w:tcPr/>
          <w:p>
            <w:pPr>
              <w:pStyle w:val="Compact"/>
              <w:jc w:val="left"/>
            </w:pPr>
            <w:r>
              <w:t xml:space="preserve">DeSurv D1 (classical/restCAF-like)</w:t>
            </w:r>
          </w:p>
        </w:tc>
        <w:tc>
          <w:tcPr/>
          <w:p>
            <w:pPr>
              <w:pStyle w:val="Compact"/>
              <w:jc w:val="left"/>
            </w:pPr>
            <w:r>
              <w:t xml:space="preserve">0.09</w:t>
            </w:r>
          </w:p>
        </w:tc>
      </w:tr>
      <w:tr>
        <w:tc>
          <w:tcPr/>
          <w:p>
            <w:pPr>
              <w:pStyle w:val="Compact"/>
              <w:jc w:val="left"/>
            </w:pPr>
            <w:r>
              <w:t xml:space="preserve">DeSurv D2 (proCAF-like)</w:t>
            </w:r>
          </w:p>
        </w:tc>
        <w:tc>
          <w:tcPr/>
          <w:p>
            <w:pPr>
              <w:pStyle w:val="Compact"/>
              <w:jc w:val="left"/>
            </w:pPr>
            <w:r>
              <w:t xml:space="preserve">0.81</w:t>
            </w:r>
          </w:p>
        </w:tc>
      </w:tr>
      <w:tr>
        <w:tc>
          <w:tcPr/>
          <w:p>
            <w:pPr>
              <w:pStyle w:val="Compact"/>
              <w:jc w:val="left"/>
            </w:pPr>
            <w:r>
              <w:t xml:space="preserve">DeSurv D3 (basal-like)</w:t>
            </w:r>
          </w:p>
        </w:tc>
        <w:tc>
          <w:tcPr/>
          <w:p>
            <w:pPr>
              <w:pStyle w:val="Compact"/>
              <w:jc w:val="left"/>
            </w:pPr>
            <w:r>
              <w:t xml:space="preserve">0.75</w:t>
            </w:r>
          </w:p>
        </w:tc>
      </w:tr>
    </w:tbl>
    <w:p>
      <w:pPr>
        <w:pStyle w:val="BodyText"/>
      </w:pPr>
      <w:r>
        <w:rPr>
          <w:iCs/>
          <w:i/>
        </w:rPr>
        <w:t xml:space="preserve">Cross-method projection</w:t>
      </w:r>
      <w:r>
        <w:rPr>
          <w:iCs/>
          <w:i/>
        </w:rPr>
        <w:t xml:space="preserve"> </w:t>
      </w:r>
      <m:oMath>
        <m:sSup>
          <m:e>
            <m:r>
              <m:t>R</m:t>
            </m:r>
          </m:e>
          <m:sup>
            <m:r>
              <m:t>2</m:t>
            </m:r>
          </m:sup>
        </m:sSup>
      </m:oMath>
      <w:r>
        <w:rPr>
          <w:iCs/>
          <w:i/>
        </w:rPr>
        <w:t xml:space="preserve">: how reconstructable each factor’s gene-loading vector is from the other method’s full basis (OLS</w:t>
      </w:r>
      <w:r>
        <w:rPr>
          <w:iCs/>
          <w:i/>
        </w:rPr>
        <w:t xml:space="preserve"> </w:t>
      </w:r>
      <m:oMath>
        <m:sSup>
          <m:e>
            <m:r>
              <m:t>R</m:t>
            </m:r>
          </m:e>
          <m:sup>
            <m:r>
              <m:t>2</m:t>
            </m:r>
          </m:sup>
        </m:sSup>
      </m:oMath>
      <w:r>
        <w:rPr>
          <w:iCs/>
          <w:i/>
        </w:rPr>
        <w:t xml:space="preserve">). DeSurv retains the bulk of the unsupervised structure (NMF N1 and N3 carry over at</w:t>
      </w:r>
      <w:r>
        <w:rPr>
          <w:iCs/>
          <w:i/>
        </w:rPr>
        <w:t xml:space="preserve"> </w:t>
      </w:r>
      <m:oMath>
        <m:sSup>
          <m:e>
            <m:r>
              <m:t>R</m:t>
            </m:r>
          </m:e>
          <m:sup>
            <m:r>
              <m:t>2</m:t>
            </m:r>
          </m:sup>
        </m:sSup>
        <m:r>
          <m:rPr>
            <m:sty m:val="p"/>
          </m:rPr>
          <m:t>≥</m:t>
        </m:r>
        <m:r>
          <m:t>0.88</m:t>
        </m:r>
      </m:oMath>
      <w:r>
        <w:rPr>
          <w:iCs/>
          <w:i/>
        </w:rPr>
        <w:t xml:space="preserve">) and reorganizes it: the survival-aligned D1 program is essentially unreconstructable from the NMF basis (</w:t>
      </w:r>
      <m:oMath>
        <m:sSup>
          <m:e>
            <m:r>
              <m:t>R</m:t>
            </m:r>
          </m:e>
          <m:sup>
            <m:r>
              <m:t>2</m:t>
            </m:r>
          </m:sup>
        </m:sSup>
        <m:r>
          <m:rPr>
            <m:sty m:val="p"/>
          </m:rPr>
          <m:t>=</m:t>
        </m:r>
        <m:r>
          <m:t>0.09</m:t>
        </m:r>
      </m:oMath>
      <w:r>
        <w:rPr>
          <w:iCs/>
          <w:i/>
        </w:rPr>
        <w:t xml:space="preserve">), while the exocrine NMF factor N2 is poorly reconstructed from the DeSurv basis (</w:t>
      </w:r>
      <m:oMath>
        <m:sSup>
          <m:e>
            <m:r>
              <m:t>R</m:t>
            </m:r>
          </m:e>
          <m:sup>
            <m:r>
              <m:t>2</m:t>
            </m:r>
          </m:sup>
        </m:sSup>
        <m:r>
          <m:rPr>
            <m:sty m:val="p"/>
          </m:rPr>
          <m:t>=</m:t>
        </m:r>
        <m:r>
          <m:t>0.38</m:t>
        </m:r>
      </m:oMath>
      <w:r>
        <w:rPr>
          <w:iCs/>
          <w:i/>
        </w:rPr>
        <w:t xml:space="preserve">).</w:t>
      </w:r>
    </w:p>
    <w:p>
      <w:pPr>
        <w:pStyle w:val="BodyText"/>
      </w:pPr>
      <w:r>
        <w:t xml:space="preserve">DeSurv D1 is reconstructed at</w:t>
      </w:r>
      <w:r>
        <w:t xml:space="preserve"> </w:t>
      </w:r>
      <m:oMath>
        <m:sSup>
          <m:e>
            <m:r>
              <m:t>R</m:t>
            </m:r>
          </m:e>
          <m:sup>
            <m:r>
              <m:t>2</m:t>
            </m:r>
          </m:sup>
        </m:sSup>
        <m:r>
          <m:rPr>
            <m:sty m:val="p"/>
          </m:rPr>
          <m:t>=</m:t>
        </m:r>
        <m:r>
          <m:t>0.09</m:t>
        </m:r>
      </m:oMath>
      <w:r>
        <w:t xml:space="preserve"> </w:t>
      </w:r>
      <w:r>
        <w:t xml:space="preserve">from the NMF basis: its</w:t>
      </w:r>
      <w:r>
        <w:t xml:space="preserve"> </w:t>
      </w:r>
      <w:r>
        <w:t xml:space="preserve">gene-loading vector is not well reconstructed as a linear combination of the</w:t>
      </w:r>
      <w:r>
        <w:t xml:space="preserve"> </w:t>
      </w:r>
      <w:r>
        <w:t xml:space="preserve">matched-rank NMF factors. The biologically dominant tumor (N1) and stromal (N3)</w:t>
      </w:r>
      <w:r>
        <w:t xml:space="preserve"> </w:t>
      </w:r>
      <w:r>
        <w:t xml:space="preserve">programs, by contrast, are largely reconstructable from the DeSurv basis</w:t>
      </w:r>
      <w:r>
        <w:t xml:space="preserve"> </w:t>
      </w:r>
      <w:r>
        <w:t xml:space="preserve">(</w:t>
      </w:r>
      <m:oMath>
        <m:sSup>
          <m:e>
            <m:r>
              <m:t>R</m:t>
            </m:r>
          </m:e>
          <m:sup>
            <m:r>
              <m:t>2</m:t>
            </m:r>
          </m:sup>
        </m:sSup>
        <m:r>
          <m:rPr>
            <m:sty m:val="p"/>
          </m:rPr>
          <m:t>=</m:t>
        </m:r>
        <m:r>
          <m:t>0.90</m:t>
        </m:r>
      </m:oMath>
      <w:r>
        <w:t xml:space="preserve"> </w:t>
      </w:r>
      <w:r>
        <w:t xml:space="preserve">and</w:t>
      </w:r>
      <w:r>
        <w:t xml:space="preserve"> </w:t>
      </w:r>
      <m:oMath>
        <m:r>
          <m:t>0.88</m:t>
        </m:r>
      </m:oMath>
      <w:r>
        <w:t xml:space="preserve">), so most of the unsupervised structure is</w:t>
      </w:r>
      <w:r>
        <w:t xml:space="preserve"> </w:t>
      </w:r>
      <w:r>
        <w:t xml:space="preserve">retained; the principal reorganization is that the DeSurv basis resolves tumor</w:t>
      </w:r>
      <w:r>
        <w:t xml:space="preserve"> </w:t>
      </w:r>
      <w:r>
        <w:t xml:space="preserve">signal into basal- and classical-aligned programs while reconstructing the</w:t>
      </w:r>
      <w:r>
        <w:t xml:space="preserve"> </w:t>
      </w:r>
      <w:r>
        <w:t xml:space="preserve">exocrine factor (N2) less well (</w:t>
      </w:r>
      <m:oMath>
        <m:sSup>
          <m:e>
            <m:r>
              <m:t>R</m:t>
            </m:r>
          </m:e>
          <m:sup>
            <m:r>
              <m:t>2</m:t>
            </m:r>
          </m:sup>
        </m:sSup>
        <m:r>
          <m:rPr>
            <m:sty m:val="p"/>
          </m:rPr>
          <m:t>=</m:t>
        </m:r>
        <m:r>
          <m:t>0.38</m:t>
        </m:r>
      </m:oMath>
      <w:r>
        <w:t xml:space="preserve">).</w:t>
      </w:r>
    </w:p>
    <w:p>
      <w:pPr>
        <w:pStyle w:val="BodyText"/>
      </w:pPr>
      <w:r>
        <w:t xml:space="preserve">At the whole-matrix level, this reorganization carries a real but bounded reconstruction cost (Table [tab:overall-r2]). On the conventional centered</w:t>
      </w:r>
      <w:r>
        <w:t xml:space="preserve"> </w:t>
      </w:r>
      <m:oMath>
        <m:sSup>
          <m:e>
            <m:r>
              <m:t>R</m:t>
            </m:r>
          </m:e>
          <m:sup>
            <m:r>
              <m:t>2</m:t>
            </m:r>
          </m:sup>
        </m:sSup>
      </m:oMath>
      <w:r>
        <w:t xml:space="preserve">, DeSurv reconstructs 0.75 of the analysis matrix against 0.81 for unsupervised NMF, a difference of 6.0 percentage points and a relative loss of about 7%; this centered figure is the one reported in the main text. On the uncentered scale the gap is only 1.5 percentage points, but that scale flatters any nonnegative low-rank fit to a rank matrix.</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Model</w:t>
            </w:r>
          </w:p>
        </w:tc>
        <w:tc>
          <w:tcPr/>
          <w:p>
            <w:pPr>
              <w:pStyle w:val="Compact"/>
              <w:jc w:val="left"/>
            </w:pPr>
            <w:r>
              <w:t xml:space="preserve">Centered</w:t>
            </w:r>
            <w:r>
              <w:t xml:space="preserve"> </w:t>
            </w:r>
            <m:oMath>
              <m:sSup>
                <m:e>
                  <m:r>
                    <m:t>R</m:t>
                  </m:r>
                </m:e>
                <m:sup>
                  <m:r>
                    <m:t>2</m:t>
                  </m:r>
                </m:sup>
              </m:sSup>
            </m:oMath>
          </w:p>
        </w:tc>
        <w:tc>
          <w:tcPr/>
          <w:p>
            <w:pPr>
              <w:pStyle w:val="Compact"/>
              <w:jc w:val="left"/>
            </w:pPr>
            <w:r>
              <w:t xml:space="preserve">Uncentered</w:t>
            </w:r>
            <w:r>
              <w:t xml:space="preserve"> </w:t>
            </w:r>
            <m:oMath>
              <m:sSup>
                <m:e>
                  <m:r>
                    <m:t>R</m:t>
                  </m:r>
                </m:e>
                <m:sup>
                  <m:r>
                    <m:t>2</m:t>
                  </m:r>
                </m:sup>
              </m:sSup>
            </m:oMath>
          </w:p>
        </w:tc>
        <w:tc>
          <w:tcPr/>
          <w:p>
            <w:pPr>
              <w:pStyle w:val="Compact"/>
              <w:jc w:val="left"/>
            </w:pPr>
            <w:r>
              <w:t xml:space="preserve">Residual fraction (centered)</w:t>
            </w:r>
          </w:p>
        </w:tc>
      </w:tr>
      <w:tr>
        <w:tc>
          <w:tcPr/>
          <w:p>
            <w:pPr>
              <w:pStyle w:val="Compact"/>
              <w:jc w:val="left"/>
            </w:pPr>
            <w:r>
              <w:t xml:space="preserve">NMF (</w:t>
            </w:r>
            <m:oMath>
              <m:r>
                <m:t>k</m:t>
              </m:r>
              <m:r>
                <m:rPr>
                  <m:sty m:val="p"/>
                </m:rPr>
                <m:t>=</m:t>
              </m:r>
              <m:r>
                <m:t>3</m:t>
              </m:r>
            </m:oMath>
            <w:r>
              <w:t xml:space="preserve">)</w:t>
            </w:r>
          </w:p>
        </w:tc>
        <w:tc>
          <w:tcPr/>
          <w:p>
            <w:pPr>
              <w:pStyle w:val="Compact"/>
              <w:jc w:val="left"/>
            </w:pPr>
            <w:r>
              <w:t xml:space="preserve">0.812</w:t>
            </w:r>
          </w:p>
        </w:tc>
        <w:tc>
          <w:tcPr/>
          <w:p>
            <w:pPr>
              <w:pStyle w:val="Compact"/>
              <w:jc w:val="left"/>
            </w:pPr>
            <w:r>
              <w:t xml:space="preserve">0.953</w:t>
            </w:r>
          </w:p>
        </w:tc>
        <w:tc>
          <w:tcPr/>
          <w:p>
            <w:pPr>
              <w:pStyle w:val="Compact"/>
              <w:jc w:val="left"/>
            </w:pPr>
            <w:r>
              <w:t xml:space="preserve">0.188</w:t>
            </w:r>
          </w:p>
        </w:tc>
      </w:tr>
      <w:tr>
        <w:tc>
          <w:tcPr/>
          <w:p>
            <w:pPr>
              <w:pStyle w:val="Compact"/>
              <w:jc w:val="left"/>
            </w:pPr>
            <w:r>
              <w:t xml:space="preserve">DeSurv (</w:t>
            </w:r>
            <m:oMath>
              <m:r>
                <m:t>k</m:t>
              </m:r>
              <m:r>
                <m:rPr>
                  <m:sty m:val="p"/>
                </m:rPr>
                <m:t>=</m:t>
              </m:r>
              <m:r>
                <m:t>3</m:t>
              </m:r>
            </m:oMath>
            <w:r>
              <w:t xml:space="preserve">)</w:t>
            </w:r>
          </w:p>
        </w:tc>
        <w:tc>
          <w:tcPr/>
          <w:p>
            <w:pPr>
              <w:pStyle w:val="Compact"/>
              <w:jc w:val="left"/>
            </w:pPr>
            <w:r>
              <w:t xml:space="preserve">0.752</w:t>
            </w:r>
          </w:p>
        </w:tc>
        <w:tc>
          <w:tcPr/>
          <w:p>
            <w:pPr>
              <w:pStyle w:val="Compact"/>
              <w:jc w:val="left"/>
            </w:pPr>
            <w:r>
              <w:t xml:space="preserve">0.938</w:t>
            </w:r>
          </w:p>
        </w:tc>
        <w:tc>
          <w:tcPr/>
          <w:p>
            <w:pPr>
              <w:pStyle w:val="Compact"/>
              <w:jc w:val="left"/>
            </w:pPr>
            <w:r>
              <w:t xml:space="preserve">0.248</w:t>
            </w:r>
          </w:p>
        </w:tc>
      </w:tr>
    </w:tbl>
    <w:p>
      <w:pPr>
        <w:pStyle w:val="BodyText"/>
      </w:pPr>
      <w:r>
        <w:rPr>
          <w:iCs/>
          <w:i/>
        </w:rPr>
        <w:t xml:space="preserve">Whole-matrix reconstruction</w:t>
      </w:r>
      <w:r>
        <w:rPr>
          <w:iCs/>
          <w:i/>
        </w:rPr>
        <w:t xml:space="preserve"> </w:t>
      </w:r>
      <m:oMath>
        <m:sSup>
          <m:e>
            <m:r>
              <m:t>R</m:t>
            </m:r>
          </m:e>
          <m:sup>
            <m:r>
              <m:t>2</m:t>
            </m:r>
          </m:sup>
        </m:sSup>
      </m:oMath>
      <w:r>
        <w:rPr>
          <w:iCs/>
          <w:i/>
        </w:rPr>
        <w:t xml:space="preserve"> </w:t>
      </w:r>
      <w:r>
        <w:rPr>
          <w:iCs/>
          <w:i/>
        </w:rPr>
        <w:t xml:space="preserve">across the 1,970-gene analysis matrix for standard NMF versus DeSurv at</w:t>
      </w:r>
      <w:r>
        <w:rPr>
          <w:iCs/>
          <w:i/>
        </w:rPr>
        <w:t xml:space="preserve"> </w:t>
      </w:r>
      <m:oMath>
        <m:r>
          <m:t>k</m:t>
        </m:r>
        <m:r>
          <m:rPr>
            <m:sty m:val="p"/>
          </m:rPr>
          <m:t>=</m:t>
        </m:r>
        <m:r>
          <m:t>3</m:t>
        </m:r>
      </m:oMath>
      <w:r>
        <w:rPr>
          <w:iCs/>
          <w:i/>
        </w:rPr>
        <w:t xml:space="preserve">. Two denominators are shown. The centered</w:t>
      </w:r>
      <w:r>
        <w:rPr>
          <w:iCs/>
          <w:i/>
        </w:rPr>
        <w:t xml:space="preserve"> </w:t>
      </w:r>
      <m:oMath>
        <m:sSup>
          <m:e>
            <m:r>
              <m:t>R</m:t>
            </m:r>
          </m:e>
          <m:sup>
            <m:r>
              <m:t>2</m:t>
            </m:r>
          </m:sup>
        </m:sSup>
      </m:oMath>
      <w:r>
        <w:rPr>
          <w:iCs/>
          <w:i/>
        </w:rPr>
        <w:t xml:space="preserve"> </w:t>
      </w:r>
      <w:r>
        <w:rPr>
          <w:iCs/>
          <w:i/>
        </w:rPr>
        <w:t xml:space="preserve">is the conventional definition, taken about the grand mean, and is the one to read as fraction of variation reconstructed. The uncentered</w:t>
      </w:r>
      <w:r>
        <w:rPr>
          <w:iCs/>
          <w:i/>
        </w:rPr>
        <w:t xml:space="preserve"> </w:t>
      </w:r>
      <m:oMath>
        <m:sSup>
          <m:e>
            <m:r>
              <m:t>R</m:t>
            </m:r>
          </m:e>
          <m:sup>
            <m:r>
              <m:t>2</m:t>
            </m:r>
          </m:sup>
        </m:sSup>
      </m:oMath>
      <w:r>
        <w:rPr>
          <w:iCs/>
          <w:i/>
        </w:rPr>
        <w:t xml:space="preserve"> </w:t>
      </w:r>
      <w:r>
        <w:rPr>
          <w:iCs/>
          <w:i/>
        </w:rPr>
        <w:t xml:space="preserve">divides by</w:t>
      </w:r>
      <w:r>
        <w:rPr>
          <w:iCs/>
          <w:i/>
        </w:rPr>
        <w:t xml:space="preserve"> </w:t>
      </w:r>
      <m:oMath>
        <m:r>
          <m:rPr>
            <m:sty m:val="p"/>
          </m:rPr>
          <m:t>∑</m:t>
        </m:r>
        <m:sSup>
          <m:e>
            <m:r>
              <m:t>X</m:t>
            </m:r>
          </m:e>
          <m:sup>
            <m:r>
              <m:t>2</m:t>
            </m:r>
          </m:sup>
        </m:sSup>
      </m:oMath>
      <w:r>
        <w:rPr>
          <w:iCs/>
          <w:i/>
        </w:rPr>
        <w:t xml:space="preserve">; because the analysis matrix holds within-sample ranks with grand mean</w:t>
      </w:r>
      <w:r>
        <w:rPr>
          <w:iCs/>
          <w:i/>
        </w:rPr>
        <w:t xml:space="preserve"> </w:t>
      </w:r>
      <m:oMath>
        <m:r>
          <m:t>p</m:t>
        </m:r>
        <m:r>
          <m:rPr>
            <m:sty m:val="p"/>
          </m:rPr>
          <m:t>/</m:t>
        </m:r>
        <m:r>
          <m:t>2</m:t>
        </m:r>
      </m:oMath>
      <w:r>
        <w:rPr>
          <w:iCs/>
          <w:i/>
        </w:rPr>
        <w:t xml:space="preserve">, the mean alone accounts for about 75% of that denominator, so uncentered values are high for any nonnegative low-rank fit and are reported for completeness. On the centered definition DeSurv gives up 6.0 percentage points of reconstruction relative to NMF (1.5 on the uncentered scale).</w:t>
      </w:r>
    </w:p>
    <w:bookmarkEnd w:id="44"/>
    <w:bookmarkStart w:id="48" w:name="the-d1-axis-is-not-specific-to-desurv"/>
    <w:p>
      <w:pPr>
        <w:pStyle w:val="Heading1"/>
      </w:pPr>
      <w:r>
        <w:t xml:space="preserve">The D1 axis is not specific to DeSurv</w:t>
      </w:r>
    </w:p>
    <w:p>
      <w:pPr>
        <w:pStyle w:val="FirstParagraph"/>
      </w:pPr>
      <w:r>
        <w:t xml:space="preserve">If the D1 tumor–stroma axis were an artifact of DeSurv’s particular</w:t>
      </w:r>
      <w:r>
        <w:t xml:space="preserve"> </w:t>
      </w:r>
      <w:r>
        <w:t xml:space="preserve">optimizer, independent survival-supervised methods should not recover it. We</w:t>
      </w:r>
      <w:r>
        <w:t xml:space="preserve"> </w:t>
      </w:r>
      <w:r>
        <w:t xml:space="preserve">therefore fit three other supervised dimension-reduction methods on the same</w:t>
      </w:r>
      <w:r>
        <w:t xml:space="preserve"> </w:t>
      </w:r>
      <w:r>
        <w:t xml:space="preserve">training cohort (</w:t>
      </w:r>
      <m:oMath>
        <m:r>
          <m:t>n</m:t>
        </m:r>
        <m:r>
          <m:rPr>
            <m:sty m:val="p"/>
          </m:rPr>
          <m:t>=</m:t>
        </m:r>
        <m:r>
          <m:t>273</m:t>
        </m:r>
      </m:oMath>
      <w:r>
        <w:t xml:space="preserve">, 139 events), namely supervised</w:t>
      </w:r>
      <w:r>
        <w:t xml:space="preserve"> </w:t>
      </w:r>
      <w:r>
        <w:t xml:space="preserve">principal components (Cox-screened genes followed by PCA), one-component Cox</w:t>
      </w:r>
      <w:r>
        <w:t xml:space="preserve"> </w:t>
      </w:r>
      <w:r>
        <w:t xml:space="preserve">partial least squares against martingale residuals, and a sparse Cox model</w:t>
      </w:r>
      <w:r>
        <w:t xml:space="preserve"> </w:t>
      </w:r>
      <w:r>
        <w:t xml:space="preserve">(lasso-penalized; 32 genes selected in this single fit), and compared</w:t>
      </w:r>
      <w:r>
        <w:t xml:space="preserve"> </w:t>
      </w:r>
      <w:r>
        <w:t xml:space="preserve">their leading survival-aligned direction to the DeSurv D1 score. All three</w:t>
      </w:r>
      <w:r>
        <w:t xml:space="preserve"> </w:t>
      </w:r>
      <w:r>
        <w:t xml:space="preserve">recovered D1 closely (per-patient</w:t>
      </w:r>
      <w:r>
        <w:t xml:space="preserve"> </w:t>
      </w:r>
      <m:oMath>
        <m:d>
          <m:dPr>
            <m:begChr m:val="|"/>
            <m:endChr m:val="|"/>
            <m:sepChr m:val=""/>
            <m:grow/>
          </m:dPr>
          <m:e>
            <m:r>
              <m:t>r</m:t>
            </m:r>
          </m:e>
        </m:d>
        <m:r>
          <m:rPr>
            <m:sty m:val="p"/>
          </m:rPr>
          <m:t>=</m:t>
        </m:r>
        <m:r>
          <m:t>0.81</m:t>
        </m:r>
      </m:oMath>
      <w:r>
        <w:t xml:space="preserve"> </w:t>
      </w:r>
      <w:r>
        <w:t xml:space="preserve">for supervised PCA,</w:t>
      </w:r>
      <w:r>
        <w:t xml:space="preserve"> </w:t>
      </w:r>
      <m:oMath>
        <m:r>
          <m:t>0.83</m:t>
        </m:r>
      </m:oMath>
      <w:r>
        <w:t xml:space="preserve"> </w:t>
      </w:r>
      <w:r>
        <w:t xml:space="preserve">for Cox-PLS, and</w:t>
      </w:r>
      <w:r>
        <w:t xml:space="preserve"> </w:t>
      </w:r>
      <m:oMath>
        <m:r>
          <m:t>0.85</m:t>
        </m:r>
      </m:oMath>
      <w:r>
        <w:t xml:space="preserve"> </w:t>
      </w:r>
      <w:r>
        <w:t xml:space="preserve">for sparse Cox; mean</w:t>
      </w:r>
      <w:r>
        <w:t xml:space="preserve"> </w:t>
      </w:r>
      <m:oMath>
        <m:r>
          <m:t>0.83</m:t>
        </m:r>
      </m:oMath>
      <w:r>
        <w:t xml:space="preserve">; Fig. [fig:suprec]), and each aligned</w:t>
      </w:r>
      <w:r>
        <w:t xml:space="preserve"> </w:t>
      </w:r>
      <w:r>
        <w:t xml:space="preserve">with D1 rather than with the stromal D2 or basal-like D3 programs (absolute</w:t>
      </w:r>
      <w:r>
        <w:t xml:space="preserve"> </w:t>
      </w:r>
      <w:r>
        <w:t xml:space="preserve">correlations with D2 and D3 at most</w:t>
      </w:r>
      <w:r>
        <w:t xml:space="preserve"> </w:t>
      </w:r>
      <m:oMath>
        <m:r>
          <m:t>0.19</m:t>
        </m:r>
      </m:oMath>
      <w:r>
        <w:t xml:space="preserve">).</w:t>
      </w:r>
    </w:p>
    <w:p>
      <w:pPr>
        <w:pStyle w:val="BodyText"/>
      </w:pPr>
      <w:r>
        <w:t xml:space="preserve">By contrast, the leading</w:t>
      </w:r>
      <w:r>
        <w:t xml:space="preserve"> </w:t>
      </w:r>
      <w:r>
        <w:rPr>
          <w:iCs/>
          <w:i/>
        </w:rPr>
        <w:t xml:space="preserve">unsupervised</w:t>
      </w:r>
      <w:r>
        <w:t xml:space="preserve"> </w:t>
      </w:r>
      <w:r>
        <w:t xml:space="preserve">direction</w:t>
      </w:r>
      <w:r>
        <w:t xml:space="preserve"> </w:t>
      </w:r>
      <w:r>
        <w:t xml:space="preserve">(the first principal component) was only weakly correlated with D1</w:t>
      </w:r>
      <w:r>
        <w:t xml:space="preserve"> </w:t>
      </w:r>
      <w:r>
        <w:t xml:space="preserve">(</w:t>
      </w:r>
      <m:oMath>
        <m:d>
          <m:dPr>
            <m:begChr m:val="|"/>
            <m:endChr m:val="|"/>
            <m:sepChr m:val=""/>
            <m:grow/>
          </m:dPr>
          <m:e>
            <m:r>
              <m:t>r</m:t>
            </m:r>
          </m:e>
        </m:d>
        <m:r>
          <m:rPr>
            <m:sty m:val="p"/>
          </m:rPr>
          <m:t>=</m:t>
        </m:r>
        <m:r>
          <m:t>0.10</m:t>
        </m:r>
      </m:oMath>
      <w:r>
        <w:t xml:space="preserve">) and instead tracked the</w:t>
      </w:r>
      <w:r>
        <w:t xml:space="preserve"> </w:t>
      </w:r>
      <w:r>
        <w:t xml:space="preserve">high-variance D2/D3 stroma–basal axis. This D1 axis is thus shared across the examined survival-supervised methods. Two additional findings are consistent with this conclusion: D1 is unreconstructable from the</w:t>
      </w:r>
      <w:r>
        <w:t xml:space="preserve"> </w:t>
      </w:r>
      <w:r>
        <w:t xml:space="preserve">standard NMF basis (Table [tab:projection-r2]), and standard NMF at matched rank does not recover the restCAF and iCAF marker genes that appear among DeSurv’s defining genes (Stromal resolution: which reference programs are recovered from bulk).</w:t>
      </w:r>
    </w:p>
    <w:p>
      <w:pPr>
        <w:pStyle w:val="BodyText"/>
      </w:pPr>
      <w:r>
        <w:drawing>
          <wp:inline>
            <wp:extent cx="5334000" cy="2486236"/>
            <wp:effectExtent b="0" l="0" r="0" t="0"/>
            <wp:docPr descr="" title="" id="46" name="Picture"/>
            <a:graphic>
              <a:graphicData uri="http://schemas.openxmlformats.org/drawingml/2006/picture">
                <pic:pic>
                  <pic:nvPicPr>
                    <pic:cNvPr descr=".docx_media/figures_fig_supervised_recovery.png" id="47" name="Picture"/>
                    <pic:cNvPicPr>
                      <a:picLocks noChangeArrowheads="1" noChangeAspect="1"/>
                    </pic:cNvPicPr>
                  </pic:nvPicPr>
                  <pic:blipFill>
                    <a:blip r:embed="rId45"/>
                    <a:stretch>
                      <a:fillRect/>
                    </a:stretch>
                  </pic:blipFill>
                  <pic:spPr bwMode="auto">
                    <a:xfrm>
                      <a:off x="0" y="0"/>
                      <a:ext cx="5334000" cy="2486236"/>
                    </a:xfrm>
                    <a:prstGeom prst="rect">
                      <a:avLst/>
                    </a:prstGeom>
                    <a:noFill/>
                    <a:ln w="9525">
                      <a:noFill/>
                      <a:headEnd/>
                      <a:tailEnd/>
                    </a:ln>
                  </pic:spPr>
                </pic:pic>
              </a:graphicData>
            </a:graphic>
          </wp:inline>
        </w:drawing>
      </w:r>
    </w:p>
    <w:p>
      <w:pPr>
        <w:pStyle w:val="BodyText"/>
      </w:pPr>
      <w:r>
        <w:rPr>
          <w:iCs/>
          <w:i/>
        </w:rPr>
        <w:t xml:space="preserve">Correspondence of supervised scores and the first unsupervised principal component with D1 in the training cohort. (a) Absolute correlation (across training-cohort patients) of each method’s leading direction with the DeSurv D1 score, in the training cohort: supervised principal components, Cox partial least squares, and sparse Cox are each strongly correlated with D1 (green), whereas the leading unsupervised principal component is only weakly correlated (grey). (b) Sample-level agreement with D1 for Cox-PLS (supervised, green) versus the first unsupervised principal component (grey).</w:t>
      </w:r>
    </w:p>
    <w:bookmarkEnd w:id="48"/>
    <w:bookmarkStart w:id="49" w:name="X9757ed67decbd0705bb487c4901c09b15a3ba5f"/>
    <w:p>
      <w:pPr>
        <w:pStyle w:val="Heading1"/>
      </w:pPr>
      <w:r>
        <w:t xml:space="preserve">Robustness to tuned supervised comparators and compartment attribution</w:t>
      </w:r>
    </w:p>
    <w:p>
      <w:pPr>
        <w:pStyle w:val="FirstParagraph"/>
      </w:pPr>
      <w:r>
        <w:t xml:space="preserve">The preceding section establishes D1 as a survival-associated expression direction shared across supervised methods; here we ask what DeSurv adds beyond recovering that direction, using canonical, independently tuned comparators in place of the simple single-component versions above: supervised principal components (</w:t>
      </w:r>
      <w:r>
        <w:rPr>
          <w:rStyle w:val="VerbatimChar"/>
        </w:rPr>
        <w:t xml:space="preserve">superpc</w:t>
      </w:r>
      <w:r>
        <w:t xml:space="preserve">; Bair–Tibshirani, with cross-validated screening threshold and component number) and lasso-penalized Cox regression (</w:t>
      </w:r>
      <w:r>
        <w:rPr>
          <w:rStyle w:val="VerbatimChar"/>
        </w:rPr>
        <w:t xml:space="preserve">glmnet</w:t>
      </w:r>
      <w:r>
        <w:t xml:space="preserve">, mixing parameter 1, a single</w:t>
      </w:r>
      <w:r>
        <w:t xml:space="preserve"> </w:t>
      </w:r>
      <m:oMath>
        <m:sSub>
          <m:e>
            <m:r>
              <m:t>λ</m:t>
            </m:r>
          </m:e>
          <m:sub>
            <m:r>
              <m:rPr>
                <m:sty m:val="p"/>
              </m:rPr>
              <m:t>min</m:t>
            </m:r>
          </m:sub>
        </m:sSub>
      </m:oMath>
      <w:r>
        <w:t xml:space="preserve"> </w:t>
      </w:r>
      <w:r>
        <w:t xml:space="preserve">model). Cox partial least squares was not included in this comparison because a validated multi-component implementation was not available. All methods used the same 1,970-gene universe selected from the training data by expression and variance, and each performed its own feature selection; for this comparison DeSurv’s program scores used per-program masks, each column zeroed outside its own top-</w:t>
      </w:r>
      <m:oMath>
        <m:r>
          <m:t>270</m:t>
        </m:r>
      </m:oMath>
      <w:r>
        <w:t xml:space="preserve"> </w:t>
      </w:r>
      <w:r>
        <w:t xml:space="preserve">gene set, rather than the union support used elsewhere in the manuscript, and the Cox weights combining the three program scores were re-estimated without penalty on the training scores, so that all three methods enter as training-fitted linear scores on an equal footing. Validation outcomes were never used: all scoring used the frozen, rank-transformed transfer with no validation refitting.</w:t>
      </w:r>
    </w:p>
    <w:p>
      <w:pPr>
        <w:pStyle w:val="BodyText"/>
      </w:pPr>
      <w:r>
        <w:t xml:space="preserve">External discrimination was similar: the pooled frozen-transfer C-index was</w:t>
      </w:r>
      <w:r>
        <w:t xml:space="preserve"> </w:t>
      </w:r>
      <m:oMath>
        <m:r>
          <m:t>0.61</m:t>
        </m:r>
      </m:oMath>
      <w:r>
        <w:t xml:space="preserve"> </w:t>
      </w:r>
      <w:r>
        <w:t xml:space="preserve">for the DeSurv linear predictor,</w:t>
      </w:r>
      <w:r>
        <w:t xml:space="preserve"> </w:t>
      </w:r>
      <m:oMath>
        <m:r>
          <m:t>0.60</m:t>
        </m:r>
      </m:oMath>
      <w:r>
        <w:t xml:space="preserve"> </w:t>
      </w:r>
      <w:r>
        <w:t xml:space="preserve">for supervised PCA, and</w:t>
      </w:r>
      <w:r>
        <w:t xml:space="preserve"> </w:t>
      </w:r>
      <m:oMath>
        <m:r>
          <m:t>0.60</m:t>
        </m:r>
      </m:oMath>
      <w:r>
        <w:t xml:space="preserve"> </w:t>
      </w:r>
      <w:r>
        <w:t xml:space="preserve">for lasso Cox. Consistent with the score-level recovery above, both tuned methods aligned with the D1 direction (correspondence between each supervised risk score and the DeSurv programs was quantified in the training cohort by absolute Pearson correlation;</w:t>
      </w:r>
      <w:r>
        <w:t xml:space="preserve"> </w:t>
      </w:r>
      <m:oMath>
        <m:d>
          <m:dPr>
            <m:begChr m:val="|"/>
            <m:endChr m:val="|"/>
            <m:sepChr m:val=""/>
            <m:grow/>
          </m:dPr>
          <m:e>
            <m:r>
              <m:t>r</m:t>
            </m:r>
          </m:e>
        </m:d>
        <m:r>
          <m:rPr>
            <m:sty m:val="p"/>
          </m:rPr>
          <m:t>=</m:t>
        </m:r>
        <m:r>
          <m:t>0.71</m:t>
        </m:r>
      </m:oMath>
      <w:r>
        <w:t xml:space="preserve"> </w:t>
      </w:r>
      <w:r>
        <w:t xml:space="preserve">for lasso Cox and</w:t>
      </w:r>
      <w:r>
        <w:t xml:space="preserve"> </w:t>
      </w:r>
      <m:oMath>
        <m:r>
          <m:t>0.46</m:t>
        </m:r>
      </m:oMath>
      <w:r>
        <w:t xml:space="preserve"> </w:t>
      </w:r>
      <w:r>
        <w:t xml:space="preserve">for supervised PCA) and with the DeSurv linear predictor (</w:t>
      </w:r>
      <m:oMath>
        <m:d>
          <m:dPr>
            <m:begChr m:val="|"/>
            <m:endChr m:val="|"/>
            <m:sepChr m:val=""/>
            <m:grow/>
          </m:dPr>
          <m:e>
            <m:r>
              <m:t>r</m:t>
            </m:r>
          </m:e>
        </m:d>
        <m:r>
          <m:rPr>
            <m:sty m:val="p"/>
          </m:rPr>
          <m:t>=</m:t>
        </m:r>
        <m:r>
          <m:t>0.86</m:t>
        </m:r>
      </m:oMath>
      <w:r>
        <w:t xml:space="preserve"> </w:t>
      </w:r>
      <w:r>
        <w:t xml:space="preserve">for lasso Cox and</w:t>
      </w:r>
      <w:r>
        <w:t xml:space="preserve"> </w:t>
      </w:r>
      <m:oMath>
        <m:r>
          <m:t>0.65</m:t>
        </m:r>
      </m:oMath>
      <w:r>
        <w:t xml:space="preserve"> </w:t>
      </w:r>
      <w:r>
        <w:t xml:space="preserve">for supervised PCA), but were only weakly correlated with the activated-stroma/proCAF program D2 (</w:t>
      </w:r>
      <m:oMath>
        <m:d>
          <m:dPr>
            <m:begChr m:val="|"/>
            <m:endChr m:val="|"/>
            <m:sepChr m:val=""/>
            <m:grow/>
          </m:dPr>
          <m:e>
            <m:r>
              <m:t>r</m:t>
            </m:r>
          </m:e>
        </m:d>
        <m:r>
          <m:rPr>
            <m:sty m:val="p"/>
          </m:rPr>
          <m:t>=</m:t>
        </m:r>
        <m:r>
          <m:t>0.06</m:t>
        </m:r>
      </m:oMath>
      <w:r>
        <w:t xml:space="preserve"> </w:t>
      </w:r>
      <w:r>
        <w:t xml:space="preserve">for lasso Cox and</w:t>
      </w:r>
      <w:r>
        <w:t xml:space="preserve"> </w:t>
      </w:r>
      <m:oMath>
        <m:r>
          <m:t>0.14</m:t>
        </m:r>
      </m:oMath>
      <w:r>
        <w:t xml:space="preserve"> </w:t>
      </w:r>
      <w:r>
        <w:t xml:space="preserve">for supervised PCA): a single supervised risk axis captures the dominant tumor-axis signal but not the separate stromal program.</w:t>
      </w:r>
    </w:p>
    <w:p>
      <w:pPr>
        <w:pStyle w:val="BodyText"/>
      </w:pPr>
      <w:r>
        <w:t xml:space="preserve">The compartment attribution made this explicit. The genes emphasized by a supervised risk score need not coincide with D1’s positively weighted defining genes, because the high-risk end of D1 is characterized in part by loss of classical-tumor and restCAF-like expression. Empirically they were basal-like tumor markers: across 12 cross-validation seeds the genes selected by both methods were enriched (hypergeometric</w:t>
      </w:r>
      <w:r>
        <w:t xml:space="preserve"> </w:t>
      </w:r>
      <m:oMath>
        <m:r>
          <m:t>P</m:t>
        </m:r>
        <m:r>
          <m:rPr>
            <m:sty m:val="p"/>
          </m:rPr>
          <m:t>&lt;</m:t>
        </m:r>
        <m:r>
          <m:t>0.01</m:t>
        </m:r>
      </m:oMath>
      <w:r>
        <w:t xml:space="preserve">) for the basal-like tumor program (in 12/12 seeds for lasso Cox and 12/12 for supervised PCA) and in no seed for the activated-stroma/proCAF, restraining-stroma, immune, or exocrine compartments. The supervised risk scores did nonetheless retain some stromal signal: each correlated modestly with an external activated-stroma/proCAF signature (</w:t>
      </w:r>
      <m:oMath>
        <m:d>
          <m:dPr>
            <m:begChr m:val="|"/>
            <m:endChr m:val="|"/>
            <m:sepChr m:val=""/>
            <m:grow/>
          </m:dPr>
          <m:e>
            <m:r>
              <m:t>r</m:t>
            </m:r>
          </m:e>
        </m:d>
        <m:r>
          <m:rPr>
            <m:sty m:val="p"/>
          </m:rPr>
          <m:t>=</m:t>
        </m:r>
        <m:r>
          <m:t>0.20</m:t>
        </m:r>
      </m:oMath>
      <w:r>
        <w:t xml:space="preserve"> </w:t>
      </w:r>
      <w:r>
        <w:t xml:space="preserve">for lasso Cox and</w:t>
      </w:r>
      <w:r>
        <w:t xml:space="preserve"> </w:t>
      </w:r>
      <m:oMath>
        <m:r>
          <m:t>0.23</m:t>
        </m:r>
      </m:oMath>
      <w:r>
        <w:t xml:space="preserve"> </w:t>
      </w:r>
      <w:r>
        <w:t xml:space="preserve">for supervised PCA), but well below DeSurv’s D2 program (</w:t>
      </w:r>
      <m:oMath>
        <m:d>
          <m:dPr>
            <m:begChr m:val="|"/>
            <m:endChr m:val="|"/>
            <m:sepChr m:val=""/>
            <m:grow/>
          </m:dPr>
          <m:e>
            <m:r>
              <m:t>r</m:t>
            </m:r>
          </m:e>
        </m:d>
        <m:r>
          <m:rPr>
            <m:sty m:val="p"/>
          </m:rPr>
          <m:t>=</m:t>
        </m:r>
        <m:r>
          <m:t>0.55</m:t>
        </m:r>
      </m:oMath>
      <w:r>
        <w:t xml:space="preserve">), which tracks that signature directly.</w:t>
      </w:r>
    </w:p>
    <w:p>
      <w:pPr>
        <w:pStyle w:val="BodyText"/>
      </w:pPr>
      <w:r>
        <w:t xml:space="preserve">The distinction is therefore representational: DeSurv preserves stromal context as an explicit program even when that program does not contribute independently to the fitted linear predictor. The independently tuned methods used different feature-selection procedures and retained different numbers of genes, and neither mechanism matches DeSurv’s. The penalized Cox comparator uses a pure lasso penalty (mixing parameter 1, distinct from DeSurv’s supervision parameter</w:t>
      </w:r>
      <w:r>
        <w:t xml:space="preserve"> </w:t>
      </w:r>
      <m:oMath>
        <m:r>
          <m:t>α</m:t>
        </m:r>
      </m:oMath>
      <w:r>
        <w:t xml:space="preserve">), whereas supervised principal components applies no penalty at all, instead screening genes by a cross-validated feature-score threshold and extracting a cross-validated number of components; DeSurv’s internal Cox step uses an elastic net whose Bayesian-optimization-selected mixing parameter (</w:t>
      </w:r>
      <m:oMath>
        <m:r>
          <m:t>ξ</m:t>
        </m:r>
        <m:r>
          <m:rPr>
            <m:sty m:val="p"/>
          </m:rPr>
          <m:t>=</m:t>
        </m:r>
        <m:r>
          <m:t>0.056</m:t>
        </m:r>
      </m:oMath>
      <w:r>
        <w:t xml:space="preserve">) sits close to ridge. Both comparators retain far fewer genes than DeSurv’s 810-gene support: across 12 resampling seeds, lasso Cox selected a median of 14 genes (range 9–33) and supervised principal components 39 (range 5–222), and both were tuned by their standard method-specific cross-validation rather than a budget matched to DeSurv. Absence of reference-program enrichment in their selected gene lists does not establish absence of stromal information in their risk scores.</w:t>
      </w:r>
    </w:p>
    <w:bookmarkEnd w:id="49"/>
    <w:bookmarkStart w:id="50" w:name="Xa2ff139905cf53f2ad50f77e672e78f3363c375"/>
    <w:p>
      <w:pPr>
        <w:pStyle w:val="Heading1"/>
      </w:pPr>
      <w:r>
        <w:t xml:space="preserve">Proper-scoring sensitivity of the external validation</w:t>
      </w:r>
    </w:p>
    <w:p>
      <w:pPr>
        <w:pStyle w:val="FirstParagraph"/>
      </w:pPr>
      <w:r>
        <w:t xml:space="preserve">The main-text external validation reports discrimination with Harrell’s C-index</w:t>
      </w:r>
      <w:r>
        <w:t xml:space="preserve"> </w:t>
      </w:r>
      <w:r>
        <w:t xml:space="preserve">under a Cox proportional-hazards model. Harrell’s C ranks patients by a single</w:t>
      </w:r>
      <w:r>
        <w:t xml:space="preserve"> </w:t>
      </w:r>
      <w:r>
        <w:t xml:space="preserve">time-invariant score, so when hazards are non-proportional, as the diagnostic</w:t>
      </w:r>
      <w:r>
        <w:t xml:space="preserve"> </w:t>
      </w:r>
      <w:r>
        <w:t xml:space="preserve">below shows for this predictor, its value depends on the censoring distribution</w:t>
      </w:r>
      <w:r>
        <w:t xml:space="preserve"> </w:t>
      </w:r>
      <w:r>
        <w:t xml:space="preserve">and need not reflect discrimination at any particular horizon</w:t>
      </w:r>
      <w:hyperlink w:anchor="ref-uno2011cstatistics">
        <w:r>
          <w:rPr>
            <w:rStyle w:val="Hyperlink"/>
            <w:vertAlign w:val="superscript"/>
          </w:rPr>
          <w:t xml:space="preserve">28</w:t>
        </w:r>
      </w:hyperlink>
      <w:r>
        <w:rPr>
          <w:vertAlign w:val="superscript"/>
        </w:rPr>
        <w:t xml:space="preserve">,</w:t>
      </w:r>
      <w:hyperlink w:anchor="ref-antolini2005timedependent">
        <w:r>
          <w:rPr>
            <w:rStyle w:val="Hyperlink"/>
            <w:vertAlign w:val="superscript"/>
          </w:rPr>
          <w:t xml:space="preserve">29</w:t>
        </w:r>
      </w:hyperlink>
      <w:r>
        <w:t xml:space="preserve">, and it is not a proper</w:t>
      </w:r>
      <w:r>
        <w:t xml:space="preserve"> </w:t>
      </w:r>
      <w:r>
        <w:t xml:space="preserve">scoring rule for predicted risks</w:t>
      </w:r>
      <w:hyperlink w:anchor="ref-blanche2019cindex">
        <w:r>
          <w:rPr>
            <w:rStyle w:val="Hyperlink"/>
            <w:vertAlign w:val="superscript"/>
          </w:rPr>
          <w:t xml:space="preserve">30</w:t>
        </w:r>
      </w:hyperlink>
      <w:r>
        <w:t xml:space="preserve">. We therefore additionally</w:t>
      </w:r>
      <w:r>
        <w:t xml:space="preserve"> </w:t>
      </w:r>
      <w:r>
        <w:t xml:space="preserve">evaluated the DeSurv linear predictor, its direction frozen from training, with</w:t>
      </w:r>
      <w:r>
        <w:t xml:space="preserve"> </w:t>
      </w:r>
      <w:r>
        <w:t xml:space="preserve">a proper score, the integrated Brier score (IBS), in each validation dataset,</w:t>
      </w:r>
      <w:r>
        <w:t xml:space="preserve"> </w:t>
      </w:r>
      <w:r>
        <w:t xml:space="preserve">recalibrating only its scalar slope and baseline hazard within each dataset and</w:t>
      </w:r>
      <w:r>
        <w:t xml:space="preserve"> </w:t>
      </w:r>
      <w:r>
        <w:t xml:space="preserve">integrating over that dataset’s follow-up to the 80th percentile of its event</w:t>
      </w:r>
      <w:r>
        <w:t xml:space="preserve"> </w:t>
      </w:r>
      <w:r>
        <w:t xml:space="preserve">times.</w:t>
      </w:r>
    </w:p>
    <w:p>
      <w:pPr>
        <w:pStyle w:val="BodyText"/>
      </w:pPr>
      <w:r>
        <w:t xml:space="preserve">Across the five validation platform datasets (PACA-AU array restricted to its array-only patients) the DeSurv predictor achieved an</w:t>
      </w:r>
      <w:r>
        <w:t xml:space="preserve"> </w:t>
      </w:r>
      <w:r>
        <w:t xml:space="preserve">event-weighted integrated Brier score of 0.159 versus</w:t>
      </w:r>
      <w:r>
        <w:t xml:space="preserve"> </w:t>
      </w:r>
      <w:r>
        <w:t xml:space="preserve">0.168 for a Kaplan–Meier reference, an index of</w:t>
      </w:r>
      <w:r>
        <w:t xml:space="preserve"> </w:t>
      </w:r>
      <w:r>
        <w:t xml:space="preserve">prediction accuracy (IPA</w:t>
      </w:r>
      <w:r>
        <w:t xml:space="preserve"> </w:t>
      </w:r>
      <m:oMath>
        <m:r>
          <m:rPr>
            <m:sty m:val="p"/>
          </m:rPr>
          <m:t>=</m:t>
        </m:r>
        <m:r>
          <m:t>1</m:t>
        </m:r>
        <m:r>
          <m:rPr>
            <m:sty m:val="p"/>
          </m:rPr>
          <m:t>−</m:t>
        </m:r>
        <m:r>
          <m:rPr>
            <m:sty m:val="p"/>
          </m:rPr>
          <m:t>I</m:t>
        </m:r>
        <m:r>
          <m:rPr>
            <m:sty m:val="p"/>
          </m:rPr>
          <m:t>B</m:t>
        </m:r>
        <m:r>
          <m:rPr>
            <m:sty m:val="p"/>
          </m:rPr>
          <m:t>S</m:t>
        </m:r>
        <m:r>
          <m:rPr>
            <m:sty m:val="p"/>
          </m:rPr>
          <m:t>/</m:t>
        </m:r>
        <m:sSub>
          <m:e>
            <m:r>
              <m:rPr>
                <m:sty m:val="p"/>
              </m:rPr>
              <m:t>I</m:t>
            </m:r>
            <m:r>
              <m:rPr>
                <m:sty m:val="p"/>
              </m:rPr>
              <m:t>B</m:t>
            </m:r>
            <m:r>
              <m:rPr>
                <m:sty m:val="p"/>
              </m:rPr>
              <m:t>S</m:t>
            </m:r>
          </m:e>
          <m:sub>
            <m:r>
              <m:rPr>
                <m:nor/>
                <m:sty m:val="p"/>
              </m:rPr>
              <m:t>null</m:t>
            </m:r>
          </m:sub>
        </m:sSub>
      </m:oMath>
      <w:r>
        <w:t xml:space="preserve">) of</w:t>
      </w:r>
      <w:r>
        <w:t xml:space="preserve"> </w:t>
      </w:r>
      <w:r>
        <w:t xml:space="preserve">5.4% (per-dataset range</w:t>
      </w:r>
      <w:r>
        <w:t xml:space="preserve"> </w:t>
      </w:r>
      <w:r>
        <w:t xml:space="preserve">2.9–9.4%). Because each</w:t>
      </w:r>
      <w:r>
        <w:t xml:space="preserve"> </w:t>
      </w:r>
      <w:r>
        <w:t xml:space="preserve">dataset’s IBS is integrated over its own event-time horizon, this pooled value is a</w:t>
      </w:r>
      <w:r>
        <w:t xml:space="preserve"> </w:t>
      </w:r>
      <w:r>
        <w:t xml:space="preserve">descriptive event-weighted summary rather than a single common-horizon proper score,</w:t>
      </w:r>
      <w:r>
        <w:t xml:space="preserve"> </w:t>
      </w:r>
      <w:r>
        <w:t xml:space="preserve">and the per-dataset IPA range is the more directly interpretable quantity.</w:t>
      </w:r>
    </w:p>
    <w:p>
      <w:pPr>
        <w:pStyle w:val="BodyText"/>
      </w:pPr>
      <w:r>
        <w:t xml:space="preserve">Two caveats limit the interpretation of this analysis. First, the recalibration</w:t>
      </w:r>
      <w:r>
        <w:t xml:space="preserve"> </w:t>
      </w:r>
      <w:r>
        <w:t xml:space="preserve">step estimates both the scalar slope and the baseline hazard from each validation</w:t>
      </w:r>
      <w:r>
        <w:t xml:space="preserve"> </w:t>
      </w:r>
      <w:r>
        <w:t xml:space="preserve">dataset’s own outcomes, so unlike the C-index and hazard-ratio analyses, which use a fully</w:t>
      </w:r>
      <w:r>
        <w:t xml:space="preserve"> </w:t>
      </w:r>
      <w:r>
        <w:t xml:space="preserve">frozen predictor, this sensitivity evaluates the transported score direction</w:t>
      </w:r>
      <w:r>
        <w:t xml:space="preserve"> </w:t>
      </w:r>
      <w:r>
        <w:t xml:space="preserve">under local recalibration rather than a frozen absolute-risk model. Second, the</w:t>
      </w:r>
      <w:r>
        <w:t xml:space="preserve"> </w:t>
      </w:r>
      <w:r>
        <w:t xml:space="preserve">scores are computed on the same data used to fit that recalibration, with no</w:t>
      </w:r>
      <w:r>
        <w:t xml:space="preserve"> </w:t>
      </w:r>
      <w:r>
        <w:t xml:space="preserve">cross-validation or resampling, so the reported IBS and IPA are apparent</w:t>
      </w:r>
      <w:r>
        <w:t xml:space="preserve"> </w:t>
      </w:r>
      <w:r>
        <w:t xml:space="preserve">in-sample values that are subject to optimism and do not estimate out-of-sample</w:t>
      </w:r>
      <w:r>
        <w:t xml:space="preserve"> </w:t>
      </w:r>
      <w:r>
        <w:t xml:space="preserve">accuracy. Both caveats weaken the evidentiary value of the apparent improvement, which is already small. This</w:t>
      </w:r>
      <w:r>
        <w:t xml:space="preserve"> </w:t>
      </w:r>
      <w:r>
        <w:t xml:space="preserve">modest proper-score improvement over the null is consistent with the moderate</w:t>
      </w:r>
      <w:r>
        <w:t xml:space="preserve"> </w:t>
      </w:r>
      <w:r>
        <w:t xml:space="preserve">discrimination (C</w:t>
      </w:r>
      <w:r>
        <w:t xml:space="preserve"> </w:t>
      </w:r>
      <m:oMath>
        <m:r>
          <m:rPr>
            <m:sty m:val="p"/>
          </m:rPr>
          <m:t>=</m:t>
        </m:r>
        <m:r>
          <m:t>0.61</m:t>
        </m:r>
      </m:oMath>
      <w:r>
        <w:t xml:space="preserve">) and with DeSurv’s</w:t>
      </w:r>
      <w:r>
        <w:t xml:space="preserve"> </w:t>
      </w:r>
      <w:r>
        <w:t xml:space="preserve">contribution being a separately resolved tumor- and stroma-associated decomposition</w:t>
      </w:r>
      <w:r>
        <w:t xml:space="preserve"> </w:t>
      </w:r>
      <w:r>
        <w:t xml:space="preserve">rather than higher predictive accuracy.</w:t>
      </w:r>
    </w:p>
    <w:bookmarkEnd w:id="50"/>
    <w:bookmarkStart w:id="51" w:name="proportional-hazards-diagnostic"/>
    <w:p>
      <w:pPr>
        <w:pStyle w:val="Heading1"/>
      </w:pPr>
      <w:r>
        <w:t xml:space="preserve">Proportional-hazards diagnostic</w:t>
      </w:r>
    </w:p>
    <w:p>
      <w:pPr>
        <w:pStyle w:val="FirstParagraph"/>
      </w:pPr>
      <w:r>
        <w:t xml:space="preserve">Because the pooled hazard ratio assumes proportional hazards, we tested the scaled Schoenfeld residuals of the validation model, a Cox regression of overall survival on the standardized DeSurv linear predictor with a separate baseline hazard for each dataset (stratification), using the Grambsch–Therneau test. The proportional-hazards assumption was not supported for the standardized DeSurv linear predictor (</w:t>
      </w:r>
      <m:oMath>
        <m:sSup>
          <m:e>
            <m:r>
              <m:t>χ</m:t>
            </m:r>
          </m:e>
          <m:sup>
            <m:r>
              <m:t>2</m:t>
            </m:r>
          </m:sup>
        </m:sSup>
        <m:r>
          <m:rPr>
            <m:sty m:val="p"/>
          </m:rPr>
          <m:t>=</m:t>
        </m:r>
        <m:r>
          <m:t>14.7</m:t>
        </m:r>
      </m:oMath>
      <w:r>
        <w:t xml:space="preserve">,</w:t>
      </w:r>
      <w:r>
        <w:t xml:space="preserve"> </w:t>
      </w:r>
      <m:oMath>
        <m:r>
          <m:rPr>
            <m:sty m:val="p"/>
          </m:rPr>
          <m:t>d</m:t>
        </m:r>
        <m:r>
          <m:rPr>
            <m:sty m:val="p"/>
          </m:rPr>
          <m:t>f</m:t>
        </m:r>
        <m:r>
          <m:rPr>
            <m:sty m:val="p"/>
          </m:rPr>
          <m:t>=</m:t>
        </m:r>
        <m:r>
          <m:t>1</m:t>
        </m:r>
      </m:oMath>
      <w:r>
        <w:t xml:space="preserve">,</w:t>
      </w:r>
      <w:r>
        <w:t xml:space="preserve"> </w:t>
      </w:r>
      <m:oMath>
        <m:r>
          <m:t>P</m:t>
        </m:r>
        <m:r>
          <m:rPr>
            <m:sty m:val="p"/>
          </m:rPr>
          <m:t>=</m:t>
        </m:r>
        <m:r>
          <m:t>1.3</m:t>
        </m:r>
        <m:r>
          <m:rPr>
            <m:sty m:val="p"/>
          </m:rPr>
          <m:t>×</m:t>
        </m:r>
        <m:sSup>
          <m:e>
            <m:r>
              <m:t>10</m:t>
            </m:r>
          </m:e>
          <m:sup>
            <m:r>
              <m:rPr>
                <m:sty m:val="p"/>
              </m:rPr>
              <m:t>−</m:t>
            </m:r>
            <m:r>
              <m:t>4</m:t>
            </m:r>
          </m:sup>
        </m:sSup>
      </m:oMath>
      <w:r>
        <w:t xml:space="preserve">), with the association attenuating over follow-up: the estimated time-varying coefficient declines with follow-up (slope</w:t>
      </w:r>
      <w:r>
        <w:t xml:space="preserve"> </w:t>
      </w:r>
      <m:oMath>
        <m:r>
          <m:rPr>
            <m:sty m:val="p"/>
          </m:rPr>
          <m:t>−</m:t>
        </m:r>
        <m:r>
          <m:t>0.92</m:t>
        </m:r>
      </m:oMath>
      <w:r>
        <w:t xml:space="preserve"> </w:t>
      </w:r>
      <w:r>
        <w:t xml:space="preserve">on Kaplan–Meier-transformed time) from a positive value. The reported pooled hazard ratio is therefore a time-averaged summary of that association, not a constant multiplicative effect. The horizon-integrated proper-scoring (IBS/IPA) sensitivity above complements it by integrating prediction accuracy over each cohort’s event-time horizon rather than through a single hazard-ratio summary.</w:t>
      </w:r>
    </w:p>
    <w:bookmarkEnd w:id="51"/>
    <w:bookmarkStart w:id="52" w:name="Xaec9edd6711a52a4732157f98ee6881b605b395"/>
    <w:p>
      <w:pPr>
        <w:pStyle w:val="Heading1"/>
      </w:pPr>
      <w:r>
        <w:t xml:space="preserve">Between-cohort heterogeneity and C-index confidence intervals</w:t>
      </w:r>
    </w:p>
    <w:p>
      <w:pPr>
        <w:pStyle w:val="FirstParagraph"/>
      </w:pPr>
      <w:r>
        <w:t xml:space="preserve">The five validation platform datasets span four independent patient cohorts, because the PACA-AU array and RNA-seq series profile a partially overlapping set of the same ICGC patients. All analyses in this section are patient-level and de-duplicated by the rule used throughout the manuscript: a patient profiled on both PACA-AU platforms is represented once, by the RNA-seq record, leaving 69 PACA-AU patients (17 array-only and 52 RNA-seq) and 570 unique patients with 388 deaths in total.</w:t>
      </w:r>
    </w:p>
    <w:p>
      <w:pPr>
        <w:pStyle w:val="BodyText"/>
      </w:pPr>
      <w:r>
        <w:t xml:space="preserve">The DeSurv linear predictor was standardized</w:t>
      </w:r>
      <w:r>
        <w:t xml:space="preserve"> </w:t>
      </w:r>
      <w:r>
        <w:rPr>
          <w:iCs/>
          <w:i/>
        </w:rPr>
        <w:t xml:space="preserve">within</w:t>
      </w:r>
      <w:r>
        <w:t xml:space="preserve"> </w:t>
      </w:r>
      <w:r>
        <w:t xml:space="preserve">cohort (centered and scaled to unit standard deviation separately in each cohort), the same within-group convention as the per-factor forest estimates in main-text Fig. [fig:val]a, there applied to the five platform datasets, and not the pooled-standard-deviation convention used for the headline pooled hazard ratio (Survival Analysis). Within-cohort standardization removes the scale degree of freedom (every cohort’s score then has mean zero and unit standard deviation by construction), so a cohort-by-score interaction tests only whether the slope per within-cohort standard deviation differs between cohorts, and not whether the score is more dispersed in one cohort than another. Both models are Cox regressions of overall survival with a separate baseline hazard for each cohort (stratification): the common-slope model has the standardized predictor as its single covariate, and the cohort-specific-slope model adds the predictor-by-cohort interaction. Comparing them by likelihood-ratio test gave</w:t>
      </w:r>
      <w:r>
        <w:t xml:space="preserve"> </w:t>
      </w:r>
      <m:oMath>
        <m:sSup>
          <m:e>
            <m:r>
              <m:t>χ</m:t>
            </m:r>
          </m:e>
          <m:sup>
            <m:r>
              <m:t>2</m:t>
            </m:r>
          </m:sup>
        </m:sSup>
        <m:r>
          <m:rPr>
            <m:sty m:val="p"/>
          </m:rPr>
          <m:t>=</m:t>
        </m:r>
        <m:r>
          <m:t>1.47</m:t>
        </m:r>
      </m:oMath>
      <w:r>
        <w:t xml:space="preserve"> </w:t>
      </w:r>
      <w:r>
        <w:t xml:space="preserve">on 3 degrees of freedom (</w:t>
      </w:r>
      <m:oMath>
        <m:r>
          <m:t>P</m:t>
        </m:r>
        <m:r>
          <m:rPr>
            <m:sty m:val="p"/>
          </m:rPr>
          <m:t>=</m:t>
        </m:r>
        <m:r>
          <m:t>0.69</m:t>
        </m:r>
      </m:oMath>
      <w:r>
        <w:t xml:space="preserve">); standardizing within platform rather than within cohort, which removes the small residual location difference between the two PACA-AU platforms, gives</w:t>
      </w:r>
      <w:r>
        <w:t xml:space="preserve"> </w:t>
      </w:r>
      <m:oMath>
        <m:sSup>
          <m:e>
            <m:r>
              <m:t>χ</m:t>
            </m:r>
          </m:e>
          <m:sup>
            <m:r>
              <m:t>2</m:t>
            </m:r>
          </m:sup>
        </m:sSup>
        <m:r>
          <m:rPr>
            <m:sty m:val="p"/>
          </m:rPr>
          <m:t>=</m:t>
        </m:r>
        <m:r>
          <m:t>1.59</m:t>
        </m:r>
      </m:oMath>
      <w:r>
        <w:t xml:space="preserve"> </w:t>
      </w:r>
      <w:r>
        <w:t xml:space="preserve">on 3 degrees of freedom (</w:t>
      </w:r>
      <m:oMath>
        <m:r>
          <m:t>P</m:t>
        </m:r>
        <m:r>
          <m:rPr>
            <m:sty m:val="p"/>
          </m:rPr>
          <m:t>=</m:t>
        </m:r>
        <m:r>
          <m:t>0.66</m:t>
        </m:r>
      </m:oMath>
      <w:r>
        <w:t xml:space="preserve">).</w:t>
      </w:r>
    </w:p>
    <w:p>
      <w:pPr>
        <w:pStyle w:val="BodyText"/>
      </w:pPr>
      <w:r>
        <w:t xml:space="preserve">Cochran’s</w:t>
      </w:r>
      <w:r>
        <w:t xml:space="preserve"> </w:t>
      </w:r>
      <m:oMath>
        <m:r>
          <m:t>Q</m:t>
        </m:r>
      </m:oMath>
      <w:r>
        <w:t xml:space="preserve"> </w:t>
      </w:r>
      <w:r>
        <w:t xml:space="preserve">over the four cohort-specific log hazard ratios and their standard errors was</w:t>
      </w:r>
      <w:r>
        <w:t xml:space="preserve"> </w:t>
      </w:r>
      <m:oMath>
        <m:r>
          <m:t>1.47</m:t>
        </m:r>
      </m:oMath>
      <w:r>
        <w:t xml:space="preserve"> </w:t>
      </w:r>
      <w:r>
        <w:t xml:space="preserve">on 3 degrees of freedom (</w:t>
      </w:r>
      <m:oMath>
        <m:r>
          <m:t>P</m:t>
        </m:r>
        <m:r>
          <m:rPr>
            <m:sty m:val="p"/>
          </m:rPr>
          <m:t>=</m:t>
        </m:r>
        <m:r>
          <m:t>0.69</m:t>
        </m:r>
      </m:oMath>
      <w:r>
        <w:t xml:space="preserve">), giving</w:t>
      </w:r>
      <w:r>
        <w:t xml:space="preserve"> </w:t>
      </w:r>
      <m:oMath>
        <m:sSup>
          <m:e>
            <m:r>
              <m:t>I</m:t>
            </m:r>
          </m:e>
          <m:sup>
            <m:r>
              <m:t>2</m:t>
            </m:r>
          </m:sup>
        </m:sSup>
        <m:r>
          <m:rPr>
            <m:sty m:val="p"/>
          </m:rPr>
          <m:t>=</m:t>
        </m:r>
        <m:r>
          <m:t>0</m:t>
        </m:r>
      </m:oMath>
      <w:r>
        <w:t xml:space="preserve">% under</w:t>
      </w:r>
      <w:r>
        <w:t xml:space="preserve"> </w:t>
      </w:r>
      <m:oMath>
        <m:sSup>
          <m:e>
            <m:r>
              <m:t>I</m:t>
            </m:r>
          </m:e>
          <m:sup>
            <m:r>
              <m:t>2</m:t>
            </m:r>
          </m:sup>
        </m:sSup>
        <m:r>
          <m:rPr>
            <m:sty m:val="p"/>
          </m:rPr>
          <m:t>=</m:t>
        </m:r>
        <m:r>
          <m:rPr>
            <m:sty m:val="p"/>
          </m:rPr>
          <m:t>max</m:t>
        </m:r>
        <m:r>
          <m:rPr>
            <m:sty m:val="p"/>
          </m:rPr>
          <m:t>{</m:t>
        </m:r>
        <m:r>
          <m:t>0</m:t>
        </m:r>
        <m:r>
          <m:rPr>
            <m:sty m:val="p"/>
          </m:rPr>
          <m:t>,</m:t>
        </m:r>
        <m:d>
          <m:dPr>
            <m:begChr m:val="("/>
            <m:endChr m:val=")"/>
            <m:sepChr m:val=""/>
            <m:grow/>
          </m:dPr>
          <m:e>
            <m:r>
              <m:t>Q</m:t>
            </m:r>
            <m:r>
              <m:rPr>
                <m:sty m:val="p"/>
              </m:rPr>
              <m:t>−</m:t>
            </m:r>
            <m:r>
              <m:rPr>
                <m:sty m:val="p"/>
              </m:rPr>
              <m:t>d</m:t>
            </m:r>
            <m:r>
              <m:rPr>
                <m:sty m:val="p"/>
              </m:rPr>
              <m:t>f</m:t>
            </m:r>
          </m:e>
        </m:d>
        <m:r>
          <m:rPr>
            <m:sty m:val="p"/>
          </m:rPr>
          <m:t>/</m:t>
        </m:r>
        <m:r>
          <m:t>Q</m:t>
        </m:r>
        <m:r>
          <m:rPr>
            <m:sty m:val="p"/>
          </m:rPr>
          <m:t>}</m:t>
        </m:r>
      </m:oMath>
      <w:r>
        <w:t xml:space="preserve">.</w:t>
      </w:r>
      <w:r>
        <w:t xml:space="preserve"> </w:t>
      </w:r>
      <m:oMath>
        <m:r>
          <m:t>Q</m:t>
        </m:r>
      </m:oMath>
      <w:r>
        <w:t xml:space="preserve"> </w:t>
      </w:r>
      <w:r>
        <w:t xml:space="preserve">and</w:t>
      </w:r>
      <w:r>
        <w:t xml:space="preserve"> </w:t>
      </w:r>
      <m:oMath>
        <m:sSup>
          <m:e>
            <m:r>
              <m:t>I</m:t>
            </m:r>
          </m:e>
          <m:sup>
            <m:r>
              <m:t>2</m:t>
            </m:r>
          </m:sup>
        </m:sSup>
      </m:oMath>
      <w:r>
        <w:t xml:space="preserve"> </w:t>
      </w:r>
      <w:r>
        <w:t xml:space="preserve">are descriptive summaries of dispersion among the four estimates and are reported as complements to the interaction test, not as a substitute for it. The likelihood-ratio test is the inferential statement, and with four cohorts both are low-powered against modest heterogeneity.</w:t>
      </w:r>
    </w:p>
    <w:p>
      <w:pPr>
        <w:pStyle w:val="BodyText"/>
      </w:pPr>
      <w:r>
        <w:t xml:space="preserve">Confidence intervals for the C-index were obtained by a stratified nonparametric bootstrap on the same de-duplicated table, resampling patients with replacement</w:t>
      </w:r>
      <w:r>
        <w:t xml:space="preserve"> </w:t>
      </w:r>
      <w:r>
        <w:rPr>
          <w:iCs/>
          <w:i/>
        </w:rPr>
        <w:t xml:space="preserve">within</w:t>
      </w:r>
      <w:r>
        <w:t xml:space="preserve"> </w:t>
      </w:r>
      <w:r>
        <w:t xml:space="preserve">cohort so that no replicate mixes patients across cohorts or reinstates a de-duplicated PACA-AU record (</w:t>
      </w:r>
      <m:oMath>
        <m:r>
          <m:t>B</m:t>
        </m:r>
        <m:r>
          <m:rPr>
            <m:sty m:val="p"/>
          </m:rPr>
          <m:t>=</m:t>
        </m:r>
        <m:r>
          <m:t>1</m:t>
        </m:r>
        <m:r>
          <m:rPr>
            <m:sty m:val="p"/>
          </m:rPr>
          <m:t>,</m:t>
        </m:r>
        <m:r>
          <m:t>000</m:t>
        </m:r>
      </m:oMath>
      <w:r>
        <w:t xml:space="preserve"> </w:t>
      </w:r>
      <w:r>
        <w:t xml:space="preserve">replicates, seed 1, percentile intervals). Concordance was evaluated as Harrell’s C with higher scores treated as higher risk, the convention of the external-validation C-indices, and the heterogeneity script (Table [tab:scripts]) verifies that this reproduces the per-dataset C-indices of Supplementary Table [tab:tab-cindex-comparison] exactly. The combined value is the event-weighted mean of the cohort C-indices, the same convention as the proper-scoring and tuned-comparator analyses, and therefore never forms a concordance pair across cohorts. The combined C-index was</w:t>
      </w:r>
      <w:r>
        <w:t xml:space="preserve"> </w:t>
      </w:r>
      <m:oMath>
        <m:r>
          <m:t>0.613</m:t>
        </m:r>
      </m:oMath>
      <w:r>
        <w:t xml:space="preserve"> </w:t>
      </w:r>
      <w:r>
        <w:t xml:space="preserve">(95% CI</w:t>
      </w:r>
      <w:r>
        <w:t xml:space="preserve"> </w:t>
      </w:r>
      <m:oMath>
        <m:r>
          <m:t>0.579</m:t>
        </m:r>
      </m:oMath>
      <w:r>
        <w:t xml:space="preserve">–</w:t>
      </w:r>
      <m:oMath>
        <m:r>
          <m:t>0.646</m:t>
        </m:r>
      </m:oMath>
      <w:r>
        <w:t xml:space="preserve">); the per-cohort hazard ratios and C-indices are given in Table [tab:het-ci].</w:t>
      </w:r>
    </w:p>
    <w:bookmarkEnd w:id="52"/>
    <w:bookmarkStart w:id="53" w:name="variance-partition-of-the-d1-score"/>
    <w:p>
      <w:pPr>
        <w:pStyle w:val="Heading1"/>
      </w:pPr>
      <w:r>
        <w:t xml:space="preserve">Variance partition of the D1 score</w:t>
      </w:r>
    </w:p>
    <w:p>
      <w:pPr>
        <w:pStyle w:val="FirstParagraph"/>
      </w:pPr>
      <w:r>
        <w:t xml:space="preserve">The main text reports the fraction of the D1 score’s variance explained by the</w:t>
      </w:r>
      <w:r>
        <w:t xml:space="preserve"> </w:t>
      </w:r>
      <w:r>
        <w:t xml:space="preserve">binary PurIST and DeCAF classifications. D1 scores are first</w:t>
      </w:r>
      <w:r>
        <w:t xml:space="preserve"> </w:t>
      </w:r>
      <w:r>
        <w:t xml:space="preserve">standardized within platform dataset (five levels, applied after PACA-AU</w:t>
      </w:r>
      <w:r>
        <w:t xml:space="preserve"> </w:t>
      </w:r>
      <w:r>
        <w:t xml:space="preserve">de-duplication, so the array and RNA-seq platforms remain separate units), and an ordinary least-squares model is then fitted</w:t>
      </w:r>
      <w:r>
        <w:t xml:space="preserve"> </w:t>
      </w:r>
      <w:r>
        <w:t xml:space="preserve">with platform dataset (five levels) as a fixed effect together with PurIST, DeCAF and their interaction.</w:t>
      </w:r>
      <w:r>
        <w:t xml:space="preserve"> </w:t>
      </w:r>
      <w:r>
        <w:t xml:space="preserve">The quantity reported is the ordinary</w:t>
      </w:r>
      <w:r>
        <w:t xml:space="preserve"> </w:t>
      </w:r>
      <m:oMath>
        <m:sSup>
          <m:e>
            <m:r>
              <m:t>R</m:t>
            </m:r>
          </m:e>
          <m:sup>
            <m:r>
              <m:t>2</m:t>
            </m:r>
          </m:sup>
        </m:sSup>
      </m:oMath>
      <w:r>
        <w:t xml:space="preserve"> </w:t>
      </w:r>
      <w:r>
        <w:t xml:space="preserve">of that model, not the adjusted</w:t>
      </w:r>
      <w:r>
        <w:t xml:space="preserve"> </w:t>
      </w:r>
      <m:oMath>
        <m:sSup>
          <m:e>
            <m:r>
              <m:t>R</m:t>
            </m:r>
          </m:e>
          <m:sup>
            <m:r>
              <m:t>2</m:t>
            </m:r>
          </m:sup>
        </m:sSup>
      </m:oMath>
      <w:r>
        <w:t xml:space="preserve">; on</w:t>
      </w:r>
      <w:r>
        <w:t xml:space="preserve"> </w:t>
      </w:r>
      <m:oMath>
        <m:r>
          <m:t>n</m:t>
        </m:r>
        <m:r>
          <m:rPr>
            <m:sty m:val="p"/>
          </m:rPr>
          <m:t>=</m:t>
        </m:r>
        <m:r>
          <m:t>570</m:t>
        </m:r>
      </m:oMath>
      <w:r>
        <w:t xml:space="preserve"> </w:t>
      </w:r>
      <w:r>
        <w:t xml:space="preserve">with eight estimated parameters the adjusted value is about</w:t>
      </w:r>
      <w:r>
        <w:t xml:space="preserve"> </w:t>
      </w:r>
      <w:r>
        <w:t xml:space="preserve">one percentage point lower. Because the scores are standardized within platform dataset</w:t>
      </w:r>
      <w:r>
        <w:t xml:space="preserve"> </w:t>
      </w:r>
      <w:r>
        <w:t xml:space="preserve">before fitting, the dataset main effect absorbs essentially no variance, so the</w:t>
      </w:r>
      <w:r>
        <w:t xml:space="preserve"> </w:t>
      </w:r>
      <w:r>
        <w:t xml:space="preserve">within-dataset normalization of the reported statistic is a formality rather than</w:t>
      </w:r>
      <w:r>
        <w:t xml:space="preserve"> </w:t>
      </w:r>
      <w:r>
        <w:t xml:space="preserve">a correction. The interaction term contributes negligibly, so the additive and</w:t>
      </w:r>
      <w:r>
        <w:t xml:space="preserve"> </w:t>
      </w:r>
      <w:r>
        <w:t xml:space="preserve">interaction models give the same figure to the reported precision. Prognostic</w:t>
      </w:r>
      <w:r>
        <w:t xml:space="preserve"> </w:t>
      </w:r>
      <w:r>
        <w:t xml:space="preserve">increments over the classifiers are assessed separately, by a partial</w:t>
      </w:r>
      <w:r>
        <w:t xml:space="preserve"> </w:t>
      </w:r>
      <w:r>
        <w:t xml:space="preserve">likelihood-ratio test and the change in concordance from adding D1 to a</w:t>
      </w:r>
      <w:r>
        <w:t xml:space="preserve"> </w:t>
      </w:r>
      <w:r>
        <w:t xml:space="preserve">Cox model stratified by platform dataset (five strata) containing both classifiers.</w:t>
      </w:r>
    </w:p>
    <w:p>
      <w:pPr>
        <w:pStyle w:val="BodyText"/>
      </w:pPr>
      <w:r>
        <w:t xml:space="preserve">D1 could also be a smoothed coding of the four joint PurIST-by-DeCAF subtype</w:t>
      </w:r>
      <w:r>
        <w:t xml:space="preserve"> </w:t>
      </w:r>
      <w:r>
        <w:t xml:space="preserve">cells, so that its classical and restCAF-like arms would simply re-express one</w:t>
      </w:r>
      <w:r>
        <w:t xml:space="preserve"> </w:t>
      </w:r>
      <w:r>
        <w:t xml:space="preserve">cell of a two-by-two. The main text reports the additive adjustment (D1 added to</w:t>
      </w:r>
      <w:r>
        <w:t xml:space="preserve"> </w:t>
      </w:r>
      <w:r>
        <w:t xml:space="preserve">a Cox model stratified by platform dataset containing PurIST and DeCAF as main effects). As a</w:t>
      </w:r>
      <w:r>
        <w:t xml:space="preserve"> </w:t>
      </w:r>
      <w:r>
        <w:t xml:space="preserve">sensitivity analysis we repeated that test with the PurIST-by-DeCAF interaction</w:t>
      </w:r>
      <w:r>
        <w:t xml:space="preserve"> </w:t>
      </w:r>
      <w:r>
        <w:t xml:space="preserve">also in the base model; the statistics below are from this</w:t>
      </w:r>
      <w:r>
        <w:t xml:space="preserve"> </w:t>
      </w:r>
      <w:r>
        <w:t xml:space="preserve">interaction model and differ slightly from the main-text additive ones for that</w:t>
      </w:r>
      <w:r>
        <w:t xml:space="preserve"> </w:t>
      </w:r>
      <w:r>
        <w:t xml:space="preserve">reason. The interaction term itself is not prognostic</w:t>
      </w:r>
      <w:r>
        <w:t xml:space="preserve"> </w:t>
      </w:r>
      <w:r>
        <w:t xml:space="preserve">(HR</w:t>
      </w:r>
      <w:r>
        <w:t xml:space="preserve"> </w:t>
      </w:r>
      <m:oMath>
        <m:r>
          <m:t>1.42</m:t>
        </m:r>
      </m:oMath>
      <w:r>
        <w:t xml:space="preserve">,</w:t>
      </w:r>
      <w:r>
        <w:t xml:space="preserve"> </w:t>
      </w:r>
      <m:oMath>
        <m:r>
          <m:t>P</m:t>
        </m:r>
        <m:r>
          <m:rPr>
            <m:sty m:val="p"/>
          </m:rPr>
          <m:t>=</m:t>
        </m:r>
        <m:r>
          <m:t>0.28</m:t>
        </m:r>
      </m:oMath>
      <w:r>
        <w:t xml:space="preserve">),</w:t>
      </w:r>
      <w:r>
        <w:t xml:space="preserve"> </w:t>
      </w:r>
      <w:r>
        <w:t xml:space="preserve">so there was no evidence that the joint classification improved prognostic fit over the additive one. Adding D1 does improve it: it gives a partial likelihood-ratio statistic of</w:t>
      </w:r>
      <w:r>
        <w:t xml:space="preserve"> </w:t>
      </w:r>
      <m:oMath>
        <m:r>
          <m:t>10.44</m:t>
        </m:r>
      </m:oMath>
      <w:r>
        <w:t xml:space="preserve"> </w:t>
      </w:r>
      <w:r>
        <w:t xml:space="preserve">on 1 degree of freedom</w:t>
      </w:r>
      <w:r>
        <w:t xml:space="preserve"> </w:t>
      </w:r>
      <w:r>
        <w:t xml:space="preserve">(</w:t>
      </w:r>
      <m:oMath>
        <m:r>
          <m:t>P</m:t>
        </m:r>
        <m:r>
          <m:rPr>
            <m:sty m:val="p"/>
          </m:rPr>
          <m:t>=</m:t>
        </m:r>
        <m:r>
          <m:t>0.0012</m:t>
        </m:r>
      </m:oMath>
      <w:r>
        <w:t xml:space="preserve">), an adjusted hazard ratio per standard</w:t>
      </w:r>
      <w:r>
        <w:t xml:space="preserve"> </w:t>
      </w:r>
      <w:r>
        <w:t xml:space="preserve">deviation of</w:t>
      </w:r>
      <w:r>
        <w:t xml:space="preserve"> </w:t>
      </w:r>
      <m:oMath>
        <m:r>
          <m:t>0.82</m:t>
        </m:r>
      </m:oMath>
      <w:r>
        <w:t xml:space="preserve"> </w:t>
      </w:r>
      <w:r>
        <w:t xml:space="preserve">(</w:t>
      </w:r>
      <m:oMath>
        <m:r>
          <m:t>0.73</m:t>
        </m:r>
      </m:oMath>
      <w:r>
        <w:t xml:space="preserve">–</w:t>
      </w:r>
      <m:oMath>
        <m:r>
          <m:t>0.92</m:t>
        </m:r>
      </m:oMath>
      <w:r>
        <w:t xml:space="preserve">), and a</w:t>
      </w:r>
      <w:r>
        <w:t xml:space="preserve"> </w:t>
      </w:r>
      <w:r>
        <w:t xml:space="preserve">concordance increase from</w:t>
      </w:r>
      <w:r>
        <w:t xml:space="preserve"> </w:t>
      </w:r>
      <m:oMath>
        <m:r>
          <m:t>0.592</m:t>
        </m:r>
      </m:oMath>
      <w:r>
        <w:t xml:space="preserve"> </w:t>
      </w:r>
      <w:r>
        <w:t xml:space="preserve">to</w:t>
      </w:r>
      <w:r>
        <w:t xml:space="preserve"> </w:t>
      </w:r>
      <m:oMath>
        <m:r>
          <m:t>0.621</m:t>
        </m:r>
      </m:oMath>
      <w:r>
        <w:t xml:space="preserve">. Re-coding the two classifiers as a single</w:t>
      </w:r>
      <w:r>
        <w:t xml:space="preserve"> </w:t>
      </w:r>
      <w:r>
        <w:t xml:space="preserve">saturated four-level categorical variable is the same model reparameterized and</w:t>
      </w:r>
      <w:r>
        <w:t xml:space="preserve"> </w:t>
      </w:r>
      <w:r>
        <w:t xml:space="preserve">returns the identical statistic</w:t>
      </w:r>
      <w:r>
        <w:t xml:space="preserve"> </w:t>
      </w:r>
      <w:r>
        <w:t xml:space="preserve">(</w:t>
      </w:r>
      <m:oMath>
        <m:sSup>
          <m:e>
            <m:r>
              <m:t>χ</m:t>
            </m:r>
          </m:e>
          <m:sup>
            <m:r>
              <m:t>2</m:t>
            </m:r>
          </m:sup>
        </m:sSup>
        <m:r>
          <m:rPr>
            <m:sty m:val="p"/>
          </m:rPr>
          <m:t>=</m:t>
        </m:r>
        <m:r>
          <m:t>10.44</m:t>
        </m:r>
      </m:oMath>
      <w:r>
        <w:t xml:space="preserve">). D1’s prognostic information is therefore not captured by the saturated four-level joint classification.</w:t>
      </w:r>
    </w:p>
    <w:bookmarkEnd w:id="53"/>
    <w:bookmarkStart w:id="54" w:name="Xddc27719868698939a9a11e7f4ff5bdee7456c2"/>
    <w:p>
      <w:pPr>
        <w:pStyle w:val="Heading1"/>
      </w:pPr>
      <w:r>
        <w:t xml:space="preserve">Adjustment for clinical covariates and tumor purity</w:t>
      </w:r>
    </w:p>
    <w:p>
      <w:pPr>
        <w:pStyle w:val="FirstParagraph"/>
      </w:pPr>
      <w:r>
        <w:t xml:space="preserve">The association of the frozen DeSurv linear predictor with survival was estimated in cohort-specific Cox models before and after adjustment for the clinical covariates that cohort annotates and, where available, for tumor purity (Table [tab:clinical-adjustment]). Purity annotation is present in only a subset of cohorts and is derived by different estimators across them (TCGA-PAAD purity was estimated by ABSOLUTE; the PACA-AU and Moffitt purity fields were used as distributed with the cohort annotations, which do not identify the estimator), so it is used here solely as an adjustment covariate; wherever purity could be measured on a full cohort the adjusted hazard ratio was essentially unchanged from the unadjusted one, providing no evidence that the association was explained by measured tumor purity. Consistently, the D1 score itself correlated only weakly with purity in the two full-cohort datasets (Spearman</w:t>
      </w:r>
      <w:r>
        <w:t xml:space="preserve"> </w:t>
      </w:r>
      <m:oMath>
        <m:r>
          <m:t>ρ</m:t>
        </m:r>
        <m:r>
          <m:rPr>
            <m:sty m:val="p"/>
          </m:rPr>
          <m:t>=</m:t>
        </m:r>
        <m:r>
          <m:t>0.06</m:t>
        </m:r>
      </m:oMath>
      <w:r>
        <w:t xml:space="preserve"> </w:t>
      </w:r>
      <w:r>
        <w:t xml:space="preserve">in PACA-AU array and</w:t>
      </w:r>
      <w:r>
        <w:t xml:space="preserve"> </w:t>
      </w:r>
      <m:oMath>
        <m:r>
          <m:rPr>
            <m:sty m:val="p"/>
          </m:rPr>
          <m:t>−</m:t>
        </m:r>
        <m:r>
          <m:t>0.05</m:t>
        </m:r>
      </m:oMath>
      <w:r>
        <w:t xml:space="preserve"> </w:t>
      </w:r>
      <w:r>
        <w:t xml:space="preserve">in PACA-AU RNA-seq), the values reported in the main text.</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Cohort</w:t>
            </w:r>
          </w:p>
        </w:tc>
        <w:tc>
          <w:tcPr/>
          <w:p>
            <w:pPr>
              <w:pStyle w:val="Compact"/>
              <w:jc w:val="left"/>
            </w:pPr>
            <w:r>
              <w:t xml:space="preserve">Covariates</w:t>
            </w:r>
          </w:p>
        </w:tc>
        <w:tc>
          <w:tcPr/>
          <w:p>
            <w:pPr>
              <w:pStyle w:val="Compact"/>
              <w:jc w:val="left"/>
            </w:pPr>
            <w:r>
              <w:t xml:space="preserve">Unadjusted</w:t>
            </w:r>
          </w:p>
        </w:tc>
        <w:tc>
          <w:tcPr/>
          <w:p>
            <w:pPr>
              <w:pStyle w:val="Compact"/>
              <w:jc w:val="left"/>
            </w:pPr>
            <w:r>
              <w:t xml:space="preserve">Clinical-adjusted</w:t>
            </w:r>
          </w:p>
        </w:tc>
        <w:tc>
          <w:tcPr/>
          <w:p>
            <w:pPr>
              <w:pStyle w:val="Compact"/>
              <w:jc w:val="left"/>
            </w:pPr>
            <w:r>
              <w:t xml:space="preserve">Purity-adjusted</w:t>
            </w:r>
          </w:p>
        </w:tc>
      </w:tr>
      <w:tr>
        <w:tc>
          <w:tcPr/>
          <w:p>
            <w:pPr>
              <w:pStyle w:val="Compact"/>
              <w:jc w:val="left"/>
            </w:pPr>
            <w:r>
              <w:t xml:space="preserve">PACA-AU array</w:t>
            </w:r>
          </w:p>
        </w:tc>
        <w:tc>
          <w:tcPr/>
          <w:p>
            <w:pPr>
              <w:pStyle w:val="Compact"/>
              <w:jc w:val="left"/>
            </w:pPr>
            <w:r>
              <w:t xml:space="preserve">stage, grade, age, sex</w:t>
            </w:r>
          </w:p>
        </w:tc>
        <w:tc>
          <w:tcPr/>
          <w:p>
            <w:pPr>
              <w:pStyle w:val="Compact"/>
              <w:jc w:val="left"/>
            </w:pPr>
            <w:r>
              <w:t xml:space="preserve">1.44 (1.07–1.93),</w:t>
            </w:r>
            <w:r>
              <w:t xml:space="preserve"> </w:t>
            </w:r>
            <m:oMath>
              <m:r>
                <m:t>0.016</m:t>
              </m:r>
            </m:oMath>
            <w:r>
              <w:t xml:space="preserve"> </w:t>
            </w:r>
            <w:r>
              <w:t xml:space="preserve">(</w:t>
            </w:r>
            <m:oMath>
              <m:r>
                <m:t>n</m:t>
              </m:r>
            </m:oMath>
            <w:r>
              <w:t xml:space="preserve">=63, 38 ev)</w:t>
            </w:r>
          </w:p>
        </w:tc>
        <w:tc>
          <w:tcPr/>
          <w:p>
            <w:pPr>
              <w:pStyle w:val="Compact"/>
              <w:jc w:val="left"/>
            </w:pPr>
            <w:r>
              <w:t xml:space="preserve">1.58 (1.06–2.35),</w:t>
            </w:r>
            <w:r>
              <w:t xml:space="preserve"> </w:t>
            </w:r>
            <m:oMath>
              <m:r>
                <m:t>0.025</m:t>
              </m:r>
            </m:oMath>
            <w:r>
              <w:t xml:space="preserve"> </w:t>
            </w:r>
            <w:r>
              <w:t xml:space="preserve">(</w:t>
            </w:r>
            <m:oMath>
              <m:r>
                <m:t>n</m:t>
              </m:r>
            </m:oMath>
            <w:r>
              <w:t xml:space="preserve">=62, 37 ev)</w:t>
            </w:r>
          </w:p>
        </w:tc>
        <w:tc>
          <w:tcPr/>
          <w:p>
            <w:pPr>
              <w:pStyle w:val="Compact"/>
              <w:jc w:val="left"/>
            </w:pPr>
            <w:r>
              <w:t xml:space="preserve">1.45 (1.08–1.96),</w:t>
            </w:r>
            <w:r>
              <w:t xml:space="preserve"> </w:t>
            </w:r>
            <m:oMath>
              <m:r>
                <m:t>0.014</m:t>
              </m:r>
            </m:oMath>
            <w:r>
              <w:t xml:space="preserve"> </w:t>
            </w:r>
            <w:r>
              <w:t xml:space="preserve">(</w:t>
            </w:r>
            <m:oMath>
              <m:r>
                <m:t>n</m:t>
              </m:r>
            </m:oMath>
            <w:r>
              <w:t xml:space="preserve">=63, 38 ev)</w:t>
            </w:r>
          </w:p>
        </w:tc>
      </w:tr>
      <w:tr>
        <w:tc>
          <w:tcPr/>
          <w:p>
            <w:pPr>
              <w:pStyle w:val="Compact"/>
              <w:jc w:val="left"/>
            </w:pPr>
            <w:r>
              <w:t xml:space="preserve">PACA-AU RNA-seq</w:t>
            </w:r>
          </w:p>
        </w:tc>
        <w:tc>
          <w:tcPr/>
          <w:p>
            <w:pPr>
              <w:pStyle w:val="Compact"/>
              <w:jc w:val="left"/>
            </w:pPr>
            <w:r>
              <w:t xml:space="preserve">stage, grade, age, sex</w:t>
            </w:r>
          </w:p>
        </w:tc>
        <w:tc>
          <w:tcPr/>
          <w:p>
            <w:pPr>
              <w:pStyle w:val="Compact"/>
              <w:jc w:val="left"/>
            </w:pPr>
            <w:r>
              <w:t xml:space="preserve">1.66 (1.15–2.38),</w:t>
            </w:r>
            <w:r>
              <w:t xml:space="preserve"> </w:t>
            </w:r>
            <m:oMath>
              <m:r>
                <m:t>0.006</m:t>
              </m:r>
            </m:oMath>
            <w:r>
              <w:t xml:space="preserve"> </w:t>
            </w:r>
            <w:r>
              <w:t xml:space="preserve">(</w:t>
            </w:r>
            <m:oMath>
              <m:r>
                <m:t>n</m:t>
              </m:r>
            </m:oMath>
            <w:r>
              <w:t xml:space="preserve">=52, 31 ev)</w:t>
            </w:r>
          </w:p>
        </w:tc>
        <w:tc>
          <w:tcPr/>
          <w:p>
            <w:pPr>
              <w:pStyle w:val="Compact"/>
              <w:jc w:val="left"/>
            </w:pPr>
            <w:r>
              <w:t xml:space="preserve">1.56 (0.95–2.55),</w:t>
            </w:r>
            <w:r>
              <w:t xml:space="preserve"> </w:t>
            </w:r>
            <m:oMath>
              <m:r>
                <m:t>0.077</m:t>
              </m:r>
            </m:oMath>
            <w:r>
              <w:t xml:space="preserve"> </w:t>
            </w:r>
            <w:r>
              <w:t xml:space="preserve">(</w:t>
            </w:r>
            <m:oMath>
              <m:r>
                <m:t>n</m:t>
              </m:r>
            </m:oMath>
            <w:r>
              <w:t xml:space="preserve">=51, 30 ev)</w:t>
            </w:r>
          </w:p>
        </w:tc>
        <w:tc>
          <w:tcPr/>
          <w:p>
            <w:pPr>
              <w:pStyle w:val="Compact"/>
              <w:jc w:val="left"/>
            </w:pPr>
            <w:r>
              <w:t xml:space="preserve">1.65 (1.15–2.36),</w:t>
            </w:r>
            <w:r>
              <w:t xml:space="preserve"> </w:t>
            </w:r>
            <m:oMath>
              <m:r>
                <m:t>0.006</m:t>
              </m:r>
            </m:oMath>
            <w:r>
              <w:t xml:space="preserve"> </w:t>
            </w:r>
            <w:r>
              <w:t xml:space="preserve">(</w:t>
            </w:r>
            <m:oMath>
              <m:r>
                <m:t>n</m:t>
              </m:r>
            </m:oMath>
            <w:r>
              <w:t xml:space="preserve">=52, 31 ev)</w:t>
            </w:r>
          </w:p>
        </w:tc>
      </w:tr>
      <w:tr>
        <w:tc>
          <w:tcPr/>
          <w:p>
            <w:pPr>
              <w:pStyle w:val="Compact"/>
              <w:jc w:val="left"/>
            </w:pPr>
            <w:r>
              <w:t xml:space="preserve">Puleo</w:t>
            </w:r>
          </w:p>
        </w:tc>
        <w:tc>
          <w:tcPr/>
          <w:p>
            <w:pPr>
              <w:pStyle w:val="Compact"/>
              <w:jc w:val="left"/>
            </w:pPr>
            <w:r>
              <w:t xml:space="preserve">sex, margin</w:t>
            </w:r>
          </w:p>
        </w:tc>
        <w:tc>
          <w:tcPr/>
          <w:p>
            <w:pPr>
              <w:pStyle w:val="Compact"/>
              <w:jc w:val="left"/>
            </w:pPr>
            <w:r>
              <w:t xml:space="preserve">1.37 (1.18–1.59),</w:t>
            </w:r>
            <w:r>
              <w:t xml:space="preserve"> </w:t>
            </w:r>
            <m:oMath>
              <m:r>
                <m:rPr>
                  <m:sty m:val="p"/>
                </m:rPr>
                <m:t>&lt;</m:t>
              </m:r>
              <m:r>
                <m:t>0.001</m:t>
              </m:r>
            </m:oMath>
            <w:r>
              <w:t xml:space="preserve"> </w:t>
            </w:r>
            <w:r>
              <w:t xml:space="preserve">(</w:t>
            </w:r>
            <m:oMath>
              <m:r>
                <m:t>n</m:t>
              </m:r>
            </m:oMath>
            <w:r>
              <w:t xml:space="preserve">=288, 181 ev)</w:t>
            </w:r>
          </w:p>
        </w:tc>
        <w:tc>
          <w:tcPr/>
          <w:p>
            <w:pPr>
              <w:pStyle w:val="Compact"/>
              <w:jc w:val="left"/>
            </w:pPr>
            <w:r>
              <w:t xml:space="preserve">1.33 (1.14–1.55),</w:t>
            </w:r>
            <w:r>
              <w:t xml:space="preserve"> </w:t>
            </w:r>
            <m:oMath>
              <m:r>
                <m:rPr>
                  <m:sty m:val="p"/>
                </m:rPr>
                <m:t>&lt;</m:t>
              </m:r>
              <m:r>
                <m:t>0.001</m:t>
              </m:r>
            </m:oMath>
            <w:r>
              <w:t xml:space="preserve"> </w:t>
            </w:r>
            <w:r>
              <w:t xml:space="preserve">(</w:t>
            </w:r>
            <m:oMath>
              <m:r>
                <m:t>n</m:t>
              </m:r>
            </m:oMath>
            <w:r>
              <w:t xml:space="preserve">=284, 177 ev)</w:t>
            </w:r>
          </w:p>
        </w:tc>
        <w:tc>
          <w:tcPr/>
          <w:p>
            <w:pPr>
              <w:pStyle w:val="Compact"/>
              <w:jc w:val="left"/>
            </w:pPr>
            <w:r>
              <w:t xml:space="preserve">—</w:t>
            </w:r>
          </w:p>
        </w:tc>
      </w:tr>
      <w:tr>
        <w:tc>
          <w:tcPr/>
          <w:p>
            <w:pPr>
              <w:pStyle w:val="Compact"/>
              <w:jc w:val="left"/>
            </w:pPr>
            <w:r>
              <w:t xml:space="preserve">Dijk</w:t>
            </w:r>
          </w:p>
        </w:tc>
        <w:tc>
          <w:tcPr/>
          <w:p>
            <w:pPr>
              <w:pStyle w:val="Compact"/>
              <w:jc w:val="left"/>
            </w:pPr>
            <w:r>
              <w:t xml:space="preserve">grade, age, sex, nodal</w:t>
            </w:r>
          </w:p>
        </w:tc>
        <w:tc>
          <w:tcPr/>
          <w:p>
            <w:pPr>
              <w:pStyle w:val="Compact"/>
              <w:jc w:val="left"/>
            </w:pPr>
            <w:r>
              <w:t xml:space="preserve">1.32 (1.06–1.66),</w:t>
            </w:r>
            <w:r>
              <w:t xml:space="preserve"> </w:t>
            </w:r>
            <m:oMath>
              <m:r>
                <m:t>0.015</m:t>
              </m:r>
            </m:oMath>
            <w:r>
              <w:t xml:space="preserve"> </w:t>
            </w:r>
            <w:r>
              <w:t xml:space="preserve">(</w:t>
            </w:r>
            <m:oMath>
              <m:r>
                <m:t>n</m:t>
              </m:r>
            </m:oMath>
            <w:r>
              <w:t xml:space="preserve">=90, 81 ev)</w:t>
            </w:r>
          </w:p>
        </w:tc>
        <w:tc>
          <w:tcPr/>
          <w:p>
            <w:pPr>
              <w:pStyle w:val="Compact"/>
              <w:jc w:val="left"/>
            </w:pPr>
            <w:r>
              <w:t xml:space="preserve">1.18 (0.92–1.50),</w:t>
            </w:r>
            <w:r>
              <w:t xml:space="preserve"> </w:t>
            </w:r>
            <m:oMath>
              <m:r>
                <m:t>0.189</m:t>
              </m:r>
            </m:oMath>
            <w:r>
              <w:t xml:space="preserve"> </w:t>
            </w:r>
            <w:r>
              <w:t xml:space="preserve">(</w:t>
            </w:r>
            <m:oMath>
              <m:r>
                <m:t>n</m:t>
              </m:r>
            </m:oMath>
            <w:r>
              <w:t xml:space="preserve">=85, 77 ev)</w:t>
            </w:r>
          </w:p>
        </w:tc>
        <w:tc>
          <w:tcPr/>
          <w:p>
            <w:pPr>
              <w:pStyle w:val="Compact"/>
              <w:jc w:val="left"/>
            </w:pPr>
            <w:r>
              <w:t xml:space="preserve">—</w:t>
            </w:r>
          </w:p>
        </w:tc>
      </w:tr>
      <w:tr>
        <w:tc>
          <w:tcPr/>
          <w:p>
            <w:pPr>
              <w:pStyle w:val="Compact"/>
              <w:jc w:val="left"/>
            </w:pPr>
            <w:r>
              <w:t xml:space="preserve">Moffitt</w:t>
            </w:r>
          </w:p>
        </w:tc>
        <w:tc>
          <w:tcPr/>
          <w:p>
            <w:pPr>
              <w:pStyle w:val="Compact"/>
              <w:jc w:val="left"/>
            </w:pPr>
            <w:r>
              <w:t xml:space="preserve">sex, margin</w:t>
            </w:r>
          </w:p>
        </w:tc>
        <w:tc>
          <w:tcPr/>
          <w:p>
            <w:pPr>
              <w:pStyle w:val="Compact"/>
              <w:jc w:val="left"/>
            </w:pPr>
            <w:r>
              <w:t xml:space="preserve">1.20 (0.98–1.48),</w:t>
            </w:r>
            <w:r>
              <w:t xml:space="preserve"> </w:t>
            </w:r>
            <m:oMath>
              <m:r>
                <m:t>0.076</m:t>
              </m:r>
            </m:oMath>
            <w:r>
              <w:t xml:space="preserve"> </w:t>
            </w:r>
            <w:r>
              <w:t xml:space="preserve">(</w:t>
            </w:r>
            <m:oMath>
              <m:r>
                <m:t>n</m:t>
              </m:r>
            </m:oMath>
            <w:r>
              <w:t xml:space="preserve">=123, 83 ev)</w:t>
            </w:r>
          </w:p>
        </w:tc>
        <w:tc>
          <w:tcPr/>
          <w:p>
            <w:pPr>
              <w:pStyle w:val="Compact"/>
              <w:jc w:val="left"/>
            </w:pPr>
            <w:r>
              <w:t xml:space="preserve">1.20 (0.94–1.53),</w:t>
            </w:r>
            <w:r>
              <w:t xml:space="preserve"> </w:t>
            </w:r>
            <m:oMath>
              <m:r>
                <m:t>0.154</m:t>
              </m:r>
            </m:oMath>
            <w:r>
              <w:t xml:space="preserve"> </w:t>
            </w:r>
            <w:r>
              <w:t xml:space="preserve">(</w:t>
            </w:r>
            <m:oMath>
              <m:r>
                <m:t>n</m:t>
              </m:r>
            </m:oMath>
            <w:r>
              <w:t xml:space="preserve">=98, 67 ev)</w:t>
            </w:r>
          </w:p>
        </w:tc>
        <w:tc>
          <w:tcPr/>
          <w:p>
            <w:pPr>
              <w:pStyle w:val="Compact"/>
              <w:jc w:val="left"/>
            </w:pPr>
            <w:r>
              <w:t xml:space="preserve">0.87 (0.50–1.54),</w:t>
            </w:r>
            <w:r>
              <w:t xml:space="preserve"> </w:t>
            </w:r>
            <m:oMath>
              <m:r>
                <m:t>0.639</m:t>
              </m:r>
            </m:oMath>
            <w:r>
              <w:t xml:space="preserve"> </w:t>
            </w:r>
            <w:r>
              <w:t xml:space="preserve">(</w:t>
            </w:r>
            <m:oMath>
              <m:r>
                <m:t>n</m:t>
              </m:r>
            </m:oMath>
            <w:r>
              <w:t xml:space="preserve">=29, 18 ev)</w:t>
            </w:r>
          </w:p>
        </w:tc>
      </w:tr>
      <w:tr>
        <w:tc>
          <w:tcPr/>
          <w:p>
            <w:pPr>
              <w:pStyle w:val="Compact"/>
              <w:jc w:val="left"/>
            </w:pPr>
            <w:r>
              <w:t xml:space="preserve">TCGA (train)</w:t>
            </w:r>
          </w:p>
        </w:tc>
        <w:tc>
          <w:tcPr/>
          <w:p>
            <w:pPr>
              <w:pStyle w:val="Compact"/>
              <w:jc w:val="left"/>
            </w:pPr>
            <w:r>
              <w:t xml:space="preserve">stage, grade, age, sex, nodal</w:t>
            </w:r>
          </w:p>
        </w:tc>
        <w:tc>
          <w:tcPr/>
          <w:p>
            <w:pPr>
              <w:pStyle w:val="Compact"/>
              <w:jc w:val="left"/>
            </w:pPr>
            <w:r>
              <w:t xml:space="preserve">3.50 (2.63–4.66),</w:t>
            </w:r>
            <w:r>
              <w:t xml:space="preserve"> </w:t>
            </w:r>
            <m:oMath>
              <m:r>
                <m:rPr>
                  <m:sty m:val="p"/>
                </m:rPr>
                <m:t>&lt;</m:t>
              </m:r>
              <m:r>
                <m:t>0.001</m:t>
              </m:r>
            </m:oMath>
            <w:r>
              <w:t xml:space="preserve"> </w:t>
            </w:r>
            <w:r>
              <w:t xml:space="preserve">(</w:t>
            </w:r>
            <m:oMath>
              <m:r>
                <m:t>n</m:t>
              </m:r>
            </m:oMath>
            <w:r>
              <w:t xml:space="preserve">=144, 75 ev)</w:t>
            </w:r>
          </w:p>
        </w:tc>
        <w:tc>
          <w:tcPr/>
          <w:p>
            <w:pPr>
              <w:pStyle w:val="Compact"/>
              <w:jc w:val="left"/>
            </w:pPr>
            <w:r>
              <w:t xml:space="preserve">3.32 (2.40–4.59),</w:t>
            </w:r>
            <w:r>
              <w:t xml:space="preserve"> </w:t>
            </w:r>
            <m:oMath>
              <m:r>
                <m:rPr>
                  <m:sty m:val="p"/>
                </m:rPr>
                <m:t>&lt;</m:t>
              </m:r>
              <m:r>
                <m:t>0.001</m:t>
              </m:r>
            </m:oMath>
            <w:r>
              <w:t xml:space="preserve"> </w:t>
            </w:r>
            <w:r>
              <w:t xml:space="preserve">(</w:t>
            </w:r>
            <m:oMath>
              <m:r>
                <m:t>n</m:t>
              </m:r>
            </m:oMath>
            <w:r>
              <w:t xml:space="preserve">=142, 74 ev)</w:t>
            </w:r>
          </w:p>
        </w:tc>
        <w:tc>
          <w:tcPr/>
          <w:p>
            <w:pPr>
              <w:pStyle w:val="Compact"/>
              <w:jc w:val="left"/>
            </w:pPr>
            <w:r>
              <w:t xml:space="preserve">3.60 (2.68–4.84),</w:t>
            </w:r>
            <w:r>
              <w:t xml:space="preserve"> </w:t>
            </w:r>
            <m:oMath>
              <m:r>
                <m:rPr>
                  <m:sty m:val="p"/>
                </m:rPr>
                <m:t>&lt;</m:t>
              </m:r>
              <m:r>
                <m:t>0.001</m:t>
              </m:r>
            </m:oMath>
            <w:r>
              <w:t xml:space="preserve"> </w:t>
            </w:r>
            <w:r>
              <w:t xml:space="preserve">(</w:t>
            </w:r>
            <m:oMath>
              <m:r>
                <m:t>n</m:t>
              </m:r>
            </m:oMath>
            <w:r>
              <w:t xml:space="preserve">=143, 74 ev)</w:t>
            </w:r>
          </w:p>
        </w:tc>
      </w:tr>
      <w:tr>
        <w:tc>
          <w:tcPr/>
          <w:p>
            <w:pPr>
              <w:pStyle w:val="Compact"/>
              <w:jc w:val="left"/>
            </w:pPr>
            <w:r>
              <w:t xml:space="preserve">CPTAC (train)</w:t>
            </w:r>
          </w:p>
        </w:tc>
        <w:tc>
          <w:tcPr/>
          <w:p>
            <w:pPr>
              <w:pStyle w:val="Compact"/>
              <w:jc w:val="left"/>
            </w:pPr>
            <w:r>
              <w:t xml:space="preserve">stage, age, sex, nodal</w:t>
            </w:r>
          </w:p>
        </w:tc>
        <w:tc>
          <w:tcPr/>
          <w:p>
            <w:pPr>
              <w:pStyle w:val="Compact"/>
              <w:jc w:val="left"/>
            </w:pPr>
            <w:r>
              <w:t xml:space="preserve">3.72 (2.73–5.08),</w:t>
            </w:r>
            <w:r>
              <w:t xml:space="preserve"> </w:t>
            </w:r>
            <m:oMath>
              <m:r>
                <m:rPr>
                  <m:sty m:val="p"/>
                </m:rPr>
                <m:t>&lt;</m:t>
              </m:r>
              <m:r>
                <m:t>0.001</m:t>
              </m:r>
            </m:oMath>
            <w:r>
              <w:t xml:space="preserve"> </w:t>
            </w:r>
            <w:r>
              <w:t xml:space="preserve">(</w:t>
            </w:r>
            <m:oMath>
              <m:r>
                <m:t>n</m:t>
              </m:r>
            </m:oMath>
            <w:r>
              <w:t xml:space="preserve">=129, 64 ev)</w:t>
            </w:r>
          </w:p>
        </w:tc>
        <w:tc>
          <w:tcPr/>
          <w:p>
            <w:pPr>
              <w:pStyle w:val="Compact"/>
              <w:jc w:val="left"/>
            </w:pPr>
            <w:r>
              <w:t xml:space="preserve">3.59 (2.59–4.97),</w:t>
            </w:r>
            <w:r>
              <w:t xml:space="preserve"> </w:t>
            </w:r>
            <m:oMath>
              <m:r>
                <m:rPr>
                  <m:sty m:val="p"/>
                </m:rPr>
                <m:t>&lt;</m:t>
              </m:r>
              <m:r>
                <m:t>0.001</m:t>
              </m:r>
            </m:oMath>
            <w:r>
              <w:t xml:space="preserve"> </w:t>
            </w:r>
            <w:r>
              <w:t xml:space="preserve">(</w:t>
            </w:r>
            <m:oMath>
              <m:r>
                <m:t>n</m:t>
              </m:r>
            </m:oMath>
            <w:r>
              <w:t xml:space="preserve">=123, 61 ev)</w:t>
            </w:r>
          </w:p>
        </w:tc>
        <w:tc>
          <w:tcPr/>
          <w:p>
            <w:pPr>
              <w:pStyle w:val="Compact"/>
              <w:jc w:val="left"/>
            </w:pPr>
            <w:r>
              <w:t xml:space="preserve">—</w:t>
            </w:r>
          </w:p>
        </w:tc>
      </w:tr>
    </w:tbl>
    <w:p>
      <w:pPr>
        <w:pStyle w:val="BodyText"/>
      </w:pPr>
      <w:r>
        <w:rPr>
          <w:iCs/>
          <w:i/>
        </w:rPr>
        <w:t xml:space="preserve">Hazard ratios (per SD of the DeSurv linear predictor) for overall survival, before and after adjustment for standard clinical covariates and, where annotated, tumor purity, fitted separately in each cohort by complete-case analysis (per-cell</w:t>
      </w:r>
      <w:r>
        <w:rPr>
          <w:iCs/>
          <w:i/>
        </w:rPr>
        <w:t xml:space="preserve"> </w:t>
      </w:r>
      <m:oMath>
        <m:r>
          <m:t>n</m:t>
        </m:r>
      </m:oMath>
      <w:r>
        <w:rPr>
          <w:iCs/>
          <w:i/>
        </w:rPr>
        <w:t xml:space="preserve"> </w:t>
      </w:r>
      <w:r>
        <w:rPr>
          <w:iCs/>
          <w:i/>
        </w:rPr>
        <w:t xml:space="preserve">and events shown). The Covariates column lists the clinical variables entered (stage, grade, age, sex, nodal status, or resection margin, as available). After clinical adjustment the DeSurv score remains independently prognostic in Puleo, PACA-AU array and both training cohorts, and is attenuated to non-significance in PACA-AU RNA-seq, Dijk and Moffitt, the three smallest complete-case sets. Where tumor-purity annotation was available, purity adjustment left the estimate essentially unchanged wherever it could be measured on the full cohort (PACA-AU array 1.44 versus 1.45, PACA-AU RNA-seq 1.66 versus 1.65, TCGA 3.50 versus 3.60; unadjusted versus purity-adjusted), providing no evidence that the association was explained by measured tumor purity. The smaller Dijk and Moffitt cohorts are individually underpowered, and their estimates are correspondingly unstable: Moffitt is non-significant both unadjusted and after adjustment, and its purity-adjusted model rests on only</w:t>
      </w:r>
      <w:r>
        <w:rPr>
          <w:iCs/>
          <w:i/>
        </w:rPr>
        <w:t xml:space="preserve"> </w:t>
      </w:r>
      <m:oMath>
        <m:r>
          <m:t>n</m:t>
        </m:r>
        <m:r>
          <m:rPr>
            <m:sty m:val="p"/>
          </m:rPr>
          <m:t>=</m:t>
        </m:r>
        <m:r>
          <m:t>29</m:t>
        </m:r>
      </m:oMath>
      <w:r>
        <w:rPr>
          <w:iCs/>
          <w:i/>
        </w:rPr>
        <w:t xml:space="preserve"> </w:t>
      </w:r>
      <w:r>
        <w:rPr>
          <w:iCs/>
          <w:i/>
        </w:rPr>
        <w:t xml:space="preserve">of its 123 patients. Training-cohort (TCGA, CPTAC) hazard ratios are in-sample.</w:t>
      </w:r>
    </w:p>
    <w:bookmarkEnd w:id="54"/>
    <w:bookmarkStart w:id="55" w:name="X8cbc407d541f9b11d40711e80c4433cb4b305b3"/>
    <w:p>
      <w:pPr>
        <w:pStyle w:val="Heading1"/>
      </w:pPr>
      <w:r>
        <w:t xml:space="preserve">Empirical optimization stability across random initializations</w:t>
      </w:r>
    </w:p>
    <w:p>
      <w:pPr>
        <w:pStyle w:val="FirstParagraph"/>
      </w:pPr>
      <w:r>
        <w:t xml:space="preserve">The idealized alternating scheme is not accompanied by a formal convergence guarantee for the fitted models. With</w:t>
      </w:r>
      <w:r>
        <w:t xml:space="preserve"> </w:t>
      </w:r>
      <m:oMath>
        <m:sSub>
          <m:e>
            <m:r>
              <m:t>λ</m:t>
            </m:r>
          </m:e>
          <m:sub>
            <m:r>
              <m:t>H</m:t>
            </m:r>
          </m:sub>
        </m:sSub>
        <m:r>
          <m:rPr>
            <m:sty m:val="p"/>
          </m:rPr>
          <m:t>=</m:t>
        </m:r>
        <m:r>
          <m:t>0</m:t>
        </m:r>
      </m:oMath>
      <w:r>
        <w:t xml:space="preserve">, as in the reported analyses, strict convexity of the</w:t>
      </w:r>
      <w:r>
        <w:t xml:space="preserve"> </w:t>
      </w:r>
      <m:oMath>
        <m:r>
          <m:t>H</m:t>
        </m:r>
      </m:oMath>
      <w:r>
        <w:t xml:space="preserve">-subproblem and uniqueness of its block minimizer are not guaranteed a priori, so convergence results that require unique block minimizers do not apply directly; in addition, the implemented algorithm combines column normalization, rescaling of the weighted reconstruction and Cox gradients by the norm-based factor</w:t>
      </w:r>
      <w:r>
        <w:t xml:space="preserve"> </w:t>
      </w:r>
      <m:oMath>
        <m:r>
          <m:t>ζ</m:t>
        </m:r>
      </m:oMath>
      <w:r>
        <w:t xml:space="preserve"> </w:t>
      </w:r>
      <w:r>
        <w:t xml:space="preserve">subject to its stabilizer and cap, and a Coxnet approximation of the</w:t>
      </w:r>
      <w:r>
        <w:t xml:space="preserve"> </w:t>
      </w:r>
      <m:oMath>
        <m:r>
          <m:t>β</m:t>
        </m:r>
      </m:oMath>
      <w:r>
        <w:t xml:space="preserve"> </w:t>
      </w:r>
      <w:r>
        <w:t xml:space="preserve">update. We therefore assessed optimization behavior empirically across</w:t>
      </w:r>
      <w:r>
        <w:t xml:space="preserve"> </w:t>
      </w:r>
      <m:oMath>
        <m:r>
          <m:t>R</m:t>
        </m:r>
        <m:r>
          <m:rPr>
            <m:sty m:val="p"/>
          </m:rPr>
          <m:t>=</m:t>
        </m:r>
        <m:r>
          <m:t>100</m:t>
        </m:r>
      </m:oMath>
      <w:r>
        <w:t xml:space="preserve"> </w:t>
      </w:r>
      <w:r>
        <w:t xml:space="preserve">independent random initializations of the selected PDAC model, with a stopping tolerance of</w:t>
      </w:r>
      <w:r>
        <w:t xml:space="preserve"> </w:t>
      </w:r>
      <m:oMath>
        <m:sSup>
          <m:e>
            <m:r>
              <m:t>10</m:t>
            </m:r>
          </m:e>
          <m:sup>
            <m:r>
              <m:rPr>
                <m:sty m:val="p"/>
              </m:rPr>
              <m:t>−</m:t>
            </m:r>
            <m:r>
              <m:t>7</m:t>
            </m:r>
          </m:sup>
        </m:sSup>
      </m:oMath>
      <w:r>
        <w:t xml:space="preserve"> </w:t>
      </w:r>
      <w:r>
        <w:t xml:space="preserve">applied to the cosine change of</w:t>
      </w:r>
      <w:r>
        <w:t xml:space="preserve"> </w:t>
      </w:r>
      <m:oMath>
        <m:r>
          <m:t>W</m:t>
        </m:r>
      </m:oMath>
      <w:r>
        <w:t xml:space="preserve"> </w:t>
      </w:r>
      <w:r>
        <w:t xml:space="preserve">and of</w:t>
      </w:r>
      <w:r>
        <w:t xml:space="preserve"> </w:t>
      </w:r>
      <m:oMath>
        <m:r>
          <m:t>H</m:t>
        </m:r>
      </m:oMath>
      <w:r>
        <w:t xml:space="preserve"> </w:t>
      </w:r>
      <w:r>
        <w:t xml:space="preserve">between successive outer iterations, and a maximum of 4,000 iterations.</w:t>
      </w:r>
    </w:p>
    <w:p>
      <w:pPr>
        <w:pStyle w:val="BodyText"/>
      </w:pPr>
      <w:r>
        <w:t xml:space="preserve">100 of the 100 runs terminated on the stopping criterion rather than the iteration cap, none failed numerically, and in every run the recorded outer-loop objective decreased monotonically; the median number of iterations was 38 (range 17–233). The recorded series is</w:t>
      </w:r>
      <w:r>
        <w:t xml:space="preserve"> </w:t>
      </w:r>
      <m:oMath>
        <m:r>
          <m:rPr>
            <m:sty m:val="p"/>
            <m:scr m:val="script"/>
          </m:rPr>
          <m:t>L</m:t>
        </m:r>
      </m:oMath>
      <w:r>
        <w:t xml:space="preserve"> </w:t>
      </w:r>
      <w:r>
        <w:t xml:space="preserve">as defined in Model details, evaluated once per outer iteration after the</w:t>
      </w:r>
      <w:r>
        <w:t xml:space="preserve"> </w:t>
      </w:r>
      <m:oMath>
        <m:r>
          <m:t>β</m:t>
        </m:r>
      </m:oMath>
      <w:r>
        <w:t xml:space="preserve"> </w:t>
      </w:r>
      <w:r>
        <w:t xml:space="preserve">update. It ends with the last outer iteration and does not include the post-loop</w:t>
      </w:r>
      <w:r>
        <w:t xml:space="preserve"> </w:t>
      </w:r>
      <m:oMath>
        <m:r>
          <m:t>β</m:t>
        </m:r>
      </m:oMath>
      <w:r>
        <w:t xml:space="preserve"> </w:t>
      </w:r>
      <w:r>
        <w:t xml:space="preserve">refit, whose objective is stored separately (Update for</w:t>
      </w:r>
      <w:r>
        <w:t xml:space="preserve"> </w:t>
      </w:r>
      <m:oMath>
        <m:r>
          <m:t>β</m:t>
        </m:r>
      </m:oMath>
      <w:r>
        <w:t xml:space="preserve">), so monotonicity here is a statement about the outer loop. The size of the decrease from a random start varies widely between initializations, but that quantity primarily reflects the starting objective value rather than agreement among the final solutions. Whether independent runs of the reported procedure recover the same gene programs is addressed in Stability of the recovered gene programs below.</w:t>
      </w:r>
    </w:p>
    <w:bookmarkEnd w:id="55"/>
    <w:bookmarkStart w:id="56" w:name="stability-of-the-recovered-gene-programs"/>
    <w:p>
      <w:pPr>
        <w:pStyle w:val="Heading1"/>
      </w:pPr>
      <w:r>
        <w:t xml:space="preserve">Stability of the recovered gene programs</w:t>
      </w:r>
    </w:p>
    <w:p>
      <w:pPr>
        <w:pStyle w:val="FirstParagraph"/>
      </w:pPr>
      <w:r>
        <w:t xml:space="preserve">The previous section documents that the optimizer converges. It does not</w:t>
      </w:r>
      <w:r>
        <w:t xml:space="preserve"> </w:t>
      </w:r>
      <w:r>
        <w:t xml:space="preserve">establish that the programs it converges to are the same ones each time, and</w:t>
      </w:r>
      <w:r>
        <w:t xml:space="preserve"> </w:t>
      </w:r>
      <w:r>
        <w:t xml:space="preserve">that is the property the manuscript relies on when it applies a frozen</w:t>
      </w:r>
      <w:r>
        <w:t xml:space="preserve"> </w:t>
      </w:r>
      <w:r>
        <w:t xml:space="preserve">decomposition across cohorts. We therefore measured stability at the</w:t>
      </w:r>
      <w:r>
        <w:t xml:space="preserve"> </w:t>
      </w:r>
      <w:r>
        <w:t xml:space="preserve">level of the recovered programs rather than the objective, using the same</w:t>
      </w:r>
      <w:r>
        <w:t xml:space="preserve"> </w:t>
      </w:r>
      <m:oMath>
        <m:r>
          <m:t>R</m:t>
        </m:r>
        <m:r>
          <m:rPr>
            <m:sty m:val="p"/>
          </m:rPr>
          <m:t>=</m:t>
        </m:r>
        <m:r>
          <m:t>100</m:t>
        </m:r>
      </m:oMath>
      <w:r>
        <w:t xml:space="preserve"> </w:t>
      </w:r>
      <w:r>
        <w:t xml:space="preserve">cached initializations. No model was refitted for the restart analysis.</w:t>
      </w:r>
    </w:p>
    <w:p>
      <w:pPr>
        <w:pStyle w:val="BodyText"/>
      </w:pPr>
      <w:r>
        <w:t xml:space="preserve">Individual restarts are highly dispersed. Comparing pairs of independent</w:t>
      </w:r>
      <w:r>
        <w:t xml:space="preserve"> </w:t>
      </w:r>
      <w:r>
        <w:t xml:space="preserve">random restarts, and matching their columns one to one by absolute Spearman</w:t>
      </w:r>
      <w:r>
        <w:t xml:space="preserve"> </w:t>
      </w:r>
      <w:r>
        <w:t xml:space="preserve">correlation of gene loadings, the median overlap between the top</w:t>
      </w:r>
      <w:r>
        <w:t xml:space="preserve"> </w:t>
      </w:r>
      <m:oMath>
        <m:r>
          <m:t>270</m:t>
        </m:r>
      </m:oMath>
      <w:r>
        <w:t xml:space="preserve"> </w:t>
      </w:r>
      <w:r>
        <w:t xml:space="preserve">genes of matched programs was</w:t>
      </w:r>
      <w:r>
        <w:t xml:space="preserve"> </w:t>
      </w:r>
      <m:oMath>
        <m:r>
          <m:t>0.13</m:t>
        </m:r>
      </m:oMath>
      <w:r>
        <w:t xml:space="preserve"> </w:t>
      </w:r>
      <w:r>
        <w:t xml:space="preserve">by Jaccard index, against a chance baseline of</w:t>
      </w:r>
      <w:r>
        <w:t xml:space="preserve"> </w:t>
      </w:r>
      <m:oMath>
        <m:r>
          <m:t>0.074</m:t>
        </m:r>
      </m:oMath>
      <w:r>
        <w:t xml:space="preserve"> </w:t>
      </w:r>
      <w:r>
        <w:t xml:space="preserve">for two independent draws of that</w:t>
      </w:r>
      <w:r>
        <w:t xml:space="preserve"> </w:t>
      </w:r>
      <w:r>
        <w:t xml:space="preserve">size from 1,970 genes. Matched gene-loading</w:t>
      </w:r>
      <w:r>
        <w:t xml:space="preserve"> </w:t>
      </w:r>
      <w:r>
        <w:t xml:space="preserve">correlations were moderate (0.59–0.60 across the three programs). Over the</w:t>
      </w:r>
      <w:r>
        <w:t xml:space="preserve"> </w:t>
      </w:r>
      <w:r>
        <w:t xml:space="preserve">same runs, training concordance was nearly constant (median</w:t>
      </w:r>
      <w:r>
        <w:t xml:space="preserve"> </w:t>
      </w:r>
      <m:oMath>
        <m:r>
          <m:t>0.704</m:t>
        </m:r>
      </m:oMath>
      <w:r>
        <w:t xml:space="preserve">, standard deviation</w:t>
      </w:r>
      <w:r>
        <w:t xml:space="preserve"> </w:t>
      </w:r>
      <m:oMath>
        <m:r>
          <m:t>0.010</m:t>
        </m:r>
      </m:oMath>
      <w:r>
        <w:t xml:space="preserve">). Near-identical predictive performance from</w:t>
      </w:r>
      <w:r>
        <w:t xml:space="preserve"> </w:t>
      </w:r>
      <w:r>
        <w:t xml:space="preserve">bases that share little gene membership is consistent with a non-identifiable objective, and it is precisely why the reported model is not a single run.</w:t>
      </w:r>
    </w:p>
    <w:p>
      <w:pPr>
        <w:pStyle w:val="BodyText"/>
      </w:pPr>
      <w:r>
        <w:t xml:space="preserve">The reported procedure is reproducible with respect to initialization. The reported basis is obtained by</w:t>
      </w:r>
      <w:r>
        <w:t xml:space="preserve"> </w:t>
      </w:r>
      <w:r>
        <w:t xml:space="preserve">aggregating restarts into a consensus initialization and then fitting from it.</w:t>
      </w:r>
      <w:r>
        <w:t xml:space="preserve"> </w:t>
      </w:r>
      <w:r>
        <w:t xml:space="preserve">To test whether that procedure returns the same programs, we partitioned the</w:t>
      </w:r>
      <w:r>
        <w:t xml:space="preserve"> </w:t>
      </w:r>
      <w:r>
        <w:t xml:space="preserve">cached restarts into two disjoint halves, built a consensus initialization from</w:t>
      </w:r>
      <w:r>
        <w:t xml:space="preserve"> </w:t>
      </w:r>
      <w:r>
        <w:t xml:space="preserve">each half independently, fitted from each at the production settings, and</w:t>
      </w:r>
      <w:r>
        <w:t xml:space="preserve"> </w:t>
      </w:r>
      <w:r>
        <w:t xml:space="preserve">compared the results (8 random splits). Across the eight random splits, the paired consensus fits agreed closely with each other (gene-loading correlation</w:t>
      </w:r>
      <w:r>
        <w:t xml:space="preserve"> </w:t>
      </w:r>
      <w:r>
        <w:t xml:space="preserve">0.93–0.95, patient-score correlation 0.97–0.99), and each agreed still</w:t>
      </w:r>
      <w:r>
        <w:t xml:space="preserve"> </w:t>
      </w:r>
      <w:r>
        <w:t xml:space="preserve">more closely with the reported basis (gene-loading correlation 0.97–0.99,</w:t>
      </w:r>
      <w:r>
        <w:t xml:space="preserve"> </w:t>
      </w:r>
      <w:r>
        <w:t xml:space="preserve">top-</w:t>
      </w:r>
      <m:oMath>
        <m:r>
          <m:t>270</m:t>
        </m:r>
      </m:oMath>
      <w:r>
        <w:t xml:space="preserve"> </w:t>
      </w:r>
      <w:r>
        <w:t xml:space="preserve">Jaccard 0.73–0.88). Each half contained 50 of the same</w:t>
      </w:r>
      <w:r>
        <w:t xml:space="preserve"> </w:t>
      </w:r>
      <w:r>
        <w:t xml:space="preserve">100 cached starts and therefore shared restarts with the pool</w:t>
      </w:r>
      <w:r>
        <w:t xml:space="preserve"> </w:t>
      </w:r>
      <w:r>
        <w:t xml:space="preserve">used to construct the reported basis. These comparisons assess sensitivity to</w:t>
      </w:r>
      <w:r>
        <w:t xml:space="preserve"> </w:t>
      </w:r>
      <w:r>
        <w:t xml:space="preserve">restart-pool composition within the observed training data; they are not</w:t>
      </w:r>
      <w:r>
        <w:t xml:space="preserve"> </w:t>
      </w:r>
      <w:r>
        <w:t xml:space="preserve">independent repetitions of the full procedure. Using fewer restarts does not</w:t>
      </w:r>
      <w:r>
        <w:t xml:space="preserve"> </w:t>
      </w:r>
      <w:r>
        <w:t xml:space="preserve">establish that the agreement estimates are conservative.</w:t>
      </w:r>
    </w:p>
    <w:p>
      <w:pPr>
        <w:pStyle w:val="BodyText"/>
      </w:pPr>
      <w:r>
        <w:t xml:space="preserve">The fitted basis also moved materially from the consensus initialization</w:t>
      </w:r>
      <w:r>
        <w:t xml:space="preserve"> </w:t>
      </w:r>
      <m:oMath>
        <m:sSub>
          <m:e>
            <m:r>
              <m:t>W</m:t>
            </m:r>
          </m:e>
          <m:sub>
            <m:r>
              <m:t>0</m:t>
            </m:r>
          </m:sub>
        </m:sSub>
      </m:oMath>
      <w:r>
        <w:t xml:space="preserve">: with programs corresponding by position (confirmed against the full</w:t>
      </w:r>
      <w:r>
        <w:t xml:space="preserve"> </w:t>
      </w:r>
      <w:r>
        <w:t xml:space="preserve">correlation matrix), gene-loading correlations between</w:t>
      </w:r>
      <w:r>
        <w:t xml:space="preserve"> </w:t>
      </w:r>
      <m:oMath>
        <m:sSub>
          <m:e>
            <m:r>
              <m:t>W</m:t>
            </m:r>
          </m:e>
          <m:sub>
            <m:r>
              <m:t>0</m:t>
            </m:r>
          </m:sub>
        </m:sSub>
      </m:oMath>
      <w:r>
        <w:t xml:space="preserve"> </w:t>
      </w:r>
      <w:r>
        <w:t xml:space="preserve">and the final</w:t>
      </w:r>
      <w:r>
        <w:t xml:space="preserve"> </w:t>
      </w:r>
      <m:oMath>
        <m:r>
          <m:t>W</m:t>
        </m:r>
      </m:oMath>
      <w:r>
        <w:t xml:space="preserve"> </w:t>
      </w:r>
      <w:r>
        <w:t xml:space="preserve">were 0.57–0.81 and</w:t>
      </w:r>
      <w:r>
        <w:t xml:space="preserve"> </w:t>
      </w:r>
      <w:r>
        <w:t xml:space="preserve">top-</w:t>
      </w:r>
      <m:oMath>
        <m:r>
          <m:t>270</m:t>
        </m:r>
      </m:oMath>
      <w:r>
        <w:t xml:space="preserve"> </w:t>
      </w:r>
      <w:r>
        <w:t xml:space="preserve">Jaccard overlaps were</w:t>
      </w:r>
      <w:r>
        <w:t xml:space="preserve"> </w:t>
      </w:r>
      <w:r>
        <w:t xml:space="preserve">0.44–0.82.</w:t>
      </w:r>
      <w:r>
        <w:t xml:space="preserve"> </w:t>
      </w:r>
      <w:r>
        <w:t xml:space="preserve">The consensus therefore supplies a reproducible</w:t>
      </w:r>
      <w:r>
        <w:t xml:space="preserve"> </w:t>
      </w:r>
      <w:r>
        <w:t xml:space="preserve">initialization rather than fixing the final basis.</w:t>
      </w:r>
    </w:p>
    <w:p>
      <w:pPr>
        <w:pStyle w:val="BodyText"/>
      </w:pPr>
      <w:r>
        <w:t xml:space="preserve">The optimizer alone is not identifiable. The consensus step is what makes the</w:t>
      </w:r>
      <w:r>
        <w:t xml:space="preserve"> </w:t>
      </w:r>
      <w:r>
        <w:t xml:space="preserve">reported decomposition reproducible rather than one draw from a wide</w:t>
      </w:r>
      <w:r>
        <w:t xml:space="preserve"> </w:t>
      </w:r>
      <w:r>
        <w:t xml:space="preserve">distribution, and reproducibility claims in this manuscript refer to that</w:t>
      </w:r>
      <w:r>
        <w:t xml:space="preserve"> </w:t>
      </w:r>
      <w:r>
        <w:t xml:space="preserve">end-to-end procedure.</w:t>
      </w:r>
    </w:p>
    <w:p>
      <w:pPr>
        <w:pStyle w:val="BodyText"/>
      </w:pPr>
      <w:r>
        <w:t xml:space="preserve">Stability under data perturbation is a separate and weaker property. The</w:t>
      </w:r>
      <w:r>
        <w:t xml:space="preserve"> </w:t>
      </w:r>
      <w:r>
        <w:t xml:space="preserve">analyses above vary the initialization while holding the data fixed. Refitting</w:t>
      </w:r>
      <w:r>
        <w:t xml:space="preserve"> </w:t>
      </w:r>
      <w:r>
        <w:t xml:space="preserve">on 25 repeated 80% subsamples of the training cohort, with each DeSurv refit a</w:t>
      </w:r>
      <w:r>
        <w:t xml:space="preserve"> </w:t>
      </w:r>
      <w:r>
        <w:t xml:space="preserve">single run from one random initialization at the production hyperparameters</w:t>
      </w:r>
      <w:r>
        <w:t xml:space="preserve"> </w:t>
      </w:r>
      <w:r>
        <w:t xml:space="preserve">rather than the 100-restart consensus procedure, and comparing the top-100 gene</w:t>
      </w:r>
      <w:r>
        <w:t xml:space="preserve"> </w:t>
      </w:r>
      <w:r>
        <w:t xml:space="preserve">sets of the D1-matched factor across subsamples instead gives a mean pairwise</w:t>
      </w:r>
      <w:r>
        <w:t xml:space="preserve"> </w:t>
      </w:r>
      <w:r>
        <w:t xml:space="preserve">Jaccard of</w:t>
      </w:r>
      <w:r>
        <w:t xml:space="preserve"> </w:t>
      </w:r>
      <m:oMath>
        <m:r>
          <m:t>0.34</m:t>
        </m:r>
      </m:oMath>
      <w:r>
        <w:t xml:space="preserve"> </w:t>
      </w:r>
      <w:r>
        <w:t xml:space="preserve">for DeSurv, against</w:t>
      </w:r>
      <w:r>
        <w:t xml:space="preserve"> </w:t>
      </w:r>
      <m:oMath>
        <m:r>
          <m:t>0.49</m:t>
        </m:r>
      </m:oMath>
      <w:r>
        <w:t xml:space="preserve"> </w:t>
      </w:r>
      <w:r>
        <w:t xml:space="preserve">for Cox partial least squares,</w:t>
      </w:r>
      <w:r>
        <w:t xml:space="preserve"> </w:t>
      </w:r>
      <m:oMath>
        <m:r>
          <m:t>0.38</m:t>
        </m:r>
      </m:oMath>
      <w:r>
        <w:t xml:space="preserve"> </w:t>
      </w:r>
      <w:r>
        <w:t xml:space="preserve">for supervised principal components and</w:t>
      </w:r>
      <w:r>
        <w:t xml:space="preserve"> </w:t>
      </w:r>
      <m:oMath>
        <m:r>
          <m:t>0.22</m:t>
        </m:r>
      </m:oMath>
      <w:r>
        <w:t xml:space="preserve"> </w:t>
      </w:r>
      <w:r>
        <w:t xml:space="preserve">for sparse Cox. DeSurv is mid-range. These figures come from the frozen-axis</w:t>
      </w:r>
      <w:r>
        <w:t xml:space="preserve"> </w:t>
      </w:r>
      <w:r>
        <w:t xml:space="preserve">comparator analysis, which works on the full shared support of genes common to</w:t>
      </w:r>
      <w:r>
        <w:t xml:space="preserve"> </w:t>
      </w:r>
      <w:r>
        <w:t xml:space="preserve">the trained basis and the analyzed expression matrix rather than on the truncated</w:t>
      </w:r>
      <w:r>
        <w:t xml:space="preserve"> </w:t>
      </w:r>
      <w:r>
        <w:t xml:space="preserve">union, and whose frozen-transfer linear predictor refits unpenalized Cox</w:t>
      </w:r>
      <w:r>
        <w:t xml:space="preserve"> </w:t>
      </w:r>
      <w:r>
        <w:t xml:space="preserve">coefficients on the three training scores (Survival Analysis). The 100-gene list</w:t>
      </w:r>
      <w:r>
        <w:t xml:space="preserve"> </w:t>
      </w:r>
      <w:r>
        <w:t xml:space="preserve">is shorter than the 270-gene projection support so that the</w:t>
      </w:r>
      <w:r>
        <w:t xml:space="preserve"> </w:t>
      </w:r>
      <w:r>
        <w:t xml:space="preserve">comparison is on a common footing with the single-vector comparators, whose gene</w:t>
      </w:r>
      <w:r>
        <w:t xml:space="preserve"> </w:t>
      </w:r>
      <w:r>
        <w:t xml:space="preserve">rankings are not factor-specific. This</w:t>
      </w:r>
      <w:r>
        <w:t xml:space="preserve"> </w:t>
      </w:r>
      <w:r>
        <w:t xml:space="preserve">comparison favors dense methods by construction, because a score that spreads</w:t>
      </w:r>
      <w:r>
        <w:t xml:space="preserve"> </w:t>
      </w:r>
      <w:r>
        <w:t xml:space="preserve">weight across many genes has a more stable top-100 list than one built from a</w:t>
      </w:r>
      <w:r>
        <w:t xml:space="preserve"> </w:t>
      </w:r>
      <w:r>
        <w:t xml:space="preserve">selective basis, as the sparse Cox value illustrates; it also disfavors DeSurv</w:t>
      </w:r>
      <w:r>
        <w:t xml:space="preserve"> </w:t>
      </w:r>
      <w:r>
        <w:t xml:space="preserve">relative to the consensus procedure used for the reported model, because each</w:t>
      </w:r>
      <w:r>
        <w:t xml:space="preserve"> </w:t>
      </w:r>
      <w:r>
        <w:t xml:space="preserve">refit here is a single run. Gene-level resampling stability addresses a complementary property distinct</w:t>
      </w:r>
      <w:r>
        <w:t xml:space="preserve"> </w:t>
      </w:r>
      <w:r>
        <w:t xml:space="preserve">from reproducibility of the frozen end-to-end procedure.</w:t>
      </w:r>
    </w:p>
    <w:bookmarkEnd w:id="56"/>
    <w:bookmarkStart w:id="57" w:name="simulation-design-and-data-generation"/>
    <w:p>
      <w:pPr>
        <w:pStyle w:val="Heading1"/>
      </w:pPr>
      <w:r>
        <w:t xml:space="preserve">Simulation design and data generation</w:t>
      </w:r>
    </w:p>
    <w:p>
      <w:pPr>
        <w:pStyle w:val="FirstParagraph"/>
      </w:pPr>
      <w:r>
        <w:t xml:space="preserve">Gene expression data were generated from a nonnegative factor model</w:t>
      </w:r>
      <w:r>
        <w:t xml:space="preserve"> </w:t>
      </w:r>
      <m:oMath>
        <m:r>
          <m:t>X</m:t>
        </m:r>
        <m:r>
          <m:rPr>
            <m:sty m:val="p"/>
          </m:rPr>
          <m:t>=</m:t>
        </m:r>
        <m:r>
          <m:t>W</m:t>
        </m:r>
        <m:r>
          <m:t>H</m:t>
        </m:r>
      </m:oMath>
      <w:r>
        <w:t xml:space="preserve">, where gene loadings</w:t>
      </w:r>
      <w:r>
        <w:t xml:space="preserve"> </w:t>
      </w:r>
      <m:oMath>
        <m:r>
          <m:t>W</m:t>
        </m:r>
      </m:oMath>
      <w:r>
        <w:t xml:space="preserve"> </w:t>
      </w:r>
      <w:r>
        <w:t xml:space="preserve">comprised three gene classes: marker genes, background genes, and noise genes. Marker genes were simulated to load strongly on a single factor and weakly on others, background genes to load strongly across all factors, and noise genes to have uniformly low loadings. Specifically, marker gene primary loadings were drawn from</w:t>
      </w:r>
      <w:r>
        <w:t xml:space="preserve"> </w:t>
      </w:r>
      <m:oMath>
        <m:r>
          <m:rPr>
            <m:nor/>
            <m:sty m:val="p"/>
          </m:rPr>
          <m:t>Gamma</m:t>
        </m:r>
        <m:d>
          <m:dPr>
            <m:begChr m:val="("/>
            <m:endChr m:val=")"/>
            <m:sepChr m:val=""/>
            <m:grow/>
          </m:dPr>
          <m:e>
            <m:r>
              <m:rPr>
                <m:nor/>
                <m:sty m:val="p"/>
              </m:rPr>
              <m:t>shape</m:t>
            </m:r>
            <m:r>
              <m:rPr>
                <m:sty m:val="p"/>
              </m:rPr>
              <m:t>=</m:t>
            </m:r>
            <m:r>
              <m:t>3</m:t>
            </m:r>
            <m:r>
              <m:rPr>
                <m:sty m:val="p"/>
              </m:rPr>
              <m:t>,</m:t>
            </m:r>
            <m:r>
              <m:rPr>
                <m:nor/>
                <m:sty m:val="p"/>
              </m:rPr>
              <m:t>rate</m:t>
            </m:r>
            <m:r>
              <m:rPr>
                <m:sty m:val="p"/>
              </m:rPr>
              <m:t>=</m:t>
            </m:r>
            <m:r>
              <m:t>0.8</m:t>
            </m:r>
          </m:e>
        </m:d>
      </m:oMath>
      <w:r>
        <w:t xml:space="preserve"> </w:t>
      </w:r>
      <w:r>
        <w:t xml:space="preserve">and cross-loadings onto other factors from</w:t>
      </w:r>
      <w:r>
        <w:t xml:space="preserve"> </w:t>
      </w:r>
      <m:oMath>
        <m:r>
          <m:rPr>
            <m:nor/>
            <m:sty m:val="p"/>
          </m:rPr>
          <m:t>Gamma</m:t>
        </m:r>
        <m:d>
          <m:dPr>
            <m:begChr m:val="("/>
            <m:endChr m:val=")"/>
            <m:sepChr m:val=""/>
            <m:grow/>
          </m:dPr>
          <m:e>
            <m:r>
              <m:t>1</m:t>
            </m:r>
            <m:r>
              <m:rPr>
                <m:sty m:val="p"/>
              </m:rPr>
              <m:t>,</m:t>
            </m:r>
            <m:r>
              <m:t>20</m:t>
            </m:r>
          </m:e>
        </m:d>
      </m:oMath>
      <w:r>
        <w:t xml:space="preserve">; background gene loadings from</w:t>
      </w:r>
      <w:r>
        <w:t xml:space="preserve"> </w:t>
      </w:r>
      <m:oMath>
        <m:r>
          <m:rPr>
            <m:nor/>
            <m:sty m:val="p"/>
          </m:rPr>
          <m:t>Gamma</m:t>
        </m:r>
        <m:d>
          <m:dPr>
            <m:begChr m:val="("/>
            <m:endChr m:val=")"/>
            <m:sepChr m:val=""/>
            <m:grow/>
          </m:dPr>
          <m:e>
            <m:r>
              <m:t>2</m:t>
            </m:r>
            <m:r>
              <m:rPr>
                <m:sty m:val="p"/>
              </m:rPr>
              <m:t>,</m:t>
            </m:r>
            <m:r>
              <m:t>1</m:t>
            </m:r>
          </m:e>
        </m:d>
      </m:oMath>
      <w:r>
        <w:t xml:space="preserve"> </w:t>
      </w:r>
      <w:r>
        <w:t xml:space="preserve">across all factors; and noise gene loadings from</w:t>
      </w:r>
      <w:r>
        <w:t xml:space="preserve"> </w:t>
      </w:r>
      <m:oMath>
        <m:r>
          <m:rPr>
            <m:nor/>
            <m:sty m:val="p"/>
          </m:rPr>
          <m:t>Gamma</m:t>
        </m:r>
        <m:d>
          <m:dPr>
            <m:begChr m:val="("/>
            <m:endChr m:val=")"/>
            <m:sepChr m:val=""/>
            <m:grow/>
          </m:dPr>
          <m:e>
            <m:r>
              <m:t>1</m:t>
            </m:r>
            <m:r>
              <m:rPr>
                <m:sty m:val="p"/>
              </m:rPr>
              <m:t>,</m:t>
            </m:r>
            <m:r>
              <m:t>20</m:t>
            </m:r>
          </m:e>
        </m:d>
      </m:oMath>
      <w:r>
        <w:t xml:space="preserve">. Sample-level factor activities</w:t>
      </w:r>
      <w:r>
        <w:t xml:space="preserve"> </w:t>
      </w:r>
      <m:oMath>
        <m:r>
          <m:t>H</m:t>
        </m:r>
      </m:oMath>
      <w:r>
        <w:t xml:space="preserve"> </w:t>
      </w:r>
      <w:r>
        <w:t xml:space="preserve">were drawn from</w:t>
      </w:r>
      <w:r>
        <w:t xml:space="preserve"> </w:t>
      </w:r>
      <m:oMath>
        <m:r>
          <m:rPr>
            <m:nor/>
            <m:sty m:val="p"/>
          </m:rPr>
          <m:t>Gamma</m:t>
        </m:r>
        <m:d>
          <m:dPr>
            <m:begChr m:val="("/>
            <m:endChr m:val=")"/>
            <m:sepChr m:val=""/>
            <m:grow/>
          </m:dPr>
          <m:e>
            <m:r>
              <m:t>2</m:t>
            </m:r>
            <m:r>
              <m:rPr>
                <m:sty m:val="p"/>
              </m:rPr>
              <m:t>,</m:t>
            </m:r>
            <m:r>
              <m:t>2</m:t>
            </m:r>
          </m:e>
        </m:d>
      </m:oMath>
      <w:r>
        <w:t xml:space="preserve">. Each dataset comprised</w:t>
      </w:r>
      <w:r>
        <w:t xml:space="preserve"> </w:t>
      </w:r>
      <m:oMath>
        <m:r>
          <m:t>p</m:t>
        </m:r>
        <m:r>
          <m:rPr>
            <m:sty m:val="p"/>
          </m:rPr>
          <m:t>=</m:t>
        </m:r>
        <m:r>
          <m:t>3</m:t>
        </m:r>
        <m:r>
          <m:rPr>
            <m:sty m:val="p"/>
          </m:rPr>
          <m:t>,</m:t>
        </m:r>
        <m:r>
          <m:t>000</m:t>
        </m:r>
      </m:oMath>
      <w:r>
        <w:t xml:space="preserve"> </w:t>
      </w:r>
      <w:r>
        <w:t xml:space="preserve">genes,</w:t>
      </w:r>
      <w:r>
        <w:t xml:space="preserve"> </w:t>
      </w:r>
      <m:oMath>
        <m:r>
          <m:t>n</m:t>
        </m:r>
        <m:r>
          <m:rPr>
            <m:sty m:val="p"/>
          </m:rPr>
          <m:t>=</m:t>
        </m:r>
        <m:r>
          <m:t>200</m:t>
        </m:r>
      </m:oMath>
      <w:r>
        <w:t xml:space="preserve"> </w:t>
      </w:r>
      <w:r>
        <w:t xml:space="preserve">samples, and</w:t>
      </w:r>
      <w:r>
        <w:t xml:space="preserve"> </w:t>
      </w:r>
      <m:oMath>
        <m:r>
          <m:t>k</m:t>
        </m:r>
        <m:r>
          <m:rPr>
            <m:sty m:val="p"/>
          </m:rPr>
          <m:t>=</m:t>
        </m:r>
        <m:r>
          <m:t>3</m:t>
        </m:r>
      </m:oMath>
      <w:r>
        <w:t xml:space="preserve"> </w:t>
      </w:r>
      <w:r>
        <w:t xml:space="preserve">factors, with 150 marker genes per factor and 500 shared background genes. The three factors are exchangeable in this design: the prognostic factor is not generated with lower variance than the other two. The variance-dominant signal excluded from the survival-generating gene set is the shared background block, which loads on every factor, so the factor-specific marker genes that carry survival contribute less of the total expression variation than that block. Because the background genes load on the same latent activities as the markers, their expression remains correlated with the linear predictor;</w:t>
      </w:r>
      <w:r>
        <w:t xml:space="preserve"> </w:t>
      </w:r>
      <w:r>
        <w:t xml:space="preserve">“</w:t>
      </w:r>
      <w:r>
        <w:t xml:space="preserve">background</w:t>
      </w:r>
      <w:r>
        <w:t xml:space="preserve">”</w:t>
      </w:r>
      <w:r>
        <w:t xml:space="preserve"> </w:t>
      </w:r>
      <w:r>
        <w:t xml:space="preserve">here denotes exclusion from the survival-generating gene set, not statistical independence of outcome. The expression matrix actually analyzed was not the noise-free product</w:t>
      </w:r>
      <w:r>
        <w:t xml:space="preserve"> </w:t>
      </w:r>
      <m:oMath>
        <m:r>
          <m:t>W</m:t>
        </m:r>
        <m:r>
          <m:t>H</m:t>
        </m:r>
      </m:oMath>
      <w:r>
        <w:t xml:space="preserve">: a per-gene baseline drawn as</w:t>
      </w:r>
      <w:r>
        <w:t xml:space="preserve"> </w:t>
      </w:r>
      <m:oMath>
        <m:r>
          <m:rPr>
            <m:sty m:val="p"/>
            <m:scr m:val="script"/>
          </m:rPr>
          <m:t>N</m:t>
        </m:r>
        <m:d>
          <m:dPr>
            <m:begChr m:val="("/>
            <m:endChr m:val=")"/>
            <m:sepChr m:val=""/>
            <m:grow/>
          </m:dPr>
          <m:e>
            <m:r>
              <m:t>3</m:t>
            </m:r>
            <m:r>
              <m:rPr>
                <m:sty m:val="p"/>
              </m:rPr>
              <m:t>,</m:t>
            </m:r>
            <m:r>
              <m:t>1</m:t>
            </m:r>
          </m:e>
        </m:d>
      </m:oMath>
      <w:r>
        <w:t xml:space="preserve"> </w:t>
      </w:r>
      <w:r>
        <w:t xml:space="preserve">was added to every row, independent Gaussian noise with standard deviation</w:t>
      </w:r>
      <w:r>
        <w:t xml:space="preserve"> </w:t>
      </w:r>
      <m:oMath>
        <m:r>
          <m:t>0.01</m:t>
        </m:r>
      </m:oMath>
      <w:r>
        <w:t xml:space="preserve"> </w:t>
      </w:r>
      <w:r>
        <w:t xml:space="preserve">was added to every entry, and negative values were clipped to zero.</w:t>
      </w:r>
    </w:p>
    <w:p>
      <w:pPr>
        <w:pStyle w:val="BodyText"/>
      </w:pPr>
      <w:r>
        <w:t xml:space="preserve">Cox regression coefficients were</w:t>
      </w:r>
      <w:r>
        <w:t xml:space="preserve"> </w:t>
      </w:r>
      <m:oMath>
        <m:r>
          <m:t>β</m:t>
        </m:r>
        <m:r>
          <m:rPr>
            <m:sty m:val="p"/>
          </m:rPr>
          <m:t>=</m:t>
        </m:r>
        <m:sSup>
          <m:e>
            <m:d>
              <m:dPr>
                <m:begChr m:val="("/>
                <m:endChr m:val=")"/>
                <m:sepChr m:val=""/>
                <m:grow/>
              </m:dPr>
              <m:e>
                <m:r>
                  <m:t>2</m:t>
                </m:r>
                <m:r>
                  <m:rPr>
                    <m:sty m:val="p"/>
                  </m:rPr>
                  <m:t>,</m:t>
                </m:r>
                <m:r>
                  <m:t>0</m:t>
                </m:r>
                <m:r>
                  <m:rPr>
                    <m:sty m:val="p"/>
                  </m:rPr>
                  <m:t>,</m:t>
                </m:r>
                <m:r>
                  <m:t>0</m:t>
                </m:r>
              </m:e>
            </m:d>
          </m:e>
          <m:sup>
            <m:r>
              <m:rPr>
                <m:sty m:val="p"/>
              </m:rPr>
              <m:t>⊤</m:t>
            </m:r>
          </m:sup>
        </m:sSup>
      </m:oMath>
      <w:r>
        <w:t xml:space="preserve"> </w:t>
      </w:r>
      <w:r>
        <w:t xml:space="preserve">in the prognostic and mixed scenarios and</w:t>
      </w:r>
      <w:r>
        <w:t xml:space="preserve"> </w:t>
      </w:r>
      <m:oMath>
        <m:r>
          <m:t>β</m:t>
        </m:r>
        <m:r>
          <m:rPr>
            <m:sty m:val="p"/>
          </m:rPr>
          <m:t>=</m:t>
        </m:r>
        <m:r>
          <m:t>0</m:t>
        </m:r>
      </m:oMath>
      <w:r>
        <w:t xml:space="preserve"> </w:t>
      </w:r>
      <w:r>
        <w:t xml:space="preserve">in the null scenario, which otherwise used the same baseline hazard parameter and censoring rate as the prognostic scenario. The mixed scenario differs from the prognostic scenario only in its survival gene set, 300 genes per column of the survival-generating weight matrix</w:t>
      </w:r>
      <w:r>
        <w:t xml:space="preserve"> </w:t>
      </w:r>
      <m:oMath>
        <m:sSup>
          <m:e>
            <m:r>
              <m:t>W</m:t>
            </m:r>
          </m:e>
          <m:sup>
            <m:r>
              <m:rPr>
                <m:sty m:val="p"/>
              </m:rPr>
              <m:t>*</m:t>
            </m:r>
          </m:sup>
        </m:sSup>
      </m:oMath>
      <w:r>
        <w:t xml:space="preserve">, comprising the 150 markers of that factor and 150 randomly sampled background genes, which creates partial overlap between the prognostic signal and the variance-dominant background.</w:t>
      </w:r>
    </w:p>
    <w:p>
      <w:pPr>
        <w:pStyle w:val="BodyText"/>
      </w:pPr>
      <w:r>
        <w:t xml:space="preserve">Survival times were generated from an exponential distribution, from the noise-free expression only. Let</w:t>
      </w:r>
      <w:r>
        <w:t xml:space="preserve"> </w:t>
      </w:r>
      <m:oMath>
        <m:sSub>
          <m:e>
            <m:r>
              <m:t>X</m:t>
            </m:r>
          </m:e>
          <m:sub>
            <m:r>
              <m:t>0</m:t>
            </m:r>
          </m:sub>
        </m:sSub>
        <m:r>
          <m:rPr>
            <m:sty m:val="p"/>
          </m:rPr>
          <m:t>=</m:t>
        </m:r>
        <m:r>
          <m:t>W</m:t>
        </m:r>
        <m:r>
          <m:t>H</m:t>
        </m:r>
      </m:oMath>
      <w:r>
        <w:t xml:space="preserve"> </w:t>
      </w:r>
      <w:r>
        <w:t xml:space="preserve">denote that noise-free matrix and</w:t>
      </w:r>
      <w:r>
        <w:t xml:space="preserve"> </w:t>
      </w:r>
      <m:oMath>
        <m:sSup>
          <m:e>
            <m:r>
              <m:t>W</m:t>
            </m:r>
          </m:e>
          <m:sup>
            <m:r>
              <m:rPr>
                <m:sty m:val="p"/>
              </m:rPr>
              <m:t>*</m:t>
            </m:r>
          </m:sup>
        </m:sSup>
      </m:oMath>
      <w:r>
        <w:t xml:space="preserve"> </w:t>
      </w:r>
      <w:r>
        <w:t xml:space="preserve">the survival-generating weight matrix, a masked copy of the column-normalized</w:t>
      </w:r>
      <w:r>
        <w:t xml:space="preserve"> </w:t>
      </w:r>
      <m:oMath>
        <m:r>
          <m:t>W</m:t>
        </m:r>
      </m:oMath>
      <w:r>
        <w:t xml:space="preserve"> </w:t>
      </w:r>
      <w:r>
        <w:t xml:space="preserve">that retains, in each column, only the loadings of that factor’s survival-generating genes and is zero elsewhere: the 150 markers of that factor in the prognostic and null scenarios, and 150 markers plus 150 background genes in the mixed scenario. The raw generating scores were</w:t>
      </w:r>
      <w:r>
        <w:t xml:space="preserve"> </w:t>
      </w:r>
      <m:oMath>
        <m:sSub>
          <m:e>
            <m:r>
              <m:t>Z</m:t>
            </m:r>
          </m:e>
          <m:sub>
            <m:r>
              <m:rPr>
                <m:nor/>
                <m:sty m:val="p"/>
              </m:rPr>
              <m:t>raw</m:t>
            </m:r>
          </m:sub>
        </m:sSub>
        <m:r>
          <m:rPr>
            <m:sty m:val="p"/>
          </m:rPr>
          <m:t>=</m:t>
        </m:r>
        <m:sSubSup>
          <m:e>
            <m:r>
              <m:t>X</m:t>
            </m:r>
          </m:e>
          <m:sub>
            <m:r>
              <m:t>0</m:t>
            </m:r>
          </m:sub>
          <m:sup>
            <m:r>
              <m:rPr>
                <m:sty m:val="p"/>
              </m:rPr>
              <m:t>⊤</m:t>
            </m:r>
          </m:sup>
        </m:sSubSup>
        <m:sSup>
          <m:e>
            <m:r>
              <m:t>W</m:t>
            </m:r>
          </m:e>
          <m:sup>
            <m:r>
              <m:rPr>
                <m:sty m:val="p"/>
              </m:rPr>
              <m:t>*</m:t>
            </m:r>
          </m:sup>
        </m:sSup>
        <m:r>
          <m:rPr>
            <m:sty m:val="p"/>
          </m:rPr>
          <m:t>∈</m:t>
        </m:r>
        <m:sSup>
          <m:e>
            <m:r>
              <m:rPr>
                <m:sty m:val="p"/>
                <m:scr m:val="double-struck"/>
              </m:rPr>
              <m:t>R</m:t>
            </m:r>
          </m:e>
          <m:sup>
            <m:r>
              <m:t>n</m:t>
            </m:r>
            <m:r>
              <m:rPr>
                <m:sty m:val="p"/>
              </m:rPr>
              <m:t>×</m:t>
            </m:r>
            <m:r>
              <m:t>k</m:t>
            </m:r>
          </m:sup>
        </m:sSup>
      </m:oMath>
      <w:r>
        <w:t xml:space="preserve">, written here as the transpose of the main-text model convention</w:t>
      </w:r>
      <w:r>
        <w:t xml:space="preserve"> </w:t>
      </w:r>
      <m:oMath>
        <m:r>
          <m:t>Z</m:t>
        </m:r>
        <m:r>
          <m:rPr>
            <m:sty m:val="p"/>
          </m:rPr>
          <m:t>=</m:t>
        </m:r>
        <m:sSup>
          <m:e>
            <m:r>
              <m:t>W</m:t>
            </m:r>
          </m:e>
          <m:sup>
            <m:r>
              <m:rPr>
                <m:sty m:val="p"/>
              </m:rPr>
              <m:t>⊤</m:t>
            </m:r>
          </m:sup>
        </m:sSup>
        <m:r>
          <m:t>X</m:t>
        </m:r>
      </m:oMath>
      <w:r>
        <w:t xml:space="preserve"> </w:t>
      </w:r>
      <w:r>
        <w:t xml:space="preserve">so that rows index samples, and</w:t>
      </w:r>
      <w:r>
        <w:t xml:space="preserve"> </w:t>
      </w:r>
      <m:oMath>
        <m:sSub>
          <m:e>
            <m:r>
              <m:t>Z</m:t>
            </m:r>
          </m:e>
          <m:sub>
            <m:r>
              <m:rPr>
                <m:nor/>
                <m:sty m:val="p"/>
              </m:rPr>
              <m:t>true</m:t>
            </m:r>
          </m:sub>
        </m:sSub>
      </m:oMath>
      <w:r>
        <w:t xml:space="preserve"> </w:t>
      </w:r>
      <w:r>
        <w:t xml:space="preserve">denotes their column-wise standardization across all</w:t>
      </w:r>
      <w:r>
        <w:t xml:space="preserve"> </w:t>
      </w:r>
      <m:oMath>
        <m:r>
          <m:t>n</m:t>
        </m:r>
        <m:r>
          <m:rPr>
            <m:sty m:val="p"/>
          </m:rPr>
          <m:t>=</m:t>
        </m:r>
        <m:r>
          <m:t>200</m:t>
        </m:r>
      </m:oMath>
      <w:r>
        <w:t xml:space="preserve"> </w:t>
      </w:r>
      <w:r>
        <w:t xml:space="preserve">samples, applied before the 70/30 train/test split; the linear predictor was</w:t>
      </w:r>
      <w:r>
        <w:t xml:space="preserve"> </w:t>
      </w:r>
      <m:oMath>
        <m:r>
          <m:t>η</m:t>
        </m:r>
        <m:r>
          <m:rPr>
            <m:sty m:val="p"/>
          </m:rPr>
          <m:t>=</m:t>
        </m:r>
        <m:sSub>
          <m:e>
            <m:r>
              <m:t>Z</m:t>
            </m:r>
          </m:e>
          <m:sub>
            <m:r>
              <m:rPr>
                <m:nor/>
                <m:sty m:val="p"/>
              </m:rPr>
              <m:t>true</m:t>
            </m:r>
          </m:sub>
        </m:sSub>
        <m:r>
          <m:t>β</m:t>
        </m:r>
      </m:oMath>
      <w:r>
        <w:t xml:space="preserve">, so with</w:t>
      </w:r>
      <w:r>
        <w:t xml:space="preserve"> </w:t>
      </w:r>
      <m:oMath>
        <m:r>
          <m:t>β</m:t>
        </m:r>
        <m:r>
          <m:rPr>
            <m:sty m:val="p"/>
          </m:rPr>
          <m:t>=</m:t>
        </m:r>
        <m:sSup>
          <m:e>
            <m:d>
              <m:dPr>
                <m:begChr m:val="("/>
                <m:endChr m:val=")"/>
                <m:sepChr m:val=""/>
                <m:grow/>
              </m:dPr>
              <m:e>
                <m:r>
                  <m:t>2</m:t>
                </m:r>
                <m:r>
                  <m:rPr>
                    <m:sty m:val="p"/>
                  </m:rPr>
                  <m:t>,</m:t>
                </m:r>
                <m:r>
                  <m:t>0</m:t>
                </m:r>
                <m:r>
                  <m:rPr>
                    <m:sty m:val="p"/>
                  </m:rPr>
                  <m:t>,</m:t>
                </m:r>
                <m:r>
                  <m:t>0</m:t>
                </m:r>
              </m:e>
            </m:d>
          </m:e>
          <m:sup>
            <m:r>
              <m:rPr>
                <m:sty m:val="p"/>
              </m:rPr>
              <m:t>⊤</m:t>
            </m:r>
          </m:sup>
        </m:sSup>
      </m:oMath>
      <w:r>
        <w:t xml:space="preserve"> </w:t>
      </w:r>
      <w:r>
        <w:t xml:space="preserve">only factor 1 contributes; event times were drawn as</w:t>
      </w:r>
      <w:r>
        <w:t xml:space="preserve"> </w:t>
      </w:r>
      <m:oMath>
        <m:r>
          <m:t>T</m:t>
        </m:r>
        <m:r>
          <m:rPr>
            <m:sty m:val="p"/>
          </m:rPr>
          <m:t>∼</m:t>
        </m:r>
        <m:r>
          <m:rPr>
            <m:nor/>
            <m:sty m:val="p"/>
          </m:rPr>
          <m:t>Exponential</m:t>
        </m:r>
        <m:d>
          <m:dPr>
            <m:begChr m:val="("/>
            <m:endChr m:val=")"/>
            <m:sepChr m:val=""/>
            <m:grow/>
          </m:dPr>
          <m:e>
            <m:sSub>
              <m:e>
                <m:r>
                  <m:t>λ</m:t>
                </m:r>
              </m:e>
              <m:sub>
                <m:r>
                  <m:t>0</m:t>
                </m:r>
              </m:sub>
            </m:sSub>
            <m:sSup>
              <m:e>
                <m:r>
                  <m:t>e</m:t>
                </m:r>
              </m:e>
              <m:sup>
                <m:r>
                  <m:t>η</m:t>
                </m:r>
              </m:sup>
            </m:sSup>
          </m:e>
        </m:d>
      </m:oMath>
      <w:r>
        <w:t xml:space="preserve"> </w:t>
      </w:r>
      <w:r>
        <w:t xml:space="preserve">with</w:t>
      </w:r>
      <w:r>
        <w:t xml:space="preserve"> </w:t>
      </w:r>
      <m:oMath>
        <m:sSub>
          <m:e>
            <m:r>
              <m:t>λ</m:t>
            </m:r>
          </m:e>
          <m:sub>
            <m:r>
              <m:t>0</m:t>
            </m:r>
          </m:sub>
        </m:sSub>
        <m:r>
          <m:rPr>
            <m:sty m:val="p"/>
          </m:rPr>
          <m:t>=</m:t>
        </m:r>
        <m:r>
          <m:t>0.05</m:t>
        </m:r>
      </m:oMath>
      <w:r>
        <w:t xml:space="preserve">, and censoring times independently as</w:t>
      </w:r>
      <w:r>
        <w:t xml:space="preserve"> </w:t>
      </w:r>
      <m:oMath>
        <m:r>
          <m:rPr>
            <m:nor/>
            <m:sty m:val="p"/>
          </m:rPr>
          <m:t>Exponential</m:t>
        </m:r>
        <m:d>
          <m:dPr>
            <m:begChr m:val="("/>
            <m:endChr m:val=")"/>
            <m:sepChr m:val=""/>
            <m:grow/>
          </m:dPr>
          <m:e>
            <m:r>
              <m:t>0.02</m:t>
            </m:r>
          </m:e>
        </m:d>
      </m:oMath>
      <w:r>
        <w:t xml:space="preserve">. Each scenario comprised 100 replicates, each with a held-out test split.</w:t>
      </w:r>
    </w:p>
    <w:p>
      <w:pPr>
        <w:pStyle w:val="BodyText"/>
      </w:pPr>
      <w:r>
        <w:t xml:space="preserve">Recovery of the prognostic gene set was summarized by matched-factor precision, defined in the main-text Methods, and by global marker recall, defined below in Simulation results under null and mixed scenarios. The ground-truth target against which both are scored is scenario-specific. In the prognostic scenario the target comprised the 150 factor-specific marker genes driving survival (</w:t>
      </w:r>
      <m:oMath>
        <m:r>
          <m:t>β</m:t>
        </m:r>
        <m:r>
          <m:rPr>
            <m:sty m:val="p"/>
          </m:rPr>
          <m:t>=</m:t>
        </m:r>
        <m:d>
          <m:dPr>
            <m:begChr m:val="("/>
            <m:endChr m:val=")"/>
            <m:sepChr m:val=""/>
            <m:grow/>
          </m:dPr>
          <m:e>
            <m:r>
              <m:t>2</m:t>
            </m:r>
            <m:r>
              <m:rPr>
                <m:sty m:val="p"/>
              </m:rPr>
              <m:t>,</m:t>
            </m:r>
            <m:r>
              <m:t>0</m:t>
            </m:r>
            <m:r>
              <m:rPr>
                <m:sty m:val="p"/>
              </m:rPr>
              <m:t>,</m:t>
            </m:r>
            <m:r>
              <m:t>0</m:t>
            </m:r>
          </m:e>
        </m:d>
      </m:oMath>
      <w:r>
        <w:t xml:space="preserve">); in the mixed scenario, marker-only and full survival-gene definitions of the target were evaluated separately.</w:t>
      </w:r>
    </w:p>
    <w:bookmarkEnd w:id="57"/>
    <w:bookmarkStart w:id="61" w:name="Xa656e561b251301228bdad7d1c71d379544158a"/>
    <w:p>
      <w:pPr>
        <w:pStyle w:val="Heading1"/>
      </w:pPr>
      <w:r>
        <w:t xml:space="preserve">Simulation results under null and mixed scenarios</w:t>
      </w:r>
    </w:p>
    <w:p>
      <w:pPr>
        <w:pStyle w:val="FirstParagraph"/>
      </w:pPr>
      <w:r>
        <w:t xml:space="preserve">To characterize the operating characteristics of DeSurv across different signal regimes, we evaluated performance under three simulation scenarios. In the prognostic scenario (main text Fig. [fig:sim]), the factor-specific survival signal contributed relatively little transcriptomic variation compared with the shared background signal excluded from the survival-generating gene set, and the specified survival-generating gene set comprised 150 factor-specific marker genes (</w:t>
      </w:r>
      <m:oMath>
        <m:sSub>
          <m:e>
            <m:r>
              <m:t>β</m:t>
            </m:r>
          </m:e>
          <m:sub>
            <m:r>
              <m:t>1</m:t>
            </m:r>
          </m:sub>
        </m:sSub>
        <m:r>
          <m:rPr>
            <m:sty m:val="p"/>
          </m:rPr>
          <m:t>=</m:t>
        </m:r>
        <m:r>
          <m:t>2</m:t>
        </m:r>
      </m:oMath>
      <w:r>
        <w:t xml:space="preserve">,</w:t>
      </w:r>
      <w:r>
        <w:t xml:space="preserve"> </w:t>
      </w:r>
      <m:oMath>
        <m:sSub>
          <m:e>
            <m:r>
              <m:t>β</m:t>
            </m:r>
          </m:e>
          <m:sub>
            <m:r>
              <m:t>2</m:t>
            </m:r>
          </m:sub>
        </m:sSub>
        <m:r>
          <m:rPr>
            <m:sty m:val="p"/>
          </m:rPr>
          <m:t>=</m:t>
        </m:r>
        <m:sSub>
          <m:e>
            <m:r>
              <m:t>β</m:t>
            </m:r>
          </m:e>
          <m:sub>
            <m:r>
              <m:t>3</m:t>
            </m:r>
          </m:sub>
        </m:sSub>
        <m:r>
          <m:rPr>
            <m:sty m:val="p"/>
          </m:rPr>
          <m:t>=</m:t>
        </m:r>
        <m:r>
          <m:t>0</m:t>
        </m:r>
      </m:oMath>
      <w:r>
        <w:t xml:space="preserve">). In the null scenario, survival times were generated independently of gene expression, with generating coefficients</w:t>
      </w:r>
      <w:r>
        <w:t xml:space="preserve"> </w:t>
      </w:r>
      <m:oMath>
        <m:sSub>
          <m:e>
            <m:r>
              <m:t>β</m:t>
            </m:r>
          </m:e>
          <m:sub>
            <m:r>
              <m:t>1</m:t>
            </m:r>
          </m:sub>
        </m:sSub>
        <m:r>
          <m:rPr>
            <m:sty m:val="p"/>
          </m:rPr>
          <m:t>=</m:t>
        </m:r>
        <m:sSub>
          <m:e>
            <m:r>
              <m:t>β</m:t>
            </m:r>
          </m:e>
          <m:sub>
            <m:r>
              <m:t>2</m:t>
            </m:r>
          </m:sub>
        </m:sSub>
        <m:r>
          <m:rPr>
            <m:sty m:val="p"/>
          </m:rPr>
          <m:t>=</m:t>
        </m:r>
        <m:sSub>
          <m:e>
            <m:r>
              <m:t>β</m:t>
            </m:r>
          </m:e>
          <m:sub>
            <m:r>
              <m:t>3</m:t>
            </m:r>
          </m:sub>
        </m:sSub>
        <m:r>
          <m:rPr>
            <m:sty m:val="p"/>
          </m:rPr>
          <m:t>=</m:t>
        </m:r>
        <m:r>
          <m:t>0</m:t>
        </m:r>
      </m:oMath>
      <w:r>
        <w:t xml:space="preserve">, so no prognostic structure existed. In the mixed scenario, 300 genes per column of the survival-generating weight matrix</w:t>
      </w:r>
      <w:r>
        <w:t xml:space="preserve"> </w:t>
      </w:r>
      <m:oMath>
        <m:sSup>
          <m:e>
            <m:r>
              <m:t>W</m:t>
            </m:r>
          </m:e>
          <m:sup>
            <m:r>
              <m:rPr>
                <m:sty m:val="p"/>
              </m:rPr>
              <m:t>*</m:t>
            </m:r>
          </m:sup>
        </m:sSup>
      </m:oMath>
      <w:r>
        <w:t xml:space="preserve"> </w:t>
      </w:r>
      <w:r>
        <w:t xml:space="preserve">entered the survival gene set, each column carrying 150 factor-specific markers and 150 background genes with loadings shared across all factors, with survival weight placed on factor 1 only (</w:t>
      </w:r>
      <m:oMath>
        <m:sSub>
          <m:e>
            <m:r>
              <m:t>β</m:t>
            </m:r>
          </m:e>
          <m:sub>
            <m:r>
              <m:t>1</m:t>
            </m:r>
          </m:sub>
        </m:sSub>
        <m:r>
          <m:rPr>
            <m:sty m:val="p"/>
          </m:rPr>
          <m:t>=</m:t>
        </m:r>
        <m:r>
          <m:t>2</m:t>
        </m:r>
      </m:oMath>
      <w:r>
        <w:t xml:space="preserve">,</w:t>
      </w:r>
      <w:r>
        <w:t xml:space="preserve"> </w:t>
      </w:r>
      <m:oMath>
        <m:sSub>
          <m:e>
            <m:r>
              <m:t>β</m:t>
            </m:r>
          </m:e>
          <m:sub>
            <m:r>
              <m:t>2</m:t>
            </m:r>
          </m:sub>
        </m:sSub>
        <m:r>
          <m:rPr>
            <m:sty m:val="p"/>
          </m:rPr>
          <m:t>=</m:t>
        </m:r>
        <m:sSub>
          <m:e>
            <m:r>
              <m:t>β</m:t>
            </m:r>
          </m:e>
          <m:sub>
            <m:r>
              <m:t>3</m:t>
            </m:r>
          </m:sub>
        </m:sSub>
        <m:r>
          <m:rPr>
            <m:sty m:val="p"/>
          </m:rPr>
          <m:t>=</m:t>
        </m:r>
        <m:r>
          <m:t>0</m:t>
        </m:r>
      </m:oMath>
      <w:r>
        <w:t xml:space="preserve">). All scenarios used</w:t>
      </w:r>
      <w:r>
        <w:t xml:space="preserve"> </w:t>
      </w:r>
      <m:oMath>
        <m:r>
          <m:t>p</m:t>
        </m:r>
        <m:r>
          <m:rPr>
            <m:sty m:val="p"/>
          </m:rPr>
          <m:t>=</m:t>
        </m:r>
        <m:r>
          <m:t>3</m:t>
        </m:r>
        <m:r>
          <m:rPr>
            <m:sty m:val="p"/>
          </m:rPr>
          <m:t>,</m:t>
        </m:r>
        <m:r>
          <m:t>000</m:t>
        </m:r>
      </m:oMath>
      <w:r>
        <w:t xml:space="preserve"> </w:t>
      </w:r>
      <w:r>
        <w:t xml:space="preserve">genes,</w:t>
      </w:r>
      <w:r>
        <w:t xml:space="preserve"> </w:t>
      </w:r>
      <m:oMath>
        <m:r>
          <m:t>n</m:t>
        </m:r>
        <m:r>
          <m:rPr>
            <m:sty m:val="p"/>
          </m:rPr>
          <m:t>=</m:t>
        </m:r>
        <m:r>
          <m:t>200</m:t>
        </m:r>
      </m:oMath>
      <w:r>
        <w:t xml:space="preserve"> </w:t>
      </w:r>
      <w:r>
        <w:t xml:space="preserve">samples,</w:t>
      </w:r>
      <w:r>
        <w:t xml:space="preserve"> </w:t>
      </w:r>
      <m:oMath>
        <m:r>
          <m:t>k</m:t>
        </m:r>
        <m:r>
          <m:rPr>
            <m:sty m:val="p"/>
          </m:rPr>
          <m:t>=</m:t>
        </m:r>
        <m:r>
          <m:t>3</m:t>
        </m:r>
      </m:oMath>
      <w:r>
        <w:t xml:space="preserve"> </w:t>
      </w:r>
      <w:r>
        <w:t xml:space="preserve">true factors, the same baseline hazard parameter (</w:t>
      </w:r>
      <m:oMath>
        <m:r>
          <m:t>0.05</m:t>
        </m:r>
      </m:oMath>
      <w:r>
        <w:t xml:space="preserve">) and the same independent exponential censoring rate (</w:t>
      </w:r>
      <m:oMath>
        <m:r>
          <m:t>0.02</m:t>
        </m:r>
      </m:oMath>
      <w:r>
        <w:t xml:space="preserve">), and identical gamma distribution parameters for the gene loading matrix</w:t>
      </w:r>
      <w:r>
        <w:t xml:space="preserve"> </w:t>
      </w:r>
      <m:oMath>
        <m:r>
          <m:t>W</m:t>
        </m:r>
      </m:oMath>
      <w:r>
        <w:t xml:space="preserve"> </w:t>
      </w:r>
      <w:r>
        <w:t xml:space="preserve">(Simulation design and data generation). In every scenario the generating scores are formed from the noise-free expression matrix</w:t>
      </w:r>
      <w:r>
        <w:t xml:space="preserve"> </w:t>
      </w:r>
      <m:oMath>
        <m:sSub>
          <m:e>
            <m:r>
              <m:t>X</m:t>
            </m:r>
          </m:e>
          <m:sub>
            <m:r>
              <m:t>0</m:t>
            </m:r>
          </m:sub>
        </m:sSub>
        <m:r>
          <m:rPr>
            <m:sty m:val="p"/>
          </m:rPr>
          <m:t>=</m:t>
        </m:r>
        <m:r>
          <m:t>W</m:t>
        </m:r>
        <m:r>
          <m:t>H</m:t>
        </m:r>
      </m:oMath>
      <w:r>
        <w:t xml:space="preserve"> </w:t>
      </w:r>
      <w:r>
        <w:t xml:space="preserve">rather than from the analyzed matrix. The raw generating scores are</w:t>
      </w:r>
      <w:r>
        <w:t xml:space="preserve"> </w:t>
      </w:r>
      <m:oMath>
        <m:sSubSup>
          <m:e>
            <m:r>
              <m:t>X</m:t>
            </m:r>
          </m:e>
          <m:sub>
            <m:r>
              <m:t>0</m:t>
            </m:r>
          </m:sub>
          <m:sup>
            <m:r>
              <m:rPr>
                <m:sty m:val="p"/>
              </m:rPr>
              <m:t>⊤</m:t>
            </m:r>
          </m:sup>
        </m:sSubSup>
        <m:sSup>
          <m:e>
            <m:r>
              <m:t>W</m:t>
            </m:r>
          </m:e>
          <m:sup>
            <m:r>
              <m:rPr>
                <m:sty m:val="p"/>
              </m:rPr>
              <m:t>*</m:t>
            </m:r>
          </m:sup>
        </m:sSup>
      </m:oMath>
      <w:r>
        <w:t xml:space="preserve">, and their column-wise standardization across all</w:t>
      </w:r>
      <w:r>
        <w:t xml:space="preserve"> </w:t>
      </w:r>
      <m:oMath>
        <m:r>
          <m:t>n</m:t>
        </m:r>
        <m:r>
          <m:rPr>
            <m:sty m:val="p"/>
          </m:rPr>
          <m:t>=</m:t>
        </m:r>
        <m:r>
          <m:t>200</m:t>
        </m:r>
      </m:oMath>
      <w:r>
        <w:t xml:space="preserve"> </w:t>
      </w:r>
      <w:r>
        <w:t xml:space="preserve">samples, applied before the train/test split, gives the standardized scores from which the linear predictor is formed, so the generating</w:t>
      </w:r>
      <w:r>
        <w:t xml:space="preserve"> </w:t>
      </w:r>
      <m:oMath>
        <m:r>
          <m:t>β</m:t>
        </m:r>
      </m:oMath>
      <w:r>
        <w:t xml:space="preserve"> </w:t>
      </w:r>
      <w:r>
        <w:t xml:space="preserve">is per standard deviation of the generating score and is not comparable to a coefficient on a raw projection. Performance was evaluated using the concordance index (C-index) on the held-out 30% test split of each replicate, precision of recovered prognostic gene sets, and the distribution of selected ranks across simulation replicates. In the prognostic scenario the shared background genes are excluded from the survival-generating gene set; their exclusion does not imply statistical independence from survival, because background and marker expression share latent factor activities.</w:t>
      </w:r>
    </w:p>
    <w:p>
      <w:pPr>
        <w:pStyle w:val="BodyText"/>
      </w:pPr>
      <w:r>
        <w:t xml:space="preserve">In the prognostic scenario, median matched-factor precision was 0.50 for DeSurv versus 0.07 for unsupervised NMF, and global marker recall, the fraction of the survival-driving marker genes recovered anywhere in the union of all learned factors’ top-</w:t>
      </w:r>
      <m:oMath>
        <m:sSub>
          <m:e>
            <m:r>
              <m:t>n</m:t>
            </m:r>
          </m:e>
          <m:sub>
            <m:r>
              <m:rPr>
                <m:nor/>
                <m:sty m:val="p"/>
              </m:rPr>
              <m:t>top</m:t>
            </m:r>
          </m:sub>
        </m:sSub>
      </m:oMath>
      <w:r>
        <w:t xml:space="preserve"> </w:t>
      </w:r>
      <w:r>
        <w:t xml:space="preserve">gene sets, was 0.26 versus 0.15. Recall is insensitive to factor matching because it searches the union of all learned factors rather than a single matched factor; like precision, it depends on each method’s selected</w:t>
      </w:r>
      <w:r>
        <w:t xml:space="preserve"> </w:t>
      </w:r>
      <m:oMath>
        <m:sSub>
          <m:e>
            <m:r>
              <m:t>n</m:t>
            </m:r>
          </m:e>
          <m:sub>
            <m:r>
              <m:rPr>
                <m:nor/>
                <m:sty m:val="p"/>
              </m:rPr>
              <m:t>top</m:t>
            </m:r>
          </m:sub>
        </m:sSub>
      </m:oMath>
      <w:r>
        <w:t xml:space="preserve">. It complements the matched-factor precision reported in main-text Fig. [fig:sim].</w:t>
      </w:r>
    </w:p>
    <w:p>
      <w:pPr>
        <w:pStyle w:val="BodyText"/>
      </w:pPr>
      <w:r>
        <w:t xml:space="preserve">Under the null scenario (Fig. [fig:sim-null-mixed]a–b), DeSurv showed no advantage over unsupervised NMF (</w:t>
      </w:r>
      <m:oMath>
        <m:r>
          <m:t>α</m:t>
        </m:r>
        <m:r>
          <m:rPr>
            <m:sty m:val="p"/>
          </m:rPr>
          <m:t>=</m:t>
        </m:r>
        <m:r>
          <m:t>0</m:t>
        </m:r>
      </m:oMath>
      <w:r>
        <w:t xml:space="preserve">): both methods yielded C-index values near 0.5, and selected ranks concentrated at low values (NMF favoring</w:t>
      </w:r>
      <w:r>
        <w:t xml:space="preserve"> </w:t>
      </w:r>
      <m:oMath>
        <m:r>
          <m:t>k</m:t>
        </m:r>
        <m:r>
          <m:rPr>
            <m:sty m:val="p"/>
          </m:rPr>
          <m:t>=</m:t>
        </m:r>
        <m:r>
          <m:t>2</m:t>
        </m:r>
      </m:oMath>
      <w:r>
        <w:t xml:space="preserve">), consistent with the absence of survival signal. Because the survival objective is uninformative under the null, the cross-validated concordance is essentially flat in</w:t>
      </w:r>
      <w:r>
        <w:t xml:space="preserve"> </w:t>
      </w:r>
      <m:oMath>
        <m:r>
          <m:t>α</m:t>
        </m:r>
      </m:oMath>
      <w:r>
        <w:t xml:space="preserve"> </w:t>
      </w:r>
      <w:r>
        <w:t xml:space="preserve">and the Bayesian-optimized supervision strength is unidentified, dispersing across its admissible range rather than concentrating near zero (median</w:t>
      </w:r>
      <w:r>
        <w:t xml:space="preserve"> </w:t>
      </w:r>
      <m:oMath>
        <m:r>
          <m:t>α</m:t>
        </m:r>
        <m:r>
          <m:rPr>
            <m:sty m:val="p"/>
          </m:rPr>
          <m:t>=</m:t>
        </m:r>
        <m:r>
          <m:t>0.59</m:t>
        </m:r>
      </m:oMath>
      <w:r>
        <w:t xml:space="preserve">, IQR</w:t>
      </w:r>
      <w:r>
        <w:t xml:space="preserve"> </w:t>
      </w:r>
      <m:oMath>
        <m:r>
          <m:t>0.19</m:t>
        </m:r>
      </m:oMath>
      <w:r>
        <w:t xml:space="preserve">–</w:t>
      </w:r>
      <m:oMath>
        <m:r>
          <m:t>0.82</m:t>
        </m:r>
      </m:oMath>
      <w:r>
        <w:t xml:space="preserve">; range</w:t>
      </w:r>
      <w:r>
        <w:t xml:space="preserve"> </w:t>
      </w:r>
      <m:oMath>
        <m:r>
          <m:t>0</m:t>
        </m:r>
      </m:oMath>
      <w:r>
        <w:t xml:space="preserve">–</w:t>
      </w:r>
      <m:oMath>
        <m:r>
          <m:t>0.94</m:t>
        </m:r>
      </m:oMath>
      <w:r>
        <w:t xml:space="preserve"> </w:t>
      </w:r>
      <w:r>
        <w:t xml:space="preserve">across 100 replicates). The null-scenario specificity thus reflects the flat concordance surface itself, not the optimizer driving</w:t>
      </w:r>
      <w:r>
        <w:t xml:space="preserve"> </w:t>
      </w:r>
      <m:oMath>
        <m:r>
          <m:t>α</m:t>
        </m:r>
      </m:oMath>
      <w:r>
        <w:t xml:space="preserve"> </w:t>
      </w:r>
      <w:r>
        <w:t xml:space="preserve">to zero.</w:t>
      </w:r>
    </w:p>
    <w:p>
      <w:pPr>
        <w:pStyle w:val="BodyText"/>
      </w:pPr>
      <w:r>
        <w:t xml:space="preserve">Under the mixed scenario (Fig. [fig:sim-null-mixed]c–f), DeSurv’s advantage was concentrated in marker-gene recovery. Precision against the factor-specific marker genes alone (150 genes; Fig. [fig:sim-null-mixed]d left) substantially favored DeSurv, whereas precision against the full 300-gene survival set including background genes (Fig. [fig:sim-null-mixed]d right) was more modestly improved, indicating similar background-gene recovery between methods. The learned factor aligned with the true marker program also received a larger Cox coefficient (</w:t>
      </w:r>
      <m:oMath>
        <m:d>
          <m:dPr>
            <m:begChr m:val="|"/>
            <m:endChr m:val="|"/>
            <m:sepChr m:val=""/>
            <m:grow/>
          </m:dPr>
          <m:e>
            <m:r>
              <m:t>β</m:t>
            </m:r>
          </m:e>
        </m:d>
      </m:oMath>
      <w:r>
        <w:t xml:space="preserve">) under DeSurv (Fig. [fig:sim-null-mixed]e), and C-index was modestly higher (Fig. [fig:sim-null-mixed]c). Across the three scenarios the pattern was graded: DeSurv’s advantage was greatest when variance and prognosis diverged (prognostic), attenuated in full-target precision and in discrimination when they partially overlapped (mixed, as background-gene dilution reduced the discrimination gain) while marker-only precision still favored DeSurv, and absent when no survival signal existed (null). These simulations indicate that DeSurv is most advantageous when prognostic structure is not aligned with the dominant sources of transcriptomic variation.</w:t>
      </w:r>
    </w:p>
    <w:p>
      <w:pPr>
        <w:pStyle w:val="BodyText"/>
      </w:pPr>
      <w:r>
        <w:drawing>
          <wp:inline>
            <wp:extent cx="5334000" cy="5719186"/>
            <wp:effectExtent b="0" l="0" r="0" t="0"/>
            <wp:docPr descr="" title="" id="59" name="Picture"/>
            <a:graphic>
              <a:graphicData uri="http://schemas.openxmlformats.org/drawingml/2006/picture">
                <pic:pic>
                  <pic:nvPicPr>
                    <pic:cNvPr descr=".docx_media/figures_fig_sim_null_mixed_1.png" id="60" name="Picture"/>
                    <pic:cNvPicPr>
                      <a:picLocks noChangeArrowheads="1" noChangeAspect="1"/>
                    </pic:cNvPicPr>
                  </pic:nvPicPr>
                  <pic:blipFill>
                    <a:blip r:embed="rId58"/>
                    <a:stretch>
                      <a:fillRect/>
                    </a:stretch>
                  </pic:blipFill>
                  <pic:spPr bwMode="auto">
                    <a:xfrm>
                      <a:off x="0" y="0"/>
                      <a:ext cx="5334000" cy="5719186"/>
                    </a:xfrm>
                    <a:prstGeom prst="rect">
                      <a:avLst/>
                    </a:prstGeom>
                    <a:noFill/>
                    <a:ln w="9525">
                      <a:noFill/>
                      <a:headEnd/>
                      <a:tailEnd/>
                    </a:ln>
                  </pic:spPr>
                </pic:pic>
              </a:graphicData>
            </a:graphic>
          </wp:inline>
        </w:drawing>
      </w:r>
    </w:p>
    <w:p>
      <w:pPr>
        <w:pStyle w:val="BodyText"/>
      </w:pPr>
      <w:r>
        <w:rPr>
          <w:iCs/>
          <w:i/>
        </w:rPr>
        <w:t xml:space="preserve">DeSurv performance under null and mixed simulation scenarios. (a,b) Null scenario (</w:t>
      </w:r>
      <m:oMath>
        <m:r>
          <m:t>β</m:t>
        </m:r>
        <m:r>
          <m:rPr>
            <m:sty m:val="p"/>
          </m:rPr>
          <m:t>=</m:t>
        </m:r>
        <m:r>
          <m:t>0</m:t>
        </m:r>
      </m:oMath>
      <w:r>
        <w:rPr>
          <w:iCs/>
          <w:i/>
        </w:rPr>
        <w:t xml:space="preserve">): both methods yield C-index</w:t>
      </w:r>
      <w:r>
        <w:rPr>
          <w:iCs/>
          <w:i/>
        </w:rPr>
        <w:t xml:space="preserve"> </w:t>
      </w:r>
      <m:oMath>
        <m:r>
          <m:rPr>
            <m:sty m:val="p"/>
          </m:rPr>
          <m:t>≈</m:t>
        </m:r>
        <m:r>
          <m:t>0.5</m:t>
        </m:r>
      </m:oMath>
      <w:r>
        <w:rPr>
          <w:iCs/>
          <w:i/>
        </w:rPr>
        <w:t xml:space="preserve"> </w:t>
      </w:r>
      <w:r>
        <w:rPr>
          <w:iCs/>
          <w:i/>
        </w:rPr>
        <w:t xml:space="preserve">(a) and comparable rank distributions (b), so both methods show no out-of-sample prognostic discrimination under the null; precision is omitted as no true survival genes exist. (c–f) Mixed scenario: survival depends on factor-specific marker genes (50%) and shared background genes (50%). (c) C-index is modestly higher for DeSurv. (d) Precision by gene-set definition: marker-only precision (150 genes; left facet) substantially favors DeSurv; full 300-gene survival-set precision (right facet) shows a more modest improvement. (e) The matched factor receives a larger fitted Cox coefficient</w:t>
      </w:r>
      <w:r>
        <w:rPr>
          <w:iCs/>
          <w:i/>
        </w:rPr>
        <w:t xml:space="preserve"> </w:t>
      </w:r>
      <m:oMath>
        <m:d>
          <m:dPr>
            <m:begChr m:val="|"/>
            <m:endChr m:val="|"/>
            <m:sepChr m:val=""/>
            <m:grow/>
          </m:dPr>
          <m:e>
            <m:r>
              <m:t>β</m:t>
            </m:r>
          </m:e>
        </m:d>
      </m:oMath>
      <w:r>
        <w:rPr>
          <w:iCs/>
          <w:i/>
        </w:rPr>
        <w:t xml:space="preserve"> </w:t>
      </w:r>
      <w:r>
        <w:rPr>
          <w:iCs/>
          <w:i/>
        </w:rPr>
        <w:t xml:space="preserve">under DeSurv. (f) Selected-rank distributions. DeSurv (blue); NMF (red,</w:t>
      </w:r>
      <w:r>
        <w:rPr>
          <w:iCs/>
          <w:i/>
        </w:rPr>
        <w:t xml:space="preserve"> </w:t>
      </w:r>
      <m:oMath>
        <m:r>
          <m:t>α</m:t>
        </m:r>
        <m:r>
          <m:rPr>
            <m:sty m:val="p"/>
          </m:rPr>
          <m:t>=</m:t>
        </m:r>
        <m:r>
          <m:t>0</m:t>
        </m:r>
      </m:oMath>
      <w:r>
        <w:rPr>
          <w:iCs/>
          <w:i/>
        </w:rPr>
        <w:t xml:space="preserve">); both Bayesian-optimized.</w:t>
      </w:r>
    </w:p>
    <w:bookmarkEnd w:id="61"/>
    <w:bookmarkStart w:id="65" w:name="X680e376122d014d3f7c1287c73305ede05e677a"/>
    <w:p>
      <w:pPr>
        <w:pStyle w:val="Heading1"/>
      </w:pPr>
      <w:r>
        <w:t xml:space="preserve">Cross-validated C-index across factorization rank</w:t>
      </w:r>
    </w:p>
    <w:p>
      <w:pPr>
        <w:pStyle w:val="FirstParagraph"/>
      </w:pPr>
      <w:r>
        <w:t xml:space="preserve">To evaluate how the number of latent factors</w:t>
      </w:r>
      <w:r>
        <w:t xml:space="preserve"> </w:t>
      </w:r>
      <m:oMath>
        <m:r>
          <m:t>k</m:t>
        </m:r>
      </m:oMath>
      <w:r>
        <w:t xml:space="preserve"> </w:t>
      </w:r>
      <w:r>
        <w:t xml:space="preserve">affects prognostic performance, as a sensitivity analysis we performed an exhaustive grid search over</w:t>
      </w:r>
      <w:r>
        <w:t xml:space="preserve"> </w:t>
      </w:r>
      <m:oMath>
        <m:r>
          <m:t>k</m:t>
        </m:r>
        <m:r>
          <m:rPr>
            <m:sty m:val="p"/>
          </m:rPr>
          <m:t>∈</m:t>
        </m:r>
        <m:r>
          <m:rPr>
            <m:sty m:val="p"/>
          </m:rPr>
          <m:t>{</m:t>
        </m:r>
        <m:r>
          <m:t>2</m:t>
        </m:r>
        <m:r>
          <m:rPr>
            <m:sty m:val="p"/>
          </m:rPr>
          <m:t>,</m:t>
        </m:r>
        <m:r>
          <m:t>3</m:t>
        </m:r>
        <m:r>
          <m:rPr>
            <m:sty m:val="p"/>
          </m:rPr>
          <m:t>,</m:t>
        </m:r>
        <m:r>
          <m:rPr>
            <m:sty m:val="p"/>
          </m:rPr>
          <m:t>…</m:t>
        </m:r>
        <m:r>
          <m:rPr>
            <m:sty m:val="p"/>
          </m:rPr>
          <m:t>,</m:t>
        </m:r>
        <m:r>
          <m:t>12</m:t>
        </m:r>
        <m:r>
          <m:rPr>
            <m:sty m:val="p"/>
          </m:rPr>
          <m:t>}</m:t>
        </m:r>
      </m:oMath>
      <w:r>
        <w:t xml:space="preserve"> </w:t>
      </w:r>
      <w:r>
        <w:t xml:space="preserve">and supervision strength</w:t>
      </w:r>
      <w:r>
        <w:t xml:space="preserve"> </w:t>
      </w:r>
      <m:oMath>
        <m:r>
          <m:t>α</m:t>
        </m:r>
        <m:r>
          <m:rPr>
            <m:sty m:val="p"/>
          </m:rPr>
          <m:t>∈</m:t>
        </m:r>
        <m:r>
          <m:rPr>
            <m:sty m:val="p"/>
          </m:rPr>
          <m:t>{</m:t>
        </m:r>
        <m:r>
          <m:t>0</m:t>
        </m:r>
        <m:r>
          <m:rPr>
            <m:sty m:val="p"/>
          </m:rPr>
          <m:t>,</m:t>
        </m:r>
        <m:r>
          <m:t>0.05</m:t>
        </m:r>
        <m:r>
          <m:rPr>
            <m:sty m:val="p"/>
          </m:rPr>
          <m:t>,</m:t>
        </m:r>
        <m:r>
          <m:rPr>
            <m:sty m:val="p"/>
          </m:rPr>
          <m:t>…</m:t>
        </m:r>
        <m:r>
          <m:rPr>
            <m:sty m:val="p"/>
          </m:rPr>
          <m:t>,</m:t>
        </m:r>
        <m:r>
          <m:t>0.95</m:t>
        </m:r>
        <m:r>
          <m:rPr>
            <m:sty m:val="p"/>
          </m:rPr>
          <m:t>}</m:t>
        </m:r>
      </m:oMath>
      <w:r>
        <w:t xml:space="preserve"> </w:t>
      </w:r>
      <w:r>
        <w:t xml:space="preserve">using 5-fold cross-validation on the TCGA+CPTAC training cohort. For each</w:t>
      </w:r>
      <w:r>
        <w:t xml:space="preserve"> </w:t>
      </w:r>
      <m:oMath>
        <m:r>
          <m:t>k</m:t>
        </m:r>
      </m:oMath>
      <w:r>
        <w:t xml:space="preserve">, the best-performing</w:t>
      </w:r>
      <w:r>
        <w:t xml:space="preserve"> </w:t>
      </w:r>
      <m:oMath>
        <m:r>
          <m:t>α</m:t>
        </m:r>
      </m:oMath>
      <w:r>
        <w:t xml:space="preserve"> </w:t>
      </w:r>
      <w:r>
        <w:t xml:space="preserve">was selected by maximizing the mean CV C-index. The unsupervised limit (</w:t>
      </w:r>
      <m:oMath>
        <m:r>
          <m:t>α</m:t>
        </m:r>
        <m:r>
          <m:rPr>
            <m:sty m:val="p"/>
          </m:rPr>
          <m:t>=</m:t>
        </m:r>
        <m:r>
          <m:t>0</m:t>
        </m:r>
      </m:oMath>
      <w:r>
        <w:t xml:space="preserve">) was evaluated at the same</w:t>
      </w:r>
      <w:r>
        <w:t xml:space="preserve"> </w:t>
      </w:r>
      <m:oMath>
        <m:r>
          <m:t>k</m:t>
        </m:r>
      </m:oMath>
      <w:r>
        <w:t xml:space="preserve"> </w:t>
      </w:r>
      <w:r>
        <w:t xml:space="preserve">values for comparison. Results are shown for two gene-selection settings:</w:t>
      </w:r>
      <w:r>
        <w:t xml:space="preserve"> </w:t>
      </w:r>
      <m:oMath>
        <m:sSub>
          <m:e>
            <m:r>
              <m:t>n</m:t>
            </m:r>
          </m:e>
          <m:sub>
            <m:r>
              <m:rPr>
                <m:nor/>
                <m:sty m:val="p"/>
              </m:rPr>
              <m:t>top</m:t>
            </m:r>
          </m:sub>
        </m:sSub>
        <m:r>
          <m:rPr>
            <m:sty m:val="p"/>
          </m:rPr>
          <m:t>=</m:t>
        </m:r>
        <m:r>
          <m:t>270</m:t>
        </m:r>
      </m:oMath>
      <w:r>
        <w:t xml:space="preserve"> </w:t>
      </w:r>
      <w:r>
        <w:t xml:space="preserve">top genes per factor and</w:t>
      </w:r>
      <w:r>
        <w:t xml:space="preserve"> </w:t>
      </w:r>
      <m:oMath>
        <m:sSub>
          <m:e>
            <m:r>
              <m:t>n</m:t>
            </m:r>
          </m:e>
          <m:sub>
            <m:r>
              <m:rPr>
                <m:nor/>
                <m:sty m:val="p"/>
              </m:rPr>
              <m:t>top</m:t>
            </m:r>
          </m:sub>
        </m:sSub>
        <m:r>
          <m:rPr>
            <m:sty m:val="p"/>
          </m:rPr>
          <m:t>=</m:t>
        </m:r>
        <m:r>
          <m:rPr>
            <m:nor/>
            <m:sty m:val="p"/>
          </m:rPr>
          <m:t>ALL</m:t>
        </m:r>
      </m:oMath>
      <w:r>
        <w:t xml:space="preserve"> </w:t>
      </w:r>
      <w:r>
        <w:t xml:space="preserve">(all genes retained), both at</w:t>
      </w:r>
      <w:r>
        <w:t xml:space="preserve"> </w:t>
      </w:r>
      <m:oMath>
        <m:r>
          <m:t>λ</m:t>
        </m:r>
        <m:r>
          <m:rPr>
            <m:sty m:val="p"/>
          </m:rPr>
          <m:t>=</m:t>
        </m:r>
        <m:r>
          <m:t>0.349</m:t>
        </m:r>
      </m:oMath>
      <w:r>
        <w:t xml:space="preserve"> </w:t>
      </w:r>
      <w:r>
        <w:t xml:space="preserve">and</w:t>
      </w:r>
      <w:r>
        <w:t xml:space="preserve"> </w:t>
      </w:r>
      <m:oMath>
        <m:r>
          <m:t>ξ</m:t>
        </m:r>
        <m:r>
          <m:rPr>
            <m:sty m:val="p"/>
          </m:rPr>
          <m:t>=</m:t>
        </m:r>
        <m:r>
          <m:t>0.056</m:t>
        </m:r>
      </m:oMath>
      <w:r>
        <w:t xml:space="preserve">. External validation C-index is shown descriptively; validation outcomes were not used to select</w:t>
      </w:r>
      <w:r>
        <w:t xml:space="preserve"> </w:t>
      </w:r>
      <m:oMath>
        <m:r>
          <m:t>k</m:t>
        </m:r>
      </m:oMath>
      <w:r>
        <w:t xml:space="preserve">,</w:t>
      </w:r>
      <w:r>
        <w:t xml:space="preserve"> </w:t>
      </w:r>
      <m:oMath>
        <m:r>
          <m:t>α</m:t>
        </m:r>
      </m:oMath>
      <w:r>
        <w:t xml:space="preserve">,</w:t>
      </w:r>
      <w:r>
        <w:t xml:space="preserve"> </w:t>
      </w:r>
      <m:oMath>
        <m:r>
          <m:t>λ</m:t>
        </m:r>
      </m:oMath>
      <w:r>
        <w:t xml:space="preserve">,</w:t>
      </w:r>
      <w:r>
        <w:t xml:space="preserve"> </w:t>
      </w:r>
      <m:oMath>
        <m:r>
          <m:t>ξ</m:t>
        </m:r>
      </m:oMath>
      <w:r>
        <w:t xml:space="preserve">, or</w:t>
      </w:r>
      <w:r>
        <w:t xml:space="preserve"> </w:t>
      </w:r>
      <m:oMath>
        <m:sSub>
          <m:e>
            <m:r>
              <m:t>n</m:t>
            </m:r>
          </m:e>
          <m:sub>
            <m:r>
              <m:rPr>
                <m:nor/>
                <m:sty m:val="p"/>
              </m:rPr>
              <m:t>top</m:t>
            </m:r>
          </m:sub>
        </m:sSub>
      </m:oMath>
      <w:r>
        <w:t xml:space="preserve">.</w:t>
      </w:r>
    </w:p>
    <w:p>
      <w:pPr>
        <w:pStyle w:val="BodyText"/>
      </w:pPr>
      <w:r>
        <w:t xml:space="preserve">Fig. [fig:fig-cindex-by-k] shows the resulting C-index curves for both training (CV) and external validation (pooled across held-out cohorts), with shaded ribbons indicating</w:t>
      </w:r>
      <w:r>
        <w:t xml:space="preserve"> </w:t>
      </w:r>
      <m:oMath>
        <m:r>
          <m:rPr>
            <m:sty m:val="p"/>
          </m:rPr>
          <m:t>±</m:t>
        </m:r>
        <m:r>
          <m:t>1</m:t>
        </m:r>
      </m:oMath>
      <w:r>
        <w:t xml:space="preserve"> </w:t>
      </w:r>
      <w:r>
        <w:t xml:space="preserve">standard error. Rank was selected on the training cross-validated concordance. For DeSurv that curve is close to flat across the whole range examined, spanning about two standard errors from</w:t>
      </w:r>
      <w:r>
        <w:t xml:space="preserve"> </w:t>
      </w:r>
      <m:oMath>
        <m:r>
          <m:t>k</m:t>
        </m:r>
        <m:r>
          <m:rPr>
            <m:sty m:val="p"/>
          </m:rPr>
          <m:t>=</m:t>
        </m:r>
        <m:r>
          <m:t>2</m:t>
        </m:r>
      </m:oMath>
      <w:r>
        <w:t xml:space="preserve"> </w:t>
      </w:r>
      <w:r>
        <w:t xml:space="preserve">to</w:t>
      </w:r>
      <w:r>
        <w:t xml:space="preserve"> </w:t>
      </w:r>
      <m:oMath>
        <m:r>
          <m:t>k</m:t>
        </m:r>
        <m:r>
          <m:rPr>
            <m:sty m:val="p"/>
          </m:rPr>
          <m:t>=</m:t>
        </m:r>
        <m:r>
          <m:t>12</m:t>
        </m:r>
      </m:oMath>
      <w:r>
        <w:t xml:space="preserve">, with its nominal maximum at</w:t>
      </w:r>
      <w:r>
        <w:t xml:space="preserve"> </w:t>
      </w:r>
      <m:oMath>
        <m:r>
          <m:t>k</m:t>
        </m:r>
        <m:r>
          <m:rPr>
            <m:sty m:val="p"/>
          </m:rPr>
          <m:t>=</m:t>
        </m:r>
        <m:r>
          <m:t>9</m:t>
        </m:r>
      </m:oMath>
      <w:r>
        <w:t xml:space="preserve"> </w:t>
      </w:r>
      <w:r>
        <w:t xml:space="preserve">rather than at the selected rank. This fixed-</w:t>
      </w:r>
      <m:oMath>
        <m:r>
          <m:t>λ</m:t>
        </m:r>
      </m:oMath>
      <w:r>
        <w:t xml:space="preserve">,</w:t>
      </w:r>
      <w:r>
        <w:t xml:space="preserve"> </w:t>
      </w:r>
      <m:oMath>
        <m:r>
          <m:t>ξ</m:t>
        </m:r>
      </m:oMath>
      <w:r>
        <w:t xml:space="preserve">,</w:t>
      </w:r>
      <w:r>
        <w:t xml:space="preserve"> </w:t>
      </w:r>
      <m:oMath>
        <m:sSub>
          <m:e>
            <m:r>
              <m:t>n</m:t>
            </m:r>
          </m:e>
          <m:sub>
            <m:r>
              <m:rPr>
                <m:nor/>
                <m:sty m:val="p"/>
              </m:rPr>
              <m:t>top</m:t>
            </m:r>
          </m:sub>
        </m:sSub>
      </m:oMath>
      <w:r>
        <w:t xml:space="preserve"> </w:t>
      </w:r>
      <w:r>
        <w:t xml:space="preserve">grid is a different exercise from the full Bayesian-optimization search over all tuned hyperparameters, whose highest observed mean C-index occurred at</w:t>
      </w:r>
      <w:r>
        <w:t xml:space="preserve"> </w:t>
      </w:r>
      <m:oMath>
        <m:r>
          <m:t>k</m:t>
        </m:r>
        <m:r>
          <m:rPr>
            <m:sty m:val="p"/>
          </m:rPr>
          <m:t>=</m:t>
        </m:r>
        <m:r>
          <m:t>7</m:t>
        </m:r>
      </m:oMath>
      <w:r>
        <w:t xml:space="preserve">. Applying the same one-standard-error rule to panel (a) of this sensitivity grid, at</w:t>
      </w:r>
      <w:r>
        <w:t xml:space="preserve"> </w:t>
      </w:r>
      <m:oMath>
        <m:sSub>
          <m:e>
            <m:r>
              <m:t>n</m:t>
            </m:r>
          </m:e>
          <m:sub>
            <m:r>
              <m:rPr>
                <m:nor/>
                <m:sty m:val="p"/>
              </m:rPr>
              <m:t>top</m:t>
            </m:r>
          </m:sub>
        </m:sSub>
        <m:r>
          <m:rPr>
            <m:sty m:val="p"/>
          </m:rPr>
          <m:t>=</m:t>
        </m:r>
        <m:r>
          <m:t>270</m:t>
        </m:r>
      </m:oMath>
      <w:r>
        <w:t xml:space="preserve">, also selects</w:t>
      </w:r>
      <w:r>
        <w:t xml:space="preserve"> </w:t>
      </w:r>
      <m:oMath>
        <m:r>
          <m:t>k</m:t>
        </m:r>
        <m:r>
          <m:rPr>
            <m:sty m:val="p"/>
          </m:rPr>
          <m:t>=</m:t>
        </m:r>
        <m:r>
          <m:t>3</m:t>
        </m:r>
      </m:oMath>
      <w:r>
        <w:t xml:space="preserve">, from a grid best of</w:t>
      </w:r>
      <w:r>
        <w:t xml:space="preserve"> </w:t>
      </w:r>
      <m:oMath>
        <m:r>
          <m:t>0.671</m:t>
        </m:r>
      </m:oMath>
      <w:r>
        <w:t xml:space="preserve"> </w:t>
      </w:r>
      <w:r>
        <w:t xml:space="preserve">(standard error</w:t>
      </w:r>
      <w:r>
        <w:t xml:space="preserve"> </w:t>
      </w:r>
      <m:oMath>
        <m:r>
          <m:t>0.009</m:t>
        </m:r>
      </m:oMath>
      <w:r>
        <w:t xml:space="preserve">) at</w:t>
      </w:r>
      <w:r>
        <w:t xml:space="preserve"> </w:t>
      </w:r>
      <m:oMath>
        <m:r>
          <m:t>k</m:t>
        </m:r>
        <m:r>
          <m:rPr>
            <m:sty m:val="p"/>
          </m:rPr>
          <m:t>=</m:t>
        </m:r>
        <m:r>
          <m:t>9</m:t>
        </m:r>
      </m:oMath>
      <w:r>
        <w:t xml:space="preserve"> </w:t>
      </w:r>
      <w:r>
        <w:t xml:space="preserve">and the resulting threshold</w:t>
      </w:r>
      <w:r>
        <w:t xml:space="preserve"> </w:t>
      </w:r>
      <m:oMath>
        <m:r>
          <m:t>0.662</m:t>
        </m:r>
      </m:oMath>
      <w:r>
        <w:t xml:space="preserve">. That threshold is the grid’s own, distinct from the Bayesian-optimization threshold of</w:t>
      </w:r>
      <w:r>
        <w:t xml:space="preserve"> </w:t>
      </w:r>
      <m:oMath>
        <m:r>
          <m:t>0.644</m:t>
        </m:r>
      </m:oMath>
      <w:r>
        <w:t xml:space="preserve">, and what it corroborates is the selected rank rather than the exact final configuration, whose nearest neighbor in this grid clears only the Bayesian-optimization threshold (Bayesian Optimization). The selection depends on the gene-selection setting: under panel (b), with all genes retained, the same rule selects</w:t>
      </w:r>
      <w:r>
        <w:t xml:space="preserve"> </w:t>
      </w:r>
      <m:oMath>
        <m:r>
          <m:t>k</m:t>
        </m:r>
        <m:r>
          <m:rPr>
            <m:sty m:val="p"/>
          </m:rPr>
          <m:t>=</m:t>
        </m:r>
        <m:r>
          <m:t>2</m:t>
        </m:r>
      </m:oMath>
      <w:r>
        <w:t xml:space="preserve">. On the training cross-validated curve DeSurv had a higher point estimate than its unsupervised limit at every</w:t>
      </w:r>
      <w:r>
        <w:t xml:space="preserve"> </w:t>
      </w:r>
      <m:oMath>
        <m:r>
          <m:t>k</m:t>
        </m:r>
      </m:oMath>
      <w:r>
        <w:t xml:space="preserve"> </w:t>
      </w:r>
      <w:r>
        <w:t xml:space="preserve">examined. The external-validation curve, shown only descriptively, does not show that ordering uniformly: the unsupervised limit is higher at</w:t>
      </w:r>
      <w:r>
        <w:t xml:space="preserve"> </w:t>
      </w:r>
      <m:oMath>
        <m:r>
          <m:t>k</m:t>
        </m:r>
        <m:r>
          <m:rPr>
            <m:sty m:val="p"/>
          </m:rPr>
          <m:t>=</m:t>
        </m:r>
        <m:r>
          <m:t>6</m:t>
        </m:r>
      </m:oMath>
      <w:r>
        <w:t xml:space="preserve"> </w:t>
      </w:r>
      <w:r>
        <w:t xml:space="preserve">and at</w:t>
      </w:r>
      <w:r>
        <w:t xml:space="preserve"> </w:t>
      </w:r>
      <m:oMath>
        <m:r>
          <m:t>k</m:t>
        </m:r>
        <m:r>
          <m:rPr>
            <m:sty m:val="p"/>
          </m:rPr>
          <m:t>=</m:t>
        </m:r>
        <m:r>
          <m:t>10</m:t>
        </m:r>
      </m:oMath>
      <w:r>
        <w:t xml:space="preserve">–</w:t>
      </w:r>
      <m:oMath>
        <m:r>
          <m:t>12</m:t>
        </m:r>
      </m:oMath>
      <w:r>
        <w:t xml:space="preserve">, and the supervised curve dips at</w:t>
      </w:r>
      <w:r>
        <w:t xml:space="preserve"> </w:t>
      </w:r>
      <m:oMath>
        <m:r>
          <m:t>k</m:t>
        </m:r>
        <m:r>
          <m:rPr>
            <m:sty m:val="p"/>
          </m:rPr>
          <m:t>=</m:t>
        </m:r>
        <m:r>
          <m:t>6</m:t>
        </m:r>
      </m:oMath>
      <w:r>
        <w:t xml:space="preserve">, where the single grid fit at its selected</w:t>
      </w:r>
      <w:r>
        <w:t xml:space="preserve"> </w:t>
      </w:r>
      <m:oMath>
        <m:r>
          <m:t>α</m:t>
        </m:r>
      </m:oMath>
      <w:r>
        <w:t xml:space="preserve"> </w:t>
      </w:r>
      <w:r>
        <w:t xml:space="preserve">is the same fit whose factors correspond to almost no reference program (Reference-program coverage, edges and multiplicity). These rank-wise points are single fits, not consensus fits. At the selected rank the validation curve is consistent with the training-based choice, with DeSurv at</w:t>
      </w:r>
      <w:r>
        <w:t xml:space="preserve"> </w:t>
      </w:r>
      <m:oMath>
        <m:r>
          <m:t>k</m:t>
        </m:r>
        <m:r>
          <m:rPr>
            <m:sty m:val="p"/>
          </m:rPr>
          <m:t>=</m:t>
        </m:r>
        <m:r>
          <m:t>3</m:t>
        </m:r>
      </m:oMath>
      <w:r>
        <w:t xml:space="preserve"> </w:t>
      </w:r>
      <w:r>
        <w:t xml:space="preserve">attaining concordance comparable to the rank-optimized unsupervised control (</w:t>
      </w:r>
      <m:oMath>
        <m:r>
          <m:t>k</m:t>
        </m:r>
        <m:r>
          <m:rPr>
            <m:sty m:val="p"/>
          </m:rPr>
          <m:t>=</m:t>
        </m:r>
        <m:r>
          <m:t>7</m:t>
        </m:r>
      </m:oMath>
      <w:r>
        <w:t xml:space="preserve">; Table [tab:tab-cindex-comparison]).</w:t>
      </w:r>
    </w:p>
    <w:p>
      <w:pPr>
        <w:pStyle w:val="BodyText"/>
      </w:pPr>
      <w:r>
        <w:drawing>
          <wp:inline>
            <wp:extent cx="5334000" cy="5244713"/>
            <wp:effectExtent b="0" l="0" r="0" t="0"/>
            <wp:docPr descr="" title="" id="63" name="Picture"/>
            <a:graphic>
              <a:graphicData uri="http://schemas.openxmlformats.org/drawingml/2006/picture">
                <pic:pic>
                  <pic:nvPicPr>
                    <pic:cNvPr descr=".docx_media/figures_fig_cindex_by_k_1.png" id="64" name="Picture"/>
                    <pic:cNvPicPr>
                      <a:picLocks noChangeArrowheads="1" noChangeAspect="1"/>
                    </pic:cNvPicPr>
                  </pic:nvPicPr>
                  <pic:blipFill>
                    <a:blip r:embed="rId62"/>
                    <a:stretch>
                      <a:fillRect/>
                    </a:stretch>
                  </pic:blipFill>
                  <pic:spPr bwMode="auto">
                    <a:xfrm>
                      <a:off x="0" y="0"/>
                      <a:ext cx="5334000" cy="5244713"/>
                    </a:xfrm>
                    <a:prstGeom prst="rect">
                      <a:avLst/>
                    </a:prstGeom>
                    <a:noFill/>
                    <a:ln w="9525">
                      <a:noFill/>
                      <a:headEnd/>
                      <a:tailEnd/>
                    </a:ln>
                  </pic:spPr>
                </pic:pic>
              </a:graphicData>
            </a:graphic>
          </wp:inline>
        </w:drawing>
      </w:r>
    </w:p>
    <w:p>
      <w:pPr>
        <w:pStyle w:val="BodyText"/>
      </w:pPr>
      <w:r>
        <w:rPr>
          <w:iCs/>
          <w:i/>
        </w:rPr>
        <w:t xml:space="preserve">Training (CV) and external validation C-index as a function of factorization rank</w:t>
      </w:r>
      <w:r>
        <w:rPr>
          <w:iCs/>
          <w:i/>
        </w:rPr>
        <w:t xml:space="preserve"> </w:t>
      </w:r>
      <m:oMath>
        <m:r>
          <m:t>k</m:t>
        </m:r>
      </m:oMath>
      <w:r>
        <w:rPr>
          <w:iCs/>
          <w:i/>
        </w:rPr>
        <w:t xml:space="preserve"> </w:t>
      </w:r>
      <w:r>
        <w:rPr>
          <w:iCs/>
          <w:i/>
        </w:rPr>
        <w:t xml:space="preserve">for DeSurv (blue) and its unsupervised limit (red,</w:t>
      </w:r>
      <w:r>
        <w:rPr>
          <w:iCs/>
          <w:i/>
        </w:rPr>
        <w:t xml:space="preserve"> </w:t>
      </w:r>
      <m:oMath>
        <m:r>
          <m:t>α</m:t>
        </m:r>
        <m:r>
          <m:rPr>
            <m:sty m:val="p"/>
          </m:rPr>
          <m:t>=</m:t>
        </m:r>
        <m:r>
          <m:t>0</m:t>
        </m:r>
      </m:oMath>
      <w:r>
        <w:rPr>
          <w:iCs/>
          <w:i/>
        </w:rPr>
        <w:t xml:space="preserve">). Shaded ribbons show</w:t>
      </w:r>
      <w:r>
        <w:rPr>
          <w:iCs/>
          <w:i/>
        </w:rPr>
        <w:t xml:space="preserve"> </w:t>
      </w:r>
      <m:oMath>
        <m:r>
          <m:rPr>
            <m:sty m:val="p"/>
          </m:rPr>
          <m:t>±</m:t>
        </m:r>
        <m:r>
          <m:t>1</m:t>
        </m:r>
      </m:oMath>
      <w:r>
        <w:rPr>
          <w:iCs/>
          <w:i/>
        </w:rPr>
        <w:t xml:space="preserve"> </w:t>
      </w:r>
      <w:r>
        <w:rPr>
          <w:iCs/>
          <w:i/>
        </w:rPr>
        <w:t xml:space="preserve">SE. For each</w:t>
      </w:r>
      <w:r>
        <w:rPr>
          <w:iCs/>
          <w:i/>
        </w:rPr>
        <w:t xml:space="preserve"> </w:t>
      </w:r>
      <m:oMath>
        <m:r>
          <m:t>k</m:t>
        </m:r>
      </m:oMath>
      <w:r>
        <w:rPr>
          <w:iCs/>
          <w:i/>
        </w:rPr>
        <w:t xml:space="preserve">, the best</w:t>
      </w:r>
      <w:r>
        <w:rPr>
          <w:iCs/>
          <w:i/>
        </w:rPr>
        <w:t xml:space="preserve"> </w:t>
      </w:r>
      <m:oMath>
        <m:r>
          <m:t>α</m:t>
        </m:r>
      </m:oMath>
      <w:r>
        <w:rPr>
          <w:iCs/>
          <w:i/>
        </w:rPr>
        <w:t xml:space="preserve"> </w:t>
      </w:r>
      <w:r>
        <w:rPr>
          <w:iCs/>
          <w:i/>
        </w:rPr>
        <w:t xml:space="preserve">was selected by maximizing the mean CV C-index. Validation C-index is pooled across all external cohorts. (a) Results using</w:t>
      </w:r>
      <w:r>
        <w:rPr>
          <w:iCs/>
          <w:i/>
        </w:rPr>
        <w:t xml:space="preserve"> </w:t>
      </w:r>
      <m:oMath>
        <m:sSub>
          <m:e>
            <m:r>
              <m:t>n</m:t>
            </m:r>
          </m:e>
          <m:sub>
            <m:r>
              <m:rPr>
                <m:nor/>
                <m:sty m:val="p"/>
              </m:rPr>
              <m:t>top</m:t>
            </m:r>
          </m:sub>
        </m:sSub>
        <m:r>
          <m:rPr>
            <m:sty m:val="p"/>
          </m:rPr>
          <m:t>=</m:t>
        </m:r>
        <m:r>
          <m:t>270</m:t>
        </m:r>
      </m:oMath>
      <w:r>
        <w:rPr>
          <w:iCs/>
          <w:i/>
        </w:rPr>
        <w:t xml:space="preserve"> </w:t>
      </w:r>
      <w:r>
        <w:rPr>
          <w:iCs/>
          <w:i/>
        </w:rPr>
        <w:t xml:space="preserve">top genes per factor (</w:t>
      </w:r>
      <m:oMath>
        <m:r>
          <m:t>λ</m:t>
        </m:r>
        <m:r>
          <m:rPr>
            <m:sty m:val="p"/>
          </m:rPr>
          <m:t>=</m:t>
        </m:r>
        <m:r>
          <m:t>0.349</m:t>
        </m:r>
      </m:oMath>
      <w:r>
        <w:rPr>
          <w:iCs/>
          <w:i/>
        </w:rPr>
        <w:t xml:space="preserve">,</w:t>
      </w:r>
      <w:r>
        <w:rPr>
          <w:iCs/>
          <w:i/>
        </w:rPr>
        <w:t xml:space="preserve"> </w:t>
      </w:r>
      <m:oMath>
        <m:r>
          <m:t>ξ</m:t>
        </m:r>
        <m:r>
          <m:rPr>
            <m:sty m:val="p"/>
          </m:rPr>
          <m:t>=</m:t>
        </m:r>
        <m:r>
          <m:t>0.056</m:t>
        </m:r>
      </m:oMath>
      <w:r>
        <w:rPr>
          <w:iCs/>
          <w:i/>
        </w:rPr>
        <w:t xml:space="preserve">). (b) Results retaining all genes (</w:t>
      </w:r>
      <m:oMath>
        <m:sSub>
          <m:e>
            <m:r>
              <m:t>n</m:t>
            </m:r>
          </m:e>
          <m:sub>
            <m:r>
              <m:rPr>
                <m:nor/>
                <m:sty m:val="p"/>
              </m:rPr>
              <m:t>top</m:t>
            </m:r>
          </m:sub>
        </m:sSub>
        <m:r>
          <m:rPr>
            <m:sty m:val="p"/>
          </m:rPr>
          <m:t>=</m:t>
        </m:r>
        <m:r>
          <m:rPr>
            <m:nor/>
            <m:sty m:val="p"/>
          </m:rPr>
          <m:t>ALL</m:t>
        </m:r>
      </m:oMath>
      <w:r>
        <w:rPr>
          <w:iCs/>
          <w:i/>
        </w:rPr>
        <w:t xml:space="preserve">;</w:t>
      </w:r>
      <w:r>
        <w:rPr>
          <w:iCs/>
          <w:i/>
        </w:rPr>
        <w:t xml:space="preserve"> </w:t>
      </w:r>
      <m:oMath>
        <m:r>
          <m:t>λ</m:t>
        </m:r>
        <m:r>
          <m:rPr>
            <m:sty m:val="p"/>
          </m:rPr>
          <m:t>=</m:t>
        </m:r>
        <m:r>
          <m:t>0.349</m:t>
        </m:r>
      </m:oMath>
      <w:r>
        <w:rPr>
          <w:iCs/>
          <w:i/>
        </w:rPr>
        <w:t xml:space="preserve">,</w:t>
      </w:r>
      <w:r>
        <w:rPr>
          <w:iCs/>
          <w:i/>
        </w:rPr>
        <w:t xml:space="preserve"> </w:t>
      </w:r>
      <m:oMath>
        <m:r>
          <m:t>ξ</m:t>
        </m:r>
        <m:r>
          <m:rPr>
            <m:sty m:val="p"/>
          </m:rPr>
          <m:t>=</m:t>
        </m:r>
        <m:r>
          <m:t>0.056</m:t>
        </m:r>
      </m:oMath>
      <w:r>
        <w:rPr>
          <w:iCs/>
          <w:i/>
        </w:rPr>
        <w:t xml:space="preserve">).</w:t>
      </w:r>
    </w:p>
    <w:bookmarkEnd w:id="65"/>
    <w:bookmarkStart w:id="69" w:name="standard-nmf-rank-selection-heuristics"/>
    <w:p>
      <w:pPr>
        <w:pStyle w:val="Heading1"/>
      </w:pPr>
      <w:r>
        <w:t xml:space="preserve">Standard NMF rank selection heuristics</w:t>
      </w:r>
    </w:p>
    <w:p>
      <w:pPr>
        <w:pStyle w:val="FirstParagraph"/>
      </w:pPr>
      <w:r>
        <w:t xml:space="preserve">Standard unsupervised rank selection criteria (reconstruction residuals, cophenetic correlation coefficient, and mean silhouette width) yielded inconsistent guidance for selecting the factorization rank</w:t>
      </w:r>
      <w:r>
        <w:t xml:space="preserve"> </w:t>
      </w:r>
      <m:oMath>
        <m:r>
          <m:t>k</m:t>
        </m:r>
      </m:oMath>
      <w:r>
        <w:t xml:space="preserve"> </w:t>
      </w:r>
      <w:r>
        <w:t xml:space="preserve">in the PDAC training cohort (TCGA + CPTAC). Reconstruction residuals decreased smoothly without a visually distinct elbow (Fig. [fig:nmf-diagnostics]a); the Kneedle elbow rule (maximum deviation of the normalized curve from its chord) applied to this curve nonetheless returns</w:t>
      </w:r>
      <w:r>
        <w:t xml:space="preserve"> </w:t>
      </w:r>
      <m:oMath>
        <m:r>
          <m:t>k</m:t>
        </m:r>
        <m:r>
          <m:rPr>
            <m:sty m:val="p"/>
          </m:rPr>
          <m:t>=</m:t>
        </m:r>
        <m:r>
          <m:t>5</m:t>
        </m:r>
      </m:oMath>
      <w:r>
        <w:t xml:space="preserve">, which is the rank used for the elbow-selected standard NMF comparator in Table [tab:tab-cindex-comparison]. Cophenetic correlation fluctuated without a distinct transition point (Fig. [fig:nmf-diagnostics]b). Mean silhouette width favored very low ranks that conflicted with other criteria (Fig. [fig:nmf-diagnostics]c). These inconsistencies illustrate the ambiguity of rank selection under unsupervised criteria in this dataset; the main text selects rank on cross-validated prognostic performance.</w:t>
      </w:r>
    </w:p>
    <w:p>
      <w:pPr>
        <w:pStyle w:val="BodyText"/>
      </w:pPr>
      <w:r>
        <w:drawing>
          <wp:inline>
            <wp:extent cx="5334000" cy="2979786"/>
            <wp:effectExtent b="0" l="0" r="0" t="0"/>
            <wp:docPr descr="" title="" id="67" name="Picture"/>
            <a:graphic>
              <a:graphicData uri="http://schemas.openxmlformats.org/drawingml/2006/picture">
                <pic:pic>
                  <pic:nvPicPr>
                    <pic:cNvPr descr=".docx_media/figures_fig_nmf_diagnostics_1.png" id="68" name="Picture"/>
                    <pic:cNvPicPr>
                      <a:picLocks noChangeArrowheads="1" noChangeAspect="1"/>
                    </pic:cNvPicPr>
                  </pic:nvPicPr>
                  <pic:blipFill>
                    <a:blip r:embed="rId66"/>
                    <a:stretch>
                      <a:fillRect/>
                    </a:stretch>
                  </pic:blipFill>
                  <pic:spPr bwMode="auto">
                    <a:xfrm>
                      <a:off x="0" y="0"/>
                      <a:ext cx="5334000" cy="2979786"/>
                    </a:xfrm>
                    <a:prstGeom prst="rect">
                      <a:avLst/>
                    </a:prstGeom>
                    <a:noFill/>
                    <a:ln w="9525">
                      <a:noFill/>
                      <a:headEnd/>
                      <a:tailEnd/>
                    </a:ln>
                  </pic:spPr>
                </pic:pic>
              </a:graphicData>
            </a:graphic>
          </wp:inline>
        </w:drawing>
      </w:r>
    </w:p>
    <w:p>
      <w:pPr>
        <w:pStyle w:val="BodyText"/>
      </w:pPr>
      <w:r>
        <w:rPr>
          <w:iCs/>
          <w:i/>
        </w:rPr>
        <w:t xml:space="preserve">Standard unsupervised NMF rank selection heuristics for the PDAC training cohort (TCGA + CPTAC). (a) Reconstruction residuals as a function of factorization rank</w:t>
      </w:r>
      <w:r>
        <w:rPr>
          <w:iCs/>
          <w:i/>
        </w:rPr>
        <w:t xml:space="preserve"> </w:t>
      </w:r>
      <m:oMath>
        <m:r>
          <m:t>k</m:t>
        </m:r>
      </m:oMath>
      <w:r>
        <w:rPr>
          <w:iCs/>
          <w:i/>
        </w:rPr>
        <w:t xml:space="preserve">. (b) Cophenetic correlation coefficient as a function of</w:t>
      </w:r>
      <w:r>
        <w:rPr>
          <w:iCs/>
          <w:i/>
        </w:rPr>
        <w:t xml:space="preserve"> </w:t>
      </w:r>
      <m:oMath>
        <m:r>
          <m:t>k</m:t>
        </m:r>
      </m:oMath>
      <w:r>
        <w:rPr>
          <w:iCs/>
          <w:i/>
        </w:rPr>
        <w:t xml:space="preserve">. (c) Mean silhouette width of the basis, coefficient and consensus matrices as a function of</w:t>
      </w:r>
      <w:r>
        <w:rPr>
          <w:iCs/>
          <w:i/>
        </w:rPr>
        <w:t xml:space="preserve"> </w:t>
      </w:r>
      <m:oMath>
        <m:r>
          <m:t>k</m:t>
        </m:r>
      </m:oMath>
      <w:r>
        <w:rPr>
          <w:iCs/>
          <w:i/>
        </w:rPr>
        <w:t xml:space="preserve">. These criteria yield inconsistent guidance, illustrating the ambiguity of rank selection under unsupervised criteria; the main text selects rank on cross-validated prognostic performance.</w:t>
      </w:r>
    </w:p>
    <w:bookmarkEnd w:id="69"/>
    <w:bookmarkStart w:id="79" w:name="X4dda6bee917749c7c18e0c1a7409d8a52d8a569"/>
    <w:p>
      <w:pPr>
        <w:pStyle w:val="Heading1"/>
      </w:pPr>
      <w:r>
        <w:t xml:space="preserve">Factor structure of the rank-optimized unsupervised control (</w:t>
      </w:r>
      <m:oMath>
        <m:r>
          <m:t>k</m:t>
        </m:r>
        <m:r>
          <m:rPr>
            <m:sty m:val="p"/>
          </m:rPr>
          <m:t>=</m:t>
        </m:r>
        <m:r>
          <m:t>7</m:t>
        </m:r>
      </m:oMath>
      <w:r>
        <w:t xml:space="preserve">)</w:t>
      </w:r>
    </w:p>
    <w:p>
      <w:pPr>
        <w:pStyle w:val="FirstParagraph"/>
      </w:pPr>
      <w:r>
        <w:t xml:space="preserve">Throughout the main text, both DeSurv and standard NMF were fit at the same rank (</w:t>
      </w:r>
      <m:oMath>
        <m:r>
          <m:t>k</m:t>
        </m:r>
        <m:r>
          <m:rPr>
            <m:sty m:val="p"/>
          </m:rPr>
          <m:t>=</m:t>
        </m:r>
        <m:r>
          <m:t>3</m:t>
        </m:r>
      </m:oMath>
      <w:r>
        <w:t xml:space="preserve">), enabling a controlled comparison of the effect of survival supervision on factor structure. When the unsupervised limit of the same pipeline selects its own rank, the one-standard-error rule applied to the</w:t>
      </w:r>
      <w:r>
        <w:t xml:space="preserve"> </w:t>
      </w:r>
      <m:oMath>
        <m:r>
          <m:t>α</m:t>
        </m:r>
        <m:r>
          <m:rPr>
            <m:sty m:val="p"/>
          </m:rPr>
          <m:t>=</m:t>
        </m:r>
        <m:r>
          <m:t>0</m:t>
        </m:r>
      </m:oMath>
      <w:r>
        <w:t xml:space="preserve"> </w:t>
      </w:r>
      <w:r>
        <w:t xml:space="preserve">Bayesian-optimization results selects</w:t>
      </w:r>
      <w:r>
        <w:t xml:space="preserve"> </w:t>
      </w:r>
      <m:oMath>
        <m:r>
          <m:t>k</m:t>
        </m:r>
        <m:r>
          <m:rPr>
            <m:sty m:val="p"/>
          </m:rPr>
          <m:t>=</m:t>
        </m:r>
        <m:r>
          <m:t>7</m:t>
        </m:r>
      </m:oMath>
      <w:r>
        <w:t xml:space="preserve"> </w:t>
      </w:r>
      <w:r>
        <w:t xml:space="preserve">(the rank-optimized unsupervised control), whereas the same rule applied to the supervised DeSurv results selects</w:t>
      </w:r>
      <w:r>
        <w:t xml:space="preserve"> </w:t>
      </w:r>
      <m:oMath>
        <m:r>
          <m:t>k</m:t>
        </m:r>
        <m:r>
          <m:rPr>
            <m:sty m:val="p"/>
          </m:rPr>
          <m:t>=</m:t>
        </m:r>
        <m:r>
          <m:t>3</m:t>
        </m:r>
      </m:oMath>
      <w:r>
        <w:t xml:space="preserve">. We therefore examine the factor structure of this independently selected</w:t>
      </w:r>
      <w:r>
        <w:t xml:space="preserve"> </w:t>
      </w:r>
      <m:oMath>
        <m:r>
          <m:t>k</m:t>
        </m:r>
        <m:r>
          <m:rPr>
            <m:sty m:val="p"/>
          </m:rPr>
          <m:t>=</m:t>
        </m:r>
        <m:r>
          <m:t>7</m:t>
        </m:r>
      </m:oMath>
      <w:r>
        <w:t xml:space="preserve"> </w:t>
      </w:r>
      <w:r>
        <w:t xml:space="preserve">solution to characterize how the additional factors relate to established programs when supervision is absent (Fig. [fig:fig-nmf-k7-heatmap]).</w:t>
      </w:r>
    </w:p>
    <w:p>
      <w:pPr>
        <w:pStyle w:val="BodyText"/>
      </w:pPr>
      <w:r>
        <w:t xml:space="preserve">At BO-selected</w:t>
      </w:r>
      <w:r>
        <w:t xml:space="preserve"> </w:t>
      </w:r>
      <m:oMath>
        <m:r>
          <m:t>k</m:t>
        </m:r>
        <m:r>
          <m:rPr>
            <m:sty m:val="p"/>
          </m:rPr>
          <m:t>=</m:t>
        </m:r>
        <m:r>
          <m:t>7</m:t>
        </m:r>
      </m:oMath>
      <w:r>
        <w:t xml:space="preserve"> </w:t>
      </w:r>
      <w:r>
        <w:t xml:space="preserve">under</w:t>
      </w:r>
      <w:r>
        <w:t xml:space="preserve"> </w:t>
      </w:r>
      <m:oMath>
        <m:r>
          <m:t>α</m:t>
        </m:r>
        <m:r>
          <m:rPr>
            <m:sty m:val="p"/>
          </m:rPr>
          <m:t>=</m:t>
        </m:r>
        <m:r>
          <m:t>0</m:t>
        </m:r>
      </m:oMath>
      <w:r>
        <w:t xml:space="preserve"> </w:t>
      </w:r>
      <w:r>
        <w:t xml:space="preserve">(Fig. [fig:fig-nmf-k7-heatmap]), the rank-optimized unsupervised control corresponds to a broader set of PDAC gene signatures than the matched-rank</w:t>
      </w:r>
      <w:r>
        <w:t xml:space="preserve"> </w:t>
      </w:r>
      <m:oMath>
        <m:r>
          <m:t>k</m:t>
        </m:r>
        <m:r>
          <m:rPr>
            <m:sty m:val="p"/>
          </m:rPr>
          <m:t>=</m:t>
        </m:r>
        <m:r>
          <m:t>3</m:t>
        </m:r>
      </m:oMath>
      <w:r>
        <w:t xml:space="preserve"> </w:t>
      </w:r>
      <w:r>
        <w:t xml:space="preserve">solution, with some programs represented by more than one factor; Supplementary Fig. [fig:fig-rpm] quantifies the accompanying changes in coverage and multiplicity.</w:t>
      </w:r>
    </w:p>
    <w:p>
      <w:pPr>
        <w:pStyle w:val="CaptionedFigure"/>
      </w:pPr>
      <w:r>
        <w:drawing>
          <wp:inline>
            <wp:extent cx="5070485" cy="4214191"/>
            <wp:effectExtent b="0" l="0" r="0" t="0"/>
            <wp:docPr descr="Gene-program correspondence for the rank-optimized unsupervised control (k = 7, BO-selected rank at \alpha = 0), computed with the same Spearman-correlation analysis and reference programs as main-text Fig. 2a,b (top 50 genes per factor; reference programs with $ ho &gt; 0.2$ for at least one factor are shown). Compared with the matched-rank k = 3 solution, the k = 7 solution shows broader correspondence to established PDAC programs, with some programs represented by more than one factor. Supplementary Fig. [fig:fig-rpm] quantifies the accompanying changes in coverage and multiplicity." title="" id="71" name="Picture"/>
            <a:graphic>
              <a:graphicData uri="http://schemas.openxmlformats.org/drawingml/2006/picture">
                <pic:pic>
                  <pic:nvPicPr>
                    <pic:cNvPr descr="figures/fig-nmf-k7-heatmap-1.png" id="72" name="Picture"/>
                    <pic:cNvPicPr>
                      <a:picLocks noChangeArrowheads="1" noChangeAspect="1"/>
                    </pic:cNvPicPr>
                  </pic:nvPicPr>
                  <pic:blipFill>
                    <a:blip r:embed="rId70"/>
                    <a:stretch>
                      <a:fillRect/>
                    </a:stretch>
                  </pic:blipFill>
                  <pic:spPr bwMode="auto">
                    <a:xfrm>
                      <a:off x="0" y="0"/>
                      <a:ext cx="5070485" cy="4214191"/>
                    </a:xfrm>
                    <a:prstGeom prst="rect">
                      <a:avLst/>
                    </a:prstGeom>
                    <a:noFill/>
                    <a:ln w="9525">
                      <a:noFill/>
                      <a:headEnd/>
                      <a:tailEnd/>
                    </a:ln>
                  </pic:spPr>
                </pic:pic>
              </a:graphicData>
            </a:graphic>
          </wp:inline>
        </w:drawing>
      </w:r>
    </w:p>
    <w:p>
      <w:pPr>
        <w:pStyle w:val="ImageCaption"/>
      </w:pPr>
      <w:r>
        <w:t xml:space="preserve">Gene-program correspondence for the rank-optimized unsupervised control (</w:t>
      </w:r>
      <m:oMath>
        <m:r>
          <m:t>k</m:t>
        </m:r>
        <m:r>
          <m:rPr>
            <m:sty m:val="p"/>
          </m:rPr>
          <m:t>=</m:t>
        </m:r>
        <m:r>
          <m:t>7</m:t>
        </m:r>
      </m:oMath>
      <w:r>
        <w:t xml:space="preserve">, BO-selected rank at</w:t>
      </w:r>
      <w:r>
        <w:t xml:space="preserve"> </w:t>
      </w:r>
      <m:oMath>
        <m:r>
          <m:t>α</m:t>
        </m:r>
        <m:r>
          <m:rPr>
            <m:sty m:val="p"/>
          </m:rPr>
          <m:t>=</m:t>
        </m:r>
        <m:r>
          <m:t>0</m:t>
        </m:r>
      </m:oMath>
      <w:r>
        <w:t xml:space="preserve">), computed with the same Spearman-correlation analysis and reference programs as main-text Fig. 2a,b (top 50 genes per factor; reference programs with $</w:t>
      </w:r>
      <w:r>
        <w:t xml:space="preserve"> </w:t>
      </w:r>
      <w:r>
        <w:t xml:space="preserve">ho &gt; 0.2$ for at least one factor are shown). Compared with the matched-rank</w:t>
      </w:r>
      <w:r>
        <w:t xml:space="preserve"> </w:t>
      </w:r>
      <m:oMath>
        <m:r>
          <m:t>k</m:t>
        </m:r>
        <m:r>
          <m:rPr>
            <m:sty m:val="p"/>
          </m:rPr>
          <m:t>=</m:t>
        </m:r>
        <m:r>
          <m:t>3</m:t>
        </m:r>
      </m:oMath>
      <w:r>
        <w:t xml:space="preserve"> </w:t>
      </w:r>
      <w:r>
        <w:t xml:space="preserve">solution, the</w:t>
      </w:r>
      <w:r>
        <w:t xml:space="preserve"> </w:t>
      </w:r>
      <m:oMath>
        <m:r>
          <m:t>k</m:t>
        </m:r>
        <m:r>
          <m:rPr>
            <m:sty m:val="p"/>
          </m:rPr>
          <m:t>=</m:t>
        </m:r>
        <m:r>
          <m:t>7</m:t>
        </m:r>
      </m:oMath>
      <w:r>
        <w:t xml:space="preserve"> </w:t>
      </w:r>
      <w:r>
        <w:t xml:space="preserve">solution shows broader correspondence to established PDAC programs, with some programs represented by more than one factor. Supplementary Fig. [fig:fig-rpm] quantifies the accompanying changes in coverage and multiplicity.</w:t>
      </w:r>
    </w:p>
    <w:bookmarkStart w:id="76" w:name="X8d63477c1765a3ab1bb7b6ce3d8970cbbc5fb88"/>
    <w:p>
      <w:pPr>
        <w:pStyle w:val="Heading2"/>
      </w:pPr>
      <w:r>
        <w:t xml:space="preserve">Reference-program coverage, edges and multiplicity</w:t>
      </w:r>
    </w:p>
    <w:p>
      <w:pPr>
        <w:pStyle w:val="FirstParagraph"/>
      </w:pPr>
      <w:r>
        <w:t xml:space="preserve">Fig. [fig:fig-nmf-k7-heatmap] (and main-text Fig. 2a,b) display factor-to-reference-program correspondence as a heatmap. We additionally summarize this same correspondence across factorization rank</w:t>
      </w:r>
      <w:r>
        <w:t xml:space="preserve"> </w:t>
      </w:r>
      <m:oMath>
        <m:r>
          <m:t>k</m:t>
        </m:r>
      </m:oMath>
      <w:r>
        <w:t xml:space="preserve"> </w:t>
      </w:r>
      <w:r>
        <w:t xml:space="preserve">using three quantities computed from the same correlation matrix (top 50 genes per factor by factor-specificity score, Spearman correlation of factor loadings against binary reference-program membership,</w:t>
      </w:r>
      <w:r>
        <w:t xml:space="preserve"> </w:t>
      </w:r>
      <m:oMath>
        <m:r>
          <m:t>ρ</m:t>
        </m:r>
        <m:r>
          <m:rPr>
            <m:sty m:val="p"/>
          </m:rPr>
          <m:t>&gt;</m:t>
        </m:r>
        <m:r>
          <m:t>0.2</m:t>
        </m:r>
      </m:oMath>
      <w:r>
        <w:t xml:space="preserve"> </w:t>
      </w:r>
      <w:r>
        <w:t xml:space="preserve">representation threshold; Supplementary Information, Section [sec:gene-program-correlation]), over the fixed 45-program reference universe. Coverage is the number of reference programs with at least one factor at</w:t>
      </w:r>
      <w:r>
        <w:t xml:space="preserve"> </w:t>
      </w:r>
      <m:oMath>
        <m:r>
          <m:t>ρ</m:t>
        </m:r>
        <m:r>
          <m:rPr>
            <m:sty m:val="p"/>
          </m:rPr>
          <m:t>&gt;</m:t>
        </m:r>
        <m:r>
          <m:t>0.2</m:t>
        </m:r>
      </m:oMath>
      <w:r>
        <w:t xml:space="preserve">. Edges is the total number of (factor, reference-program) pairs at</w:t>
      </w:r>
      <w:r>
        <w:t xml:space="preserve"> </w:t>
      </w:r>
      <m:oMath>
        <m:r>
          <m:t>ρ</m:t>
        </m:r>
        <m:r>
          <m:rPr>
            <m:sty m:val="p"/>
          </m:rPr>
          <m:t>&gt;</m:t>
        </m:r>
        <m:r>
          <m:t>0.2</m:t>
        </m:r>
      </m:oMath>
      <w:r>
        <w:t xml:space="preserve">. Reference-program multiplicity is edges divided by coverage, defined only when coverage</w:t>
      </w:r>
      <w:r>
        <w:t xml:space="preserve"> </w:t>
      </w:r>
      <m:oMath>
        <m:r>
          <m:rPr>
            <m:sty m:val="p"/>
          </m:rPr>
          <m:t>&gt;</m:t>
        </m:r>
        <m:r>
          <m:t>0</m:t>
        </m:r>
      </m:oMath>
      <w:r>
        <w:t xml:space="preserve">, and reports edges per represented program. A low multiplicity is not by itself evidence that fewer programs are represented, so multiplicity is always reported alongside coverage rather than in place of it.</w:t>
      </w:r>
    </w:p>
    <w:p>
      <w:pPr>
        <w:pStyle w:val="BodyText"/>
      </w:pPr>
      <w:r>
        <w:t xml:space="preserve">At each rank</w:t>
      </w:r>
      <w:r>
        <w:t xml:space="preserve"> </w:t>
      </w:r>
      <m:oMath>
        <m:r>
          <m:t>k</m:t>
        </m:r>
        <m:r>
          <m:rPr>
            <m:sty m:val="p"/>
          </m:rPr>
          <m:t>=</m:t>
        </m:r>
        <m:r>
          <m:t>2</m:t>
        </m:r>
        <m:r>
          <m:rPr>
            <m:sty m:val="p"/>
          </m:rPr>
          <m:t>,</m:t>
        </m:r>
        <m:r>
          <m:rPr>
            <m:sty m:val="p"/>
          </m:rPr>
          <m:t>…</m:t>
        </m:r>
        <m:r>
          <m:rPr>
            <m:sty m:val="p"/>
          </m:rPr>
          <m:t>,</m:t>
        </m:r>
        <m:r>
          <m:t>12</m:t>
        </m:r>
      </m:oMath>
      <w:r>
        <w:t xml:space="preserve">, these quantities are computed for two single fits at fixed</w:t>
      </w:r>
      <w:r>
        <w:t xml:space="preserve"> </w:t>
      </w:r>
      <m:oMath>
        <m:r>
          <m:t>λ</m:t>
        </m:r>
      </m:oMath>
      <w:r>
        <w:t xml:space="preserve">,</w:t>
      </w:r>
      <w:r>
        <w:t xml:space="preserve"> </w:t>
      </w:r>
      <m:oMath>
        <m:r>
          <m:t>ξ</m:t>
        </m:r>
      </m:oMath>
      <w:r>
        <w:t xml:space="preserve"> </w:t>
      </w:r>
      <w:r>
        <w:t xml:space="preserve">and</w:t>
      </w:r>
      <w:r>
        <w:t xml:space="preserve"> </w:t>
      </w:r>
      <m:oMath>
        <m:sSub>
          <m:e>
            <m:r>
              <m:t>n</m:t>
            </m:r>
          </m:e>
          <m:sub>
            <m:r>
              <m:rPr>
                <m:nor/>
                <m:sty m:val="p"/>
              </m:rPr>
              <m:t>top</m:t>
            </m:r>
          </m:sub>
        </m:sSub>
        <m:r>
          <m:rPr>
            <m:sty m:val="p"/>
          </m:rPr>
          <m:t>=</m:t>
        </m:r>
        <m:r>
          <m:t>270</m:t>
        </m:r>
      </m:oMath>
      <w:r>
        <w:t xml:space="preserve"> </w:t>
      </w:r>
      <w:r>
        <w:t xml:space="preserve">from the</w:t>
      </w:r>
      <w:r>
        <w:t xml:space="preserve"> </w:t>
      </w:r>
      <m:oMath>
        <m:r>
          <m:t>k</m:t>
        </m:r>
        <m:r>
          <m:rPr>
            <m:sty m:val="p"/>
          </m:rPr>
          <m:t>×</m:t>
        </m:r>
        <m:r>
          <m:t>α</m:t>
        </m:r>
      </m:oMath>
      <w:r>
        <w:t xml:space="preserve"> </w:t>
      </w:r>
      <w:r>
        <w:t xml:space="preserve">cross-validation grid: the unsupervised fit (</w:t>
      </w:r>
      <m:oMath>
        <m:r>
          <m:t>α</m:t>
        </m:r>
        <m:r>
          <m:rPr>
            <m:sty m:val="p"/>
          </m:rPr>
          <m:t>=</m:t>
        </m:r>
        <m:r>
          <m:t>0</m:t>
        </m:r>
      </m:oMath>
      <w:r>
        <w:t xml:space="preserve">) and the fit at the</w:t>
      </w:r>
      <w:r>
        <w:t xml:space="preserve"> </w:t>
      </w:r>
      <m:oMath>
        <m:r>
          <m:t>α</m:t>
        </m:r>
      </m:oMath>
      <w:r>
        <w:t xml:space="preserve"> </w:t>
      </w:r>
      <w:r>
        <w:t xml:space="preserve">maximizing mean cross-validated C-index, the same</w:t>
      </w:r>
      <w:r>
        <w:t xml:space="preserve"> </w:t>
      </w:r>
      <m:oMath>
        <m:r>
          <m:t>α</m:t>
        </m:r>
      </m:oMath>
      <w:r>
        <w:t xml:space="preserve">-selection convention used for Supplementary Fig. [fig:fig-cindex-by-k]. These rank-wise points are single fits at fixed hyperparameters, not the 100-restart consensus fits used elsewhere in the manuscript. Three final-model anchors are overlaid: the consensus fits for DeSurv (</w:t>
      </w:r>
      <m:oMath>
        <m:r>
          <m:t>k</m:t>
        </m:r>
        <m:r>
          <m:rPr>
            <m:sty m:val="p"/>
          </m:rPr>
          <m:t>=</m:t>
        </m:r>
        <m:r>
          <m:t>3</m:t>
        </m:r>
      </m:oMath>
      <w:r>
        <w:t xml:space="preserve">) and the rank-optimized unsupervised control (</w:t>
      </w:r>
      <m:oMath>
        <m:r>
          <m:t>k</m:t>
        </m:r>
        <m:r>
          <m:rPr>
            <m:sty m:val="p"/>
          </m:rPr>
          <m:t>=</m:t>
        </m:r>
        <m:r>
          <m:t>7</m:t>
        </m:r>
      </m:oMath>
      <w:r>
        <w:t xml:space="preserve">,</w:t>
      </w:r>
      <w:r>
        <w:t xml:space="preserve"> </w:t>
      </w:r>
      <m:oMath>
        <m:r>
          <m:t>α</m:t>
        </m:r>
        <m:r>
          <m:rPr>
            <m:sty m:val="p"/>
          </m:rPr>
          <m:t>=</m:t>
        </m:r>
        <m:r>
          <m:t>0</m:t>
        </m:r>
      </m:oMath>
      <w:r>
        <w:t xml:space="preserve">), and the best-of-30-run</w:t>
      </w:r>
      <w:r>
        <w:t xml:space="preserve"> </w:t>
      </w:r>
      <w:r>
        <w:rPr>
          <w:rStyle w:val="VerbatimChar"/>
        </w:rPr>
        <w:t xml:space="preserve">NMF::nmf</w:t>
      </w:r>
      <w:r>
        <w:t xml:space="preserve"> </w:t>
      </w:r>
      <w:r>
        <w:t xml:space="preserve">fit at matched rank (</w:t>
      </w:r>
      <m:oMath>
        <m:r>
          <m:t>k</m:t>
        </m:r>
        <m:r>
          <m:rPr>
            <m:sty m:val="p"/>
          </m:rPr>
          <m:t>=</m:t>
        </m:r>
        <m:r>
          <m:t>3</m:t>
        </m:r>
      </m:oMath>
      <w:r>
        <w:t xml:space="preserve">).</w:t>
      </w:r>
    </w:p>
    <w:p>
      <w:pPr>
        <w:pStyle w:val="BodyText"/>
      </w:pPr>
      <w:r>
        <w:t xml:space="preserve">At these anchors, DeSurv reaches coverage 16, edges 16, multiplicity 1.00; matched-rank standard NMF reaches coverage 15, edges 15, multiplicity 1.00; and the rank-optimized unsupervised control at</w:t>
      </w:r>
      <w:r>
        <w:t xml:space="preserve"> </w:t>
      </w:r>
      <m:oMath>
        <m:r>
          <m:t>k</m:t>
        </m:r>
        <m:r>
          <m:rPr>
            <m:sty m:val="p"/>
          </m:rPr>
          <m:t>=</m:t>
        </m:r>
        <m:r>
          <m:t>7</m:t>
        </m:r>
      </m:oMath>
      <w:r>
        <w:t xml:space="preserve"> </w:t>
      </w:r>
      <w:r>
        <w:t xml:space="preserve">reaches coverage 32, edges 36, multiplicity 1.125.</w:t>
      </w:r>
    </w:p>
    <w:p>
      <w:pPr>
        <w:pStyle w:val="BodyText"/>
      </w:pPr>
      <w:r>
        <w:t xml:space="preserve">The supervised curve collapses at two ranks: at</w:t>
      </w:r>
      <w:r>
        <w:t xml:space="preserve"> </w:t>
      </w:r>
      <m:oMath>
        <m:r>
          <m:t>k</m:t>
        </m:r>
        <m:r>
          <m:rPr>
            <m:sty m:val="p"/>
          </m:rPr>
          <m:t>=</m:t>
        </m:r>
        <m:r>
          <m:t>6</m:t>
        </m:r>
      </m:oMath>
      <w:r>
        <w:t xml:space="preserve"> </w:t>
      </w:r>
      <w:r>
        <w:t xml:space="preserve">(</w:t>
      </w:r>
      <m:oMath>
        <m:r>
          <m:t>α</m:t>
        </m:r>
        <m:r>
          <m:rPr>
            <m:sty m:val="p"/>
          </m:rPr>
          <m:t>=</m:t>
        </m:r>
        <m:r>
          <m:t>0.1</m:t>
        </m:r>
      </m:oMath>
      <w:r>
        <w:t xml:space="preserve">) and</w:t>
      </w:r>
      <w:r>
        <w:t xml:space="preserve"> </w:t>
      </w:r>
      <m:oMath>
        <m:r>
          <m:t>k</m:t>
        </m:r>
        <m:r>
          <m:rPr>
            <m:sty m:val="p"/>
          </m:rPr>
          <m:t>=</m:t>
        </m:r>
        <m:r>
          <m:t>8</m:t>
        </m:r>
      </m:oMath>
      <w:r>
        <w:t xml:space="preserve"> </w:t>
      </w:r>
      <w:r>
        <w:t xml:space="preserve">(</w:t>
      </w:r>
      <m:oMath>
        <m:r>
          <m:t>α</m:t>
        </m:r>
        <m:r>
          <m:rPr>
            <m:sty m:val="p"/>
          </m:rPr>
          <m:t>=</m:t>
        </m:r>
        <m:r>
          <m:t>0.2</m:t>
        </m:r>
      </m:oMath>
      <w:r>
        <w:t xml:space="preserve">) the single grid fit reaches coverage 2 and 2 (edges 2 and 3), because the largest correlation between any of its factors and any reference program is only</w:t>
      </w:r>
      <w:r>
        <w:t xml:space="preserve"> </w:t>
      </w:r>
      <m:oMath>
        <m:r>
          <m:t>0.21</m:t>
        </m:r>
      </m:oMath>
      <w:r>
        <w:t xml:space="preserve"> </w:t>
      </w:r>
      <w:r>
        <w:t xml:space="preserve">and</w:t>
      </w:r>
      <w:r>
        <w:t xml:space="preserve"> </w:t>
      </w:r>
      <m:oMath>
        <m:r>
          <m:t>0.29</m:t>
        </m:r>
      </m:oMath>
      <w:r>
        <w:t xml:space="preserve">, barely above the</w:t>
      </w:r>
      <w:r>
        <w:t xml:space="preserve"> </w:t>
      </w:r>
      <m:oMath>
        <m:r>
          <m:t>0.2</m:t>
        </m:r>
      </m:oMath>
      <w:r>
        <w:t xml:space="preserve"> </w:t>
      </w:r>
      <w:r>
        <w:t xml:space="preserve">representation threshold, whereas the unsupervised fits at the same ranks and the supervised fits at the neighboring ranks</w:t>
      </w:r>
      <w:r>
        <w:t xml:space="preserve"> </w:t>
      </w:r>
      <m:oMath>
        <m:r>
          <m:t>k</m:t>
        </m:r>
        <m:r>
          <m:rPr>
            <m:sty m:val="p"/>
          </m:rPr>
          <m:t>=</m:t>
        </m:r>
        <m:r>
          <m:t>5</m:t>
        </m:r>
        <m:r>
          <m:rPr>
            <m:sty m:val="p"/>
          </m:rPr>
          <m:t>,</m:t>
        </m:r>
        <m:r>
          <m:t>7</m:t>
        </m:r>
        <m:r>
          <m:rPr>
            <m:sty m:val="p"/>
          </m:rPr>
          <m:t>,</m:t>
        </m:r>
        <m:r>
          <m:t>9</m:t>
        </m:r>
      </m:oMath>
      <w:r>
        <w:t xml:space="preserve"> </w:t>
      </w:r>
      <w:r>
        <w:t xml:space="preserve">all reach at least</w:t>
      </w:r>
      <w:r>
        <w:t xml:space="preserve"> </w:t>
      </w:r>
      <m:oMath>
        <m:r>
          <m:t>0.57</m:t>
        </m:r>
      </m:oMath>
      <w:r>
        <w:t xml:space="preserve">. These are single fits from one random start at fixed hyperparameters, and the</w:t>
      </w:r>
      <w:r>
        <w:t xml:space="preserve"> </w:t>
      </w:r>
      <m:oMath>
        <m:r>
          <m:t>k</m:t>
        </m:r>
        <m:r>
          <m:rPr>
            <m:sty m:val="p"/>
          </m:rPr>
          <m:t>=</m:t>
        </m:r>
        <m:r>
          <m:t>6</m:t>
        </m:r>
      </m:oMath>
      <w:r>
        <w:t xml:space="preserve"> </w:t>
      </w:r>
      <w:r>
        <w:t xml:space="preserve">fit is also the one whose external concordance dips in Supplementary Fig. [fig:fig-cindex-by-k]; these low-coverage endpoints are consistent with the single-start variability documented in Stability of the recovered gene programs; consensus fits at these ranks were not evaluated by this curve. Across the remaining ranks, coverage increases with rank considerably more than multiplicity does, indicating that the additional factors at higher rank extend correspondence to more reference programs rather than densely duplicating correspondence to the same ones. Through</w:t>
      </w:r>
      <w:r>
        <w:t xml:space="preserve"> </w:t>
      </w:r>
      <m:oMath>
        <m:r>
          <m:t>k</m:t>
        </m:r>
        <m:r>
          <m:rPr>
            <m:sty m:val="p"/>
          </m:rPr>
          <m:t>=</m:t>
        </m:r>
        <m:r>
          <m:t>7</m:t>
        </m:r>
      </m:oMath>
      <w:r>
        <w:t xml:space="preserve"> </w:t>
      </w:r>
      <w:r>
        <w:t xml:space="preserve">the dominant change is increased coverage with modest repeated representation. This is not a claim about predictive performance, which is addressed separately (Table [tab:hr-adjusted]; Supplementary Table [tab:tab-cindex-comparison]).</w:t>
      </w:r>
    </w:p>
    <w:p>
      <w:pPr>
        <w:pStyle w:val="BodyText"/>
      </w:pPr>
      <w:r>
        <w:drawing>
          <wp:inline>
            <wp:extent cx="5334000" cy="7111999"/>
            <wp:effectExtent b="0" l="0" r="0" t="0"/>
            <wp:docPr descr="" title="" id="74" name="Picture"/>
            <a:graphic>
              <a:graphicData uri="http://schemas.openxmlformats.org/drawingml/2006/picture">
                <pic:pic>
                  <pic:nvPicPr>
                    <pic:cNvPr descr=".docx_media/figures_fig_reference_program_multiplicity.png" id="75" name="Picture"/>
                    <pic:cNvPicPr>
                      <a:picLocks noChangeArrowheads="1" noChangeAspect="1"/>
                    </pic:cNvPicPr>
                  </pic:nvPicPr>
                  <pic:blipFill>
                    <a:blip r:embed="rId73"/>
                    <a:stretch>
                      <a:fillRect/>
                    </a:stretch>
                  </pic:blipFill>
                  <pic:spPr bwMode="auto">
                    <a:xfrm>
                      <a:off x="0" y="0"/>
                      <a:ext cx="5334000" cy="7111999"/>
                    </a:xfrm>
                    <a:prstGeom prst="rect">
                      <a:avLst/>
                    </a:prstGeom>
                    <a:noFill/>
                    <a:ln w="9525">
                      <a:noFill/>
                      <a:headEnd/>
                      <a:tailEnd/>
                    </a:ln>
                  </pic:spPr>
                </pic:pic>
              </a:graphicData>
            </a:graphic>
          </wp:inline>
        </w:drawing>
      </w:r>
    </w:p>
    <w:p>
      <w:pPr>
        <w:pStyle w:val="BodyText"/>
      </w:pPr>
      <w:r>
        <w:rPr>
          <w:iCs/>
          <w:i/>
        </w:rPr>
        <w:t xml:space="preserve">Reference-program coverage, edges and multiplicity by factorization rank</w:t>
      </w:r>
      <w:r>
        <w:rPr>
          <w:iCs/>
          <w:i/>
        </w:rPr>
        <w:t xml:space="preserve"> </w:t>
      </w:r>
      <m:oMath>
        <m:r>
          <m:t>k</m:t>
        </m:r>
      </m:oMath>
      <w:r>
        <w:rPr>
          <w:iCs/>
          <w:i/>
        </w:rPr>
        <w:t xml:space="preserve">, for the unsupervised (</w:t>
      </w:r>
      <m:oMath>
        <m:r>
          <m:t>α</m:t>
        </m:r>
        <m:r>
          <m:rPr>
            <m:sty m:val="p"/>
          </m:rPr>
          <m:t>=</m:t>
        </m:r>
        <m:r>
          <m:t>0</m:t>
        </m:r>
      </m:oMath>
      <w:r>
        <w:rPr>
          <w:iCs/>
          <w:i/>
        </w:rPr>
        <w:t xml:space="preserve">) and supervised (best</w:t>
      </w:r>
      <w:r>
        <w:rPr>
          <w:iCs/>
          <w:i/>
        </w:rPr>
        <w:t xml:space="preserve"> </w:t>
      </w:r>
      <m:oMath>
        <m:r>
          <m:t>α</m:t>
        </m:r>
      </m:oMath>
      <w:r>
        <w:rPr>
          <w:iCs/>
          <w:i/>
        </w:rPr>
        <w:t xml:space="preserve"> </w:t>
      </w:r>
      <w:r>
        <w:rPr>
          <w:iCs/>
          <w:i/>
        </w:rPr>
        <w:t xml:space="preserve">by cross-validated C-index) curves, computed from the same factor-to-reference-program correspondence analysis as Fig. [fig:fig-nmf-k7-heatmap] and main-text Fig. 2a,b (top 50 genes per factor, $</w:t>
      </w:r>
      <w:r>
        <w:rPr>
          <w:iCs/>
          <w:i/>
        </w:rPr>
        <w:t xml:space="preserve"> </w:t>
      </w:r>
      <w:r>
        <w:rPr>
          <w:iCs/>
          <w:i/>
        </w:rPr>
        <w:t xml:space="preserve">ho &gt; 0.2$ threshold, same reference-program universe). Rank-wise points are single fits at fixed</w:t>
      </w:r>
      <w:r>
        <w:rPr>
          <w:iCs/>
          <w:i/>
        </w:rPr>
        <w:t xml:space="preserve"> </w:t>
      </w:r>
      <m:oMath>
        <m:r>
          <m:t>λ</m:t>
        </m:r>
      </m:oMath>
      <w:r>
        <w:rPr>
          <w:iCs/>
          <w:i/>
        </w:rPr>
        <w:t xml:space="preserve">,</w:t>
      </w:r>
      <w:r>
        <w:rPr>
          <w:iCs/>
          <w:i/>
        </w:rPr>
        <w:t xml:space="preserve"> </w:t>
      </w:r>
      <m:oMath>
        <m:r>
          <m:t>ξ</m:t>
        </m:r>
      </m:oMath>
      <w:r>
        <w:rPr>
          <w:iCs/>
          <w:i/>
        </w:rPr>
        <w:t xml:space="preserve"> </w:t>
      </w:r>
      <w:r>
        <w:rPr>
          <w:iCs/>
          <w:i/>
        </w:rPr>
        <w:t xml:space="preserve">and</w:t>
      </w:r>
      <w:r>
        <w:rPr>
          <w:iCs/>
          <w:i/>
        </w:rPr>
        <w:t xml:space="preserve"> </w:t>
      </w:r>
      <m:oMath>
        <m:sSub>
          <m:e>
            <m:r>
              <m:t>n</m:t>
            </m:r>
          </m:e>
          <m:sub>
            <m:r>
              <m:rPr>
                <m:nor/>
                <m:sty m:val="p"/>
              </m:rPr>
              <m:t>top</m:t>
            </m:r>
          </m:sub>
        </m:sSub>
      </m:oMath>
      <w:r>
        <w:rPr>
          <w:iCs/>
          <w:i/>
        </w:rPr>
        <w:t xml:space="preserve">, not the 100-restart consensus fits used elsewhere; markers denote the three final-model anchors (the consensus fits for DeSurv</w:t>
      </w:r>
      <w:r>
        <w:rPr>
          <w:iCs/>
          <w:i/>
        </w:rPr>
        <w:t xml:space="preserve"> </w:t>
      </w:r>
      <m:oMath>
        <m:r>
          <m:t>k</m:t>
        </m:r>
        <m:r>
          <m:rPr>
            <m:sty m:val="p"/>
          </m:rPr>
          <m:t>=</m:t>
        </m:r>
        <m:r>
          <m:t>3</m:t>
        </m:r>
      </m:oMath>
      <w:r>
        <w:rPr>
          <w:iCs/>
          <w:i/>
        </w:rPr>
        <w:t xml:space="preserve"> </w:t>
      </w:r>
      <w:r>
        <w:rPr>
          <w:iCs/>
          <w:i/>
        </w:rPr>
        <w:t xml:space="preserve">and the rank-optimized unsupervised control</w:t>
      </w:r>
      <w:r>
        <w:rPr>
          <w:iCs/>
          <w:i/>
        </w:rPr>
        <w:t xml:space="preserve"> </w:t>
      </w:r>
      <m:oMath>
        <m:r>
          <m:t>k</m:t>
        </m:r>
        <m:r>
          <m:rPr>
            <m:sty m:val="p"/>
          </m:rPr>
          <m:t>=</m:t>
        </m:r>
        <m:r>
          <m:t>7</m:t>
        </m:r>
      </m:oMath>
      <w:r>
        <w:rPr>
          <w:iCs/>
          <w:i/>
        </w:rPr>
        <w:t xml:space="preserve">, and the best-of-30-run</w:t>
      </w:r>
      <w:r>
        <w:rPr>
          <w:iCs/>
          <w:i/>
        </w:rPr>
        <w:t xml:space="preserve"> </w:t>
      </w:r>
      <w:r>
        <w:rPr>
          <w:rStyle w:val="VerbatimChar"/>
          <w:iCs/>
          <w:i/>
        </w:rPr>
        <w:t xml:space="preserve">NMF::nmf</w:t>
      </w:r>
      <w:r>
        <w:rPr>
          <w:iCs/>
          <w:i/>
        </w:rPr>
        <w:t xml:space="preserve"> </w:t>
      </w:r>
      <w:r>
        <w:rPr>
          <w:iCs/>
          <w:i/>
        </w:rPr>
        <w:t xml:space="preserve">fit at matched rank</w:t>
      </w:r>
      <w:r>
        <w:rPr>
          <w:iCs/>
          <w:i/>
        </w:rPr>
        <w:t xml:space="preserve"> </w:t>
      </w:r>
      <m:oMath>
        <m:r>
          <m:t>k</m:t>
        </m:r>
        <m:r>
          <m:rPr>
            <m:sty m:val="p"/>
          </m:rPr>
          <m:t>=</m:t>
        </m:r>
        <m:r>
          <m:t>3</m:t>
        </m:r>
      </m:oMath>
      <w:r>
        <w:rPr>
          <w:iCs/>
          <w:i/>
        </w:rPr>
        <w:t xml:space="preserv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Dataset</w:t>
            </w:r>
          </w:p>
        </w:tc>
        <w:tc>
          <w:tcPr/>
          <w:p>
            <w:pPr>
              <w:pStyle w:val="Compact"/>
              <w:jc w:val="left"/>
            </w:pPr>
            <w:r>
              <w:t xml:space="preserve">DeSurv (</w:t>
            </w:r>
            <m:oMath>
              <m:r>
                <m:t>k</m:t>
              </m:r>
              <m:r>
                <m:rPr>
                  <m:sty m:val="p"/>
                </m:rPr>
                <m:t>=</m:t>
              </m:r>
              <m:r>
                <m:t>3</m:t>
              </m:r>
            </m:oMath>
            <w:r>
              <w:t xml:space="preserve">)</w:t>
            </w:r>
          </w:p>
        </w:tc>
        <w:tc>
          <w:tcPr/>
          <w:p>
            <w:pPr>
              <w:pStyle w:val="Compact"/>
              <w:jc w:val="left"/>
            </w:pPr>
            <w:r>
              <w:t xml:space="preserve">standard NMF (</w:t>
            </w:r>
            <m:oMath>
              <m:r>
                <m:t>k</m:t>
              </m:r>
              <m:r>
                <m:rPr>
                  <m:sty m:val="p"/>
                </m:rPr>
                <m:t>=</m:t>
              </m:r>
              <m:r>
                <m:t>3</m:t>
              </m:r>
            </m:oMath>
            <w:r>
              <w:t xml:space="preserve">)</w:t>
            </w:r>
          </w:p>
        </w:tc>
        <w:tc>
          <w:tcPr/>
          <w:p>
            <w:pPr>
              <w:pStyle w:val="Compact"/>
              <w:jc w:val="left"/>
            </w:pPr>
            <w:r>
              <w:t xml:space="preserve">Matched-budget control (</w:t>
            </w:r>
            <m:oMath>
              <m:r>
                <m:t>k</m:t>
              </m:r>
              <m:r>
                <m:rPr>
                  <m:sty m:val="p"/>
                </m:rPr>
                <m:t>=</m:t>
              </m:r>
              <m:r>
                <m:t>3</m:t>
              </m:r>
            </m:oMath>
            <w:r>
              <w:t xml:space="preserve">,</w:t>
            </w:r>
            <w:r>
              <w:t xml:space="preserve"> </w:t>
            </w:r>
            <m:oMath>
              <m:r>
                <m:t>α</m:t>
              </m:r>
              <m:r>
                <m:rPr>
                  <m:sty m:val="p"/>
                </m:rPr>
                <m:t>=</m:t>
              </m:r>
              <m:r>
                <m:t>0</m:t>
              </m:r>
            </m:oMath>
            <w:r>
              <w:t xml:space="preserve">)</w:t>
            </w:r>
          </w:p>
        </w:tc>
        <w:tc>
          <w:tcPr/>
          <w:p>
            <w:pPr>
              <w:pStyle w:val="Compact"/>
              <w:jc w:val="left"/>
            </w:pPr>
            <w:r>
              <w:t xml:space="preserve">standard NMF (</w:t>
            </w:r>
            <m:oMath>
              <m:r>
                <m:t>k</m:t>
              </m:r>
              <m:r>
                <m:rPr>
                  <m:sty m:val="p"/>
                </m:rPr>
                <m:t>=</m:t>
              </m:r>
              <m:r>
                <m:t>5</m:t>
              </m:r>
            </m:oMath>
            <w:r>
              <w:t xml:space="preserve">, elbow)</w:t>
            </w:r>
          </w:p>
        </w:tc>
        <w:tc>
          <w:tcPr/>
          <w:p>
            <w:pPr>
              <w:pStyle w:val="Compact"/>
              <w:jc w:val="left"/>
            </w:pPr>
            <w:r>
              <w:t xml:space="preserve">Rank-optimized control (</w:t>
            </w:r>
            <m:oMath>
              <m:r>
                <m:t>k</m:t>
              </m:r>
              <m:r>
                <m:rPr>
                  <m:sty m:val="p"/>
                </m:rPr>
                <m:t>=</m:t>
              </m:r>
              <m:r>
                <m:t>7</m:t>
              </m:r>
            </m:oMath>
            <w:r>
              <w:t xml:space="preserve">,</w:t>
            </w:r>
            <w:r>
              <w:t xml:space="preserve"> </w:t>
            </w:r>
            <m:oMath>
              <m:r>
                <m:t>α</m:t>
              </m:r>
              <m:r>
                <m:rPr>
                  <m:sty m:val="p"/>
                </m:rPr>
                <m:t>=</m:t>
              </m:r>
              <m:r>
                <m:t>0</m:t>
              </m:r>
            </m:oMath>
            <w:r>
              <w:t xml:space="preserve">)</w:t>
            </w:r>
          </w:p>
        </w:tc>
      </w:tr>
      <w:tr>
        <w:tc>
          <w:tcPr/>
          <w:p>
            <w:pPr>
              <w:pStyle w:val="Compact"/>
              <w:jc w:val="left"/>
            </w:pPr>
            <w:r>
              <w:t xml:space="preserve">Dijk</w:t>
            </w:r>
          </w:p>
        </w:tc>
        <w:tc>
          <w:tcPr/>
          <w:p>
            <w:pPr>
              <w:pStyle w:val="Compact"/>
              <w:jc w:val="left"/>
            </w:pPr>
            <w:r>
              <w:t xml:space="preserve">0.607</w:t>
            </w:r>
          </w:p>
        </w:tc>
        <w:tc>
          <w:tcPr/>
          <w:p>
            <w:pPr>
              <w:pStyle w:val="Compact"/>
              <w:jc w:val="left"/>
            </w:pPr>
            <w:r>
              <w:t xml:space="preserve">0.542</w:t>
            </w:r>
          </w:p>
        </w:tc>
        <w:tc>
          <w:tcPr/>
          <w:p>
            <w:pPr>
              <w:pStyle w:val="Compact"/>
              <w:jc w:val="left"/>
            </w:pPr>
            <w:r>
              <w:t xml:space="preserve">0.516</w:t>
            </w:r>
          </w:p>
        </w:tc>
        <w:tc>
          <w:tcPr/>
          <w:p>
            <w:pPr>
              <w:pStyle w:val="Compact"/>
              <w:jc w:val="left"/>
            </w:pPr>
            <w:r>
              <w:t xml:space="preserve">0.633</w:t>
            </w:r>
          </w:p>
        </w:tc>
        <w:tc>
          <w:tcPr/>
          <w:p>
            <w:pPr>
              <w:pStyle w:val="Compact"/>
              <w:jc w:val="left"/>
            </w:pPr>
            <w:r>
              <w:t xml:space="preserve">0.631</w:t>
            </w:r>
          </w:p>
        </w:tc>
      </w:tr>
      <w:tr>
        <w:tc>
          <w:tcPr/>
          <w:p>
            <w:pPr>
              <w:pStyle w:val="Compact"/>
              <w:jc w:val="left"/>
            </w:pPr>
            <w:r>
              <w:t xml:space="preserve">Moffitt</w:t>
            </w:r>
          </w:p>
        </w:tc>
        <w:tc>
          <w:tcPr/>
          <w:p>
            <w:pPr>
              <w:pStyle w:val="Compact"/>
              <w:jc w:val="left"/>
            </w:pPr>
            <w:r>
              <w:t xml:space="preserve">0.562</w:t>
            </w:r>
          </w:p>
        </w:tc>
        <w:tc>
          <w:tcPr/>
          <w:p>
            <w:pPr>
              <w:pStyle w:val="Compact"/>
              <w:jc w:val="left"/>
            </w:pPr>
            <w:r>
              <w:t xml:space="preserve">0.521</w:t>
            </w:r>
          </w:p>
        </w:tc>
        <w:tc>
          <w:tcPr/>
          <w:p>
            <w:pPr>
              <w:pStyle w:val="Compact"/>
              <w:jc w:val="left"/>
            </w:pPr>
            <w:r>
              <w:t xml:space="preserve">0.516</w:t>
            </w:r>
          </w:p>
        </w:tc>
        <w:tc>
          <w:tcPr/>
          <w:p>
            <w:pPr>
              <w:pStyle w:val="Compact"/>
              <w:jc w:val="left"/>
            </w:pPr>
            <w:r>
              <w:t xml:space="preserve">0.552</w:t>
            </w:r>
          </w:p>
        </w:tc>
        <w:tc>
          <w:tcPr/>
          <w:p>
            <w:pPr>
              <w:pStyle w:val="Compact"/>
              <w:jc w:val="left"/>
            </w:pPr>
            <w:r>
              <w:t xml:space="preserve">0.578</w:t>
            </w:r>
          </w:p>
        </w:tc>
      </w:tr>
      <w:tr>
        <w:tc>
          <w:tcPr/>
          <w:p>
            <w:pPr>
              <w:pStyle w:val="Compact"/>
              <w:jc w:val="left"/>
            </w:pPr>
            <w:r>
              <w:t xml:space="preserve">PACA-AU array</w:t>
            </w:r>
          </w:p>
        </w:tc>
        <w:tc>
          <w:tcPr/>
          <w:p>
            <w:pPr>
              <w:pStyle w:val="Compact"/>
              <w:jc w:val="left"/>
            </w:pPr>
            <w:r>
              <w:t xml:space="preserve">0.649</w:t>
            </w:r>
          </w:p>
        </w:tc>
        <w:tc>
          <w:tcPr/>
          <w:p>
            <w:pPr>
              <w:pStyle w:val="Compact"/>
              <w:jc w:val="left"/>
            </w:pPr>
            <w:r>
              <w:t xml:space="preserve">0.470</w:t>
            </w:r>
          </w:p>
        </w:tc>
        <w:tc>
          <w:tcPr/>
          <w:p>
            <w:pPr>
              <w:pStyle w:val="Compact"/>
              <w:jc w:val="left"/>
            </w:pPr>
            <w:r>
              <w:t xml:space="preserve">0.462</w:t>
            </w:r>
          </w:p>
        </w:tc>
        <w:tc>
          <w:tcPr/>
          <w:p>
            <w:pPr>
              <w:pStyle w:val="Compact"/>
              <w:jc w:val="left"/>
            </w:pPr>
            <w:r>
              <w:t xml:space="preserve">0.657</w:t>
            </w:r>
          </w:p>
        </w:tc>
        <w:tc>
          <w:tcPr/>
          <w:p>
            <w:pPr>
              <w:pStyle w:val="Compact"/>
              <w:jc w:val="left"/>
            </w:pPr>
            <w:r>
              <w:t xml:space="preserve">0.669</w:t>
            </w:r>
          </w:p>
        </w:tc>
      </w:tr>
      <w:tr>
        <w:tc>
          <w:tcPr/>
          <w:p>
            <w:pPr>
              <w:pStyle w:val="Compact"/>
              <w:jc w:val="left"/>
            </w:pPr>
            <w:r>
              <w:t xml:space="preserve">PACA-AU RNA-seq</w:t>
            </w:r>
          </w:p>
        </w:tc>
        <w:tc>
          <w:tcPr/>
          <w:p>
            <w:pPr>
              <w:pStyle w:val="Compact"/>
              <w:jc w:val="left"/>
            </w:pPr>
            <w:r>
              <w:t xml:space="preserve">0.634</w:t>
            </w:r>
          </w:p>
        </w:tc>
        <w:tc>
          <w:tcPr/>
          <w:p>
            <w:pPr>
              <w:pStyle w:val="Compact"/>
              <w:jc w:val="left"/>
            </w:pPr>
            <w:r>
              <w:t xml:space="preserve">0.430</w:t>
            </w:r>
          </w:p>
        </w:tc>
        <w:tc>
          <w:tcPr/>
          <w:p>
            <w:pPr>
              <w:pStyle w:val="Compact"/>
              <w:jc w:val="left"/>
            </w:pPr>
            <w:r>
              <w:t xml:space="preserve">0.412</w:t>
            </w:r>
          </w:p>
        </w:tc>
        <w:tc>
          <w:tcPr/>
          <w:p>
            <w:pPr>
              <w:pStyle w:val="Compact"/>
              <w:jc w:val="left"/>
            </w:pPr>
            <w:r>
              <w:t xml:space="preserve">0.679</w:t>
            </w:r>
          </w:p>
        </w:tc>
        <w:tc>
          <w:tcPr/>
          <w:p>
            <w:pPr>
              <w:pStyle w:val="Compact"/>
              <w:jc w:val="left"/>
            </w:pPr>
            <w:r>
              <w:t xml:space="preserve">0.702</w:t>
            </w:r>
          </w:p>
        </w:tc>
      </w:tr>
      <w:tr>
        <w:tc>
          <w:tcPr/>
          <w:p>
            <w:pPr>
              <w:pStyle w:val="Compact"/>
              <w:jc w:val="left"/>
            </w:pPr>
            <w:r>
              <w:t xml:space="preserve">Puleo</w:t>
            </w:r>
          </w:p>
        </w:tc>
        <w:tc>
          <w:tcPr/>
          <w:p>
            <w:pPr>
              <w:pStyle w:val="Compact"/>
              <w:jc w:val="left"/>
            </w:pPr>
            <w:r>
              <w:t xml:space="preserve">0.636</w:t>
            </w:r>
          </w:p>
        </w:tc>
        <w:tc>
          <w:tcPr/>
          <w:p>
            <w:pPr>
              <w:pStyle w:val="Compact"/>
              <w:jc w:val="left"/>
            </w:pPr>
            <w:r>
              <w:t xml:space="preserve">0.534</w:t>
            </w:r>
          </w:p>
        </w:tc>
        <w:tc>
          <w:tcPr/>
          <w:p>
            <w:pPr>
              <w:pStyle w:val="Compact"/>
              <w:jc w:val="left"/>
            </w:pPr>
            <w:r>
              <w:t xml:space="preserve">0.533</w:t>
            </w:r>
          </w:p>
        </w:tc>
        <w:tc>
          <w:tcPr/>
          <w:p>
            <w:pPr>
              <w:pStyle w:val="Compact"/>
              <w:jc w:val="left"/>
            </w:pPr>
            <w:r>
              <w:t xml:space="preserve">0.642</w:t>
            </w:r>
          </w:p>
        </w:tc>
        <w:tc>
          <w:tcPr/>
          <w:p>
            <w:pPr>
              <w:pStyle w:val="Compact"/>
              <w:jc w:val="left"/>
            </w:pPr>
            <w:r>
              <w:t xml:space="preserve">0.651</w:t>
            </w:r>
          </w:p>
        </w:tc>
      </w:tr>
    </w:tbl>
    <w:p>
      <w:pPr>
        <w:pStyle w:val="BodyText"/>
      </w:pPr>
      <w:r>
        <w:rPr>
          <w:iCs/>
          <w:i/>
        </w:rPr>
        <w:t xml:space="preserve">External validation C-index by method and validation dataset. DeSurv at the one-standard-error-selected rank (</w:t>
      </w:r>
      <m:oMath>
        <m:r>
          <m:t>k</m:t>
        </m:r>
        <m:r>
          <m:rPr>
            <m:sty m:val="p"/>
          </m:rPr>
          <m:t>=</m:t>
        </m:r>
        <m:r>
          <m:t>3</m:t>
        </m:r>
      </m:oMath>
      <w:r>
        <w:rPr>
          <w:iCs/>
          <w:i/>
        </w:rPr>
        <w:t xml:space="preserve">) is compared with standard NMF at matched rank (</w:t>
      </w:r>
      <m:oMath>
        <m:r>
          <m:t>k</m:t>
        </m:r>
        <m:r>
          <m:rPr>
            <m:sty m:val="p"/>
          </m:rPr>
          <m:t>=</m:t>
        </m:r>
        <m:r>
          <m:t>3</m:t>
        </m:r>
      </m:oMath>
      <w:r>
        <w:rPr>
          <w:iCs/>
          <w:i/>
        </w:rPr>
        <w:t xml:space="preserve">) and at elbow-selected rank (</w:t>
      </w:r>
      <m:oMath>
        <m:r>
          <m:t>k</m:t>
        </m:r>
        <m:r>
          <m:rPr>
            <m:sty m:val="p"/>
          </m:rPr>
          <m:t>=</m:t>
        </m:r>
        <m:r>
          <m:t>5</m:t>
        </m:r>
      </m:oMath>
      <w:r>
        <w:rPr>
          <w:iCs/>
          <w:i/>
        </w:rPr>
        <w:t xml:space="preserve">), with the matched-budget unsupervised control (</w:t>
      </w:r>
      <m:oMath>
        <m:r>
          <m:t>k</m:t>
        </m:r>
        <m:r>
          <m:rPr>
            <m:sty m:val="p"/>
          </m:rPr>
          <m:t>=</m:t>
        </m:r>
        <m:r>
          <m:t>3</m:t>
        </m:r>
      </m:oMath>
      <w:r>
        <w:rPr>
          <w:iCs/>
          <w:i/>
        </w:rPr>
        <w:t xml:space="preserve">,</w:t>
      </w:r>
      <w:r>
        <w:rPr>
          <w:iCs/>
          <w:i/>
        </w:rPr>
        <w:t xml:space="preserve"> </w:t>
      </w:r>
      <m:oMath>
        <m:r>
          <m:t>α</m:t>
        </m:r>
        <m:r>
          <m:rPr>
            <m:sty m:val="p"/>
          </m:rPr>
          <m:t>=</m:t>
        </m:r>
        <m:r>
          <m:t>0</m:t>
        </m:r>
      </m:oMath>
      <w:r>
        <w:rPr>
          <w:iCs/>
          <w:i/>
        </w:rPr>
        <w:t xml:space="preserve">) and with the rank-optimized unsupervised control (</w:t>
      </w:r>
      <m:oMath>
        <m:r>
          <m:t>k</m:t>
        </m:r>
        <m:r>
          <m:rPr>
            <m:sty m:val="p"/>
          </m:rPr>
          <m:t>=</m:t>
        </m:r>
        <m:r>
          <m:t>7</m:t>
        </m:r>
      </m:oMath>
      <w:r>
        <w:rPr>
          <w:iCs/>
          <w:i/>
        </w:rPr>
        <w:t xml:space="preserve">,</w:t>
      </w:r>
      <w:r>
        <w:rPr>
          <w:iCs/>
          <w:i/>
        </w:rPr>
        <w:t xml:space="preserve"> </w:t>
      </w:r>
      <m:oMath>
        <m:r>
          <m:t>α</m:t>
        </m:r>
        <m:r>
          <m:rPr>
            <m:sty m:val="p"/>
          </m:rPr>
          <m:t>=</m:t>
        </m:r>
        <m:r>
          <m:t>0</m:t>
        </m:r>
      </m:oMath>
      <w:r>
        <w:rPr>
          <w:iCs/>
          <w:i/>
        </w:rPr>
        <w:t xml:space="preserve">). The unsupervised columns are not all produced by one implementation: the two standard NMF columns are</w:t>
      </w:r>
      <w:r>
        <w:rPr>
          <w:iCs/>
          <w:i/>
        </w:rPr>
        <w:t xml:space="preserve"> </w:t>
      </w:r>
      <w:r>
        <w:rPr>
          <w:rStyle w:val="VerbatimChar"/>
          <w:iCs/>
          <w:i/>
        </w:rPr>
        <w:t xml:space="preserve">NMF::nmf</w:t>
      </w:r>
      <w:r>
        <w:rPr>
          <w:iCs/>
          <w:i/>
        </w:rPr>
        <w:t xml:space="preserve">, whereas the two controls are the DeSurv optimizer run at</w:t>
      </w:r>
      <w:r>
        <w:rPr>
          <w:iCs/>
          <w:i/>
        </w:rPr>
        <w:t xml:space="preserve"> </w:t>
      </w:r>
      <m:oMath>
        <m:r>
          <m:t>α</m:t>
        </m:r>
        <m:r>
          <m:rPr>
            <m:sty m:val="p"/>
          </m:rPr>
          <m:t>=</m:t>
        </m:r>
        <m:r>
          <m:t>0</m:t>
        </m:r>
      </m:oMath>
      <w:r>
        <w:rPr>
          <w:iCs/>
          <w:i/>
        </w:rPr>
        <w:t xml:space="preserve"> </w:t>
      </w:r>
      <w:r>
        <w:rPr>
          <w:iCs/>
          <w:i/>
        </w:rPr>
        <w:t xml:space="preserve">with the same consensus-initialization procedure as the supervised model. The matched-budget column is the tuning-budget control: it holds rank, optimizer, consensus-initialization procedure and Bayesian-optimization budget fixed while re-optimizing the remaining hyperparameters with</w:t>
      </w:r>
      <w:r>
        <w:rPr>
          <w:iCs/>
          <w:i/>
        </w:rPr>
        <w:t xml:space="preserve"> </w:t>
      </w:r>
      <m:oMath>
        <m:r>
          <m:t>α</m:t>
        </m:r>
        <m:r>
          <m:rPr>
            <m:sty m:val="p"/>
          </m:rPr>
          <m:t>=</m:t>
        </m:r>
        <m:r>
          <m:t>0</m:t>
        </m:r>
      </m:oMath>
      <w:r>
        <w:rPr>
          <w:iCs/>
          <w:i/>
        </w:rPr>
        <w:t xml:space="preserve">. Its external discrimination is no better than that of</w:t>
      </w:r>
      <w:r>
        <w:rPr>
          <w:iCs/>
          <w:i/>
        </w:rPr>
        <w:t xml:space="preserve"> </w:t>
      </w:r>
      <w:r>
        <w:rPr>
          <w:rStyle w:val="VerbatimChar"/>
          <w:iCs/>
          <w:i/>
        </w:rPr>
        <w:t xml:space="preserve">NMF::nmf</w:t>
      </w:r>
      <w:r>
        <w:rPr>
          <w:iCs/>
          <w:i/>
        </w:rPr>
        <w:t xml:space="preserve"> </w:t>
      </w:r>
      <w:r>
        <w:rPr>
          <w:iCs/>
          <w:i/>
        </w:rPr>
        <w:t xml:space="preserve">at the same rank, a comparison made across the two implementations described here. Higher values indicate better discrimination. Every method was scored on the union of its own factors’ top-</w:t>
      </w:r>
      <m:oMath>
        <m:sSub>
          <m:e>
            <m:r>
              <m:t>n</m:t>
            </m:r>
          </m:e>
          <m:sub>
            <m:r>
              <m:rPr>
                <m:nor/>
                <m:sty m:val="p"/>
              </m:rPr>
              <m:t>top</m:t>
            </m:r>
          </m:sub>
        </m:sSub>
      </m:oMath>
      <w:r>
        <w:rPr>
          <w:iCs/>
          <w:i/>
        </w:rPr>
        <w:t xml:space="preserve"> </w:t>
      </w:r>
      <w:r>
        <w:rPr>
          <w:iCs/>
          <w:i/>
        </w:rPr>
        <w:t xml:space="preserve">gene supports at the supervised model’s</w:t>
      </w:r>
      <w:r>
        <w:rPr>
          <w:iCs/>
          <w:i/>
        </w:rPr>
        <w:t xml:space="preserve"> </w:t>
      </w:r>
      <m:oMath>
        <m:sSub>
          <m:e>
            <m:r>
              <m:t>n</m:t>
            </m:r>
          </m:e>
          <m:sub>
            <m:r>
              <m:rPr>
                <m:nor/>
                <m:sty m:val="p"/>
              </m:rPr>
              <m:t>top</m:t>
            </m:r>
          </m:sub>
        </m:sSub>
        <m:r>
          <m:rPr>
            <m:sty m:val="p"/>
          </m:rPr>
          <m:t>=</m:t>
        </m:r>
        <m:r>
          <m:t>270</m:t>
        </m:r>
      </m:oMath>
      <w:r>
        <w:rPr>
          <w:iCs/>
          <w:i/>
        </w:rPr>
        <w:t xml:space="preserve">, the same construction as the pooled hazard ratios, main-text Table [tab:hr-adjusted] and Table [tab:het-ci]. Scoring the matched-budget control at its own tuned</w:t>
      </w:r>
      <w:r>
        <w:rPr>
          <w:iCs/>
          <w:i/>
        </w:rPr>
        <w:t xml:space="preserve"> </w:t>
      </w:r>
      <m:oMath>
        <m:sSub>
          <m:e>
            <m:r>
              <m:t>n</m:t>
            </m:r>
          </m:e>
          <m:sub>
            <m:r>
              <m:rPr>
                <m:nor/>
                <m:sty m:val="p"/>
              </m:rPr>
              <m:t>top</m:t>
            </m:r>
          </m:sub>
        </m:sSub>
        <m:r>
          <m:rPr>
            <m:sty m:val="p"/>
          </m:rPr>
          <m:t>=</m:t>
        </m:r>
        <m:r>
          <m:t>299</m:t>
        </m:r>
      </m:oMath>
      <w:r>
        <w:rPr>
          <w:iCs/>
          <w:i/>
        </w:rPr>
        <w:t xml:space="preserve"> </w:t>
      </w:r>
      <w:r>
        <w:rPr>
          <w:iCs/>
          <w:i/>
        </w:rPr>
        <w:t xml:space="preserve">instead changes no per-dataset C-index by more than 0.007; the rank-optimized control was likewise scored at 270 rather than at its own tuned</w:t>
      </w:r>
      <w:r>
        <w:rPr>
          <w:iCs/>
          <w:i/>
        </w:rPr>
        <w:t xml:space="preserve"> </w:t>
      </w:r>
      <m:oMath>
        <m:sSub>
          <m:e>
            <m:r>
              <m:t>n</m:t>
            </m:r>
          </m:e>
          <m:sub>
            <m:r>
              <m:rPr>
                <m:nor/>
                <m:sty m:val="p"/>
              </m:rPr>
              <m:t>top</m:t>
            </m:r>
          </m:sub>
        </m:sSub>
        <m:r>
          <m:rPr>
            <m:sty m:val="p"/>
          </m:rPr>
          <m:t>=</m:t>
        </m:r>
        <m:r>
          <m:t>187</m:t>
        </m:r>
      </m:oMath>
      <w:r>
        <w:rPr>
          <w:iCs/>
          <w:i/>
        </w:rPr>
        <w:t xml:space="preserv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Cohort</w:t>
            </w:r>
          </w:p>
        </w:tc>
        <w:tc>
          <w:tcPr/>
          <w:p>
            <w:pPr>
              <w:pStyle w:val="Compact"/>
              <w:jc w:val="left"/>
            </w:pPr>
            <m:oMath>
              <m:r>
                <m:t>n</m:t>
              </m:r>
            </m:oMath>
          </w:p>
        </w:tc>
        <w:tc>
          <w:tcPr/>
          <w:p>
            <w:pPr>
              <w:pStyle w:val="Compact"/>
              <w:jc w:val="left"/>
            </w:pPr>
            <w:r>
              <w:t xml:space="preserve">Deaths</w:t>
            </w:r>
          </w:p>
        </w:tc>
        <w:tc>
          <w:tcPr/>
          <w:p>
            <w:pPr>
              <w:pStyle w:val="Compact"/>
              <w:jc w:val="left"/>
            </w:pPr>
            <w:r>
              <w:t xml:space="preserve">HR per within-cohort SD (95% CI)</w:t>
            </w:r>
          </w:p>
        </w:tc>
        <w:tc>
          <w:tcPr/>
          <w:p>
            <w:pPr>
              <w:pStyle w:val="Compact"/>
              <w:jc w:val="left"/>
            </w:pPr>
            <w:r>
              <w:t xml:space="preserve">C-index (95% CI)</w:t>
            </w:r>
          </w:p>
        </w:tc>
      </w:tr>
      <w:tr>
        <w:tc>
          <w:tcPr/>
          <w:p>
            <w:pPr>
              <w:pStyle w:val="Compact"/>
              <w:jc w:val="left"/>
            </w:pPr>
            <w:r>
              <w:t xml:space="preserve">Dijk</w:t>
            </w:r>
          </w:p>
        </w:tc>
        <w:tc>
          <w:tcPr/>
          <w:p>
            <w:pPr>
              <w:pStyle w:val="Compact"/>
              <w:jc w:val="left"/>
            </w:pPr>
            <w:r>
              <w:t xml:space="preserve">90</w:t>
            </w:r>
          </w:p>
        </w:tc>
        <w:tc>
          <w:tcPr/>
          <w:p>
            <w:pPr>
              <w:pStyle w:val="Compact"/>
              <w:jc w:val="left"/>
            </w:pPr>
            <w:r>
              <w:t xml:space="preserve">81</w:t>
            </w:r>
          </w:p>
        </w:tc>
        <w:tc>
          <w:tcPr/>
          <w:p>
            <w:pPr>
              <w:pStyle w:val="Compact"/>
              <w:jc w:val="left"/>
            </w:pPr>
            <w:r>
              <w:t xml:space="preserve">1.32 (1.06–1.66)</w:t>
            </w:r>
          </w:p>
        </w:tc>
        <w:tc>
          <w:tcPr/>
          <w:p>
            <w:pPr>
              <w:pStyle w:val="Compact"/>
              <w:jc w:val="left"/>
            </w:pPr>
            <w:r>
              <w:t xml:space="preserve">0.607 (0.531–0.679)</w:t>
            </w:r>
          </w:p>
        </w:tc>
      </w:tr>
      <w:tr>
        <w:tc>
          <w:tcPr/>
          <w:p>
            <w:pPr>
              <w:pStyle w:val="Compact"/>
              <w:jc w:val="left"/>
            </w:pPr>
            <w:r>
              <w:t xml:space="preserve">Moffitt</w:t>
            </w:r>
          </w:p>
        </w:tc>
        <w:tc>
          <w:tcPr/>
          <w:p>
            <w:pPr>
              <w:pStyle w:val="Compact"/>
              <w:jc w:val="left"/>
            </w:pPr>
            <w:r>
              <w:t xml:space="preserve">123</w:t>
            </w:r>
          </w:p>
        </w:tc>
        <w:tc>
          <w:tcPr/>
          <w:p>
            <w:pPr>
              <w:pStyle w:val="Compact"/>
              <w:jc w:val="left"/>
            </w:pPr>
            <w:r>
              <w:t xml:space="preserve">83</w:t>
            </w:r>
          </w:p>
        </w:tc>
        <w:tc>
          <w:tcPr/>
          <w:p>
            <w:pPr>
              <w:pStyle w:val="Compact"/>
              <w:jc w:val="left"/>
            </w:pPr>
            <w:r>
              <w:t xml:space="preserve">1.20 (0.98–1.48)</w:t>
            </w:r>
          </w:p>
        </w:tc>
        <w:tc>
          <w:tcPr/>
          <w:p>
            <w:pPr>
              <w:pStyle w:val="Compact"/>
              <w:jc w:val="left"/>
            </w:pPr>
            <w:r>
              <w:t xml:space="preserve">0.562 (0.478–0.639)</w:t>
            </w:r>
          </w:p>
        </w:tc>
      </w:tr>
      <w:tr>
        <w:tc>
          <w:tcPr/>
          <w:p>
            <w:pPr>
              <w:pStyle w:val="Compact"/>
              <w:jc w:val="left"/>
            </w:pPr>
            <w:r>
              <w:t xml:space="preserve">PACA-AU</w:t>
            </w:r>
          </w:p>
        </w:tc>
        <w:tc>
          <w:tcPr/>
          <w:p>
            <w:pPr>
              <w:pStyle w:val="Compact"/>
              <w:jc w:val="left"/>
            </w:pPr>
            <w:r>
              <w:t xml:space="preserve">69</w:t>
            </w:r>
          </w:p>
        </w:tc>
        <w:tc>
          <w:tcPr/>
          <w:p>
            <w:pPr>
              <w:pStyle w:val="Compact"/>
              <w:jc w:val="left"/>
            </w:pPr>
            <w:r>
              <w:t xml:space="preserve">43</w:t>
            </w:r>
          </w:p>
        </w:tc>
        <w:tc>
          <w:tcPr/>
          <w:p>
            <w:pPr>
              <w:pStyle w:val="Compact"/>
              <w:jc w:val="left"/>
            </w:pPr>
            <w:r>
              <w:t xml:space="preserve">1.46 (1.09–1.96)</w:t>
            </w:r>
          </w:p>
        </w:tc>
        <w:tc>
          <w:tcPr/>
          <w:p>
            <w:pPr>
              <w:pStyle w:val="Compact"/>
              <w:jc w:val="left"/>
            </w:pPr>
            <w:r>
              <w:t xml:space="preserve">0.630 (0.541–0.745)</w:t>
            </w:r>
          </w:p>
        </w:tc>
      </w:tr>
      <w:tr>
        <w:tc>
          <w:tcPr/>
          <w:p>
            <w:pPr>
              <w:pStyle w:val="Compact"/>
              <w:jc w:val="left"/>
            </w:pPr>
            <w:r>
              <w:t xml:space="preserve">Puleo</w:t>
            </w:r>
          </w:p>
        </w:tc>
        <w:tc>
          <w:tcPr/>
          <w:p>
            <w:pPr>
              <w:pStyle w:val="Compact"/>
              <w:jc w:val="left"/>
            </w:pPr>
            <w:r>
              <w:t xml:space="preserve">288</w:t>
            </w:r>
          </w:p>
        </w:tc>
        <w:tc>
          <w:tcPr/>
          <w:p>
            <w:pPr>
              <w:pStyle w:val="Compact"/>
              <w:jc w:val="left"/>
            </w:pPr>
            <w:r>
              <w:t xml:space="preserve">181</w:t>
            </w:r>
          </w:p>
        </w:tc>
        <w:tc>
          <w:tcPr/>
          <w:p>
            <w:pPr>
              <w:pStyle w:val="Compact"/>
              <w:jc w:val="left"/>
            </w:pPr>
            <w:r>
              <w:t xml:space="preserve">1.37 (1.18–1.59)</w:t>
            </w:r>
          </w:p>
        </w:tc>
        <w:tc>
          <w:tcPr/>
          <w:p>
            <w:pPr>
              <w:pStyle w:val="Compact"/>
              <w:jc w:val="left"/>
            </w:pPr>
            <w:r>
              <w:t xml:space="preserve">0.636 (0.594–0.678)</w:t>
            </w:r>
          </w:p>
        </w:tc>
      </w:tr>
      <w:tr>
        <w:tc>
          <w:tcPr/>
          <w:p>
            <w:pPr>
              <w:pStyle w:val="Compact"/>
              <w:jc w:val="left"/>
            </w:pPr>
            <w:r>
              <w:t xml:space="preserve">Combined</w:t>
            </w:r>
          </w:p>
        </w:tc>
        <w:tc>
          <w:tcPr/>
          <w:p>
            <w:pPr>
              <w:pStyle w:val="Compact"/>
              <w:jc w:val="left"/>
            </w:pPr>
            <w:r>
              <w:t xml:space="preserve">570</w:t>
            </w:r>
          </w:p>
        </w:tc>
        <w:tc>
          <w:tcPr/>
          <w:p>
            <w:pPr>
              <w:pStyle w:val="Compact"/>
              <w:jc w:val="left"/>
            </w:pPr>
            <w:r>
              <w:t xml:space="preserve">388</w:t>
            </w:r>
          </w:p>
        </w:tc>
        <w:tc>
          <w:tcPr/>
          <w:p>
            <w:pPr>
              <w:pStyle w:val="Compact"/>
              <w:jc w:val="left"/>
            </w:pPr>
            <w:r>
              <w:t xml:space="preserve">—</w:t>
            </w:r>
          </w:p>
        </w:tc>
        <w:tc>
          <w:tcPr/>
          <w:p>
            <w:pPr>
              <w:pStyle w:val="Compact"/>
              <w:jc w:val="left"/>
            </w:pPr>
            <w:r>
              <w:t xml:space="preserve">0.613 (0.579–0.646)</w:t>
            </w:r>
          </w:p>
        </w:tc>
      </w:tr>
    </w:tbl>
    <w:p>
      <w:pPr>
        <w:pStyle w:val="BodyText"/>
      </w:pPr>
      <w:r>
        <w:rPr>
          <w:iCs/>
          <w:i/>
        </w:rPr>
        <w:t xml:space="preserve">Cohort-specific external-validation estimates for the frozen DeSurv linear predictor, on the de-duplicated patient-level table (570 unique patients, 388 deaths; PACA-AU represented once, RNA-seq retained). Hazard ratios are per standard deviation of the linear predictor computed within that cohort, the convention used for the interaction test, so they are not comparable to the pooled-standard-deviation hazard ratio in main-text Table [tab:hr-adjusted]. C-index confidence intervals are percentile intervals from 1000 stratified bootstrap replicates (seed 1) resampling within cohort; the combined C-index is the event-weighted mean of the four cohort values.</w:t>
      </w:r>
    </w:p>
    <w:bookmarkEnd w:id="76"/>
    <w:bookmarkStart w:id="77" w:name="X963ec26f3903600f41332d8e5f3729b562d7f7d"/>
    <w:p>
      <w:pPr>
        <w:pStyle w:val="Heading2"/>
      </w:pPr>
      <w:r>
        <w:t xml:space="preserve">Stromal resolution: which reference programs are recovered from bulk</w:t>
      </w:r>
    </w:p>
    <w:p>
      <w:pPr>
        <w:pStyle w:val="FirstParagraph"/>
      </w:pPr>
      <w:r>
        <w:t xml:space="preserve">Bulk deconvolution has conventionally separated activated from normal stroma,</w:t>
      </w:r>
      <w:r>
        <w:t xml:space="preserve"> </w:t>
      </w:r>
      <w:r>
        <w:t xml:space="preserve">whereas the finer cancer-associated fibroblast states, and the proCAF/restCAF</w:t>
      </w:r>
      <w:r>
        <w:t xml:space="preserve"> </w:t>
      </w:r>
      <w:r>
        <w:t xml:space="preserve">classification derived from them, were established in single-cell data. We</w:t>
      </w:r>
      <w:r>
        <w:t xml:space="preserve"> </w:t>
      </w:r>
      <w:r>
        <w:t xml:space="preserve">therefore asked which stromal reference programs each</w:t>
      </w:r>
      <w:r>
        <w:t xml:space="preserve"> </w:t>
      </w:r>
      <m:oMath>
        <m:r>
          <m:t>k</m:t>
        </m:r>
        <m:r>
          <m:rPr>
            <m:sty m:val="p"/>
          </m:rPr>
          <m:t>=</m:t>
        </m:r>
        <m:r>
          <m:t>3</m:t>
        </m:r>
      </m:oMath>
      <w:r>
        <w:t xml:space="preserve"> </w:t>
      </w:r>
      <w:r>
        <w:t xml:space="preserve">factorization</w:t>
      </w:r>
      <w:r>
        <w:t xml:space="preserve"> </w:t>
      </w:r>
      <w:r>
        <w:t xml:space="preserve">actually resolves. Two views are reported because they do not</w:t>
      </w:r>
      <w:r>
        <w:t xml:space="preserve"> </w:t>
      </w:r>
      <w:r>
        <w:t xml:space="preserve">agree, and the defensible claim depends on which question is asked.</w:t>
      </w:r>
    </w:p>
    <w:p>
      <w:pPr>
        <w:pStyle w:val="BodyText"/>
      </w:pPr>
      <w:r>
        <w:t xml:space="preserve">In the top-gene view shown in main-text Fig. 2a,b, which asks whether signature</w:t>
      </w:r>
      <w:r>
        <w:t xml:space="preserve"> </w:t>
      </w:r>
      <w:r>
        <w:t xml:space="preserve">genes are represented among the 50 genes that define each factor, the</w:t>
      </w:r>
      <w:r>
        <w:t xml:space="preserve"> </w:t>
      </w:r>
      <w:r>
        <w:t xml:space="preserve">activated-stroma program is recovered comparably by all methods</w:t>
      </w:r>
      <w:r>
        <w:t xml:space="preserve"> </w:t>
      </w:r>
      <w:r>
        <w:t xml:space="preserve">(7, 6</w:t>
      </w:r>
      <w:r>
        <w:t xml:space="preserve"> </w:t>
      </w:r>
      <w:r>
        <w:t xml:space="preserve">and 10 of</w:t>
      </w:r>
      <w:r>
        <w:t xml:space="preserve"> </w:t>
      </w:r>
      <w:r>
        <w:t xml:space="preserve">206 genes for DeSurv, standard NMF and the</w:t>
      </w:r>
      <w:r>
        <w:t xml:space="preserve"> </w:t>
      </w:r>
      <w:r>
        <w:t xml:space="preserve">matched-budget control). The restraining-stroma programs behave differently:</w:t>
      </w:r>
      <w:r>
        <w:t xml:space="preserve"> </w:t>
      </w:r>
      <w:r>
        <w:t xml:space="preserve">2 of 25</w:t>
      </w:r>
      <w:r>
        <w:t xml:space="preserve"> </w:t>
      </w:r>
      <w:r>
        <w:t xml:space="preserve">restCAF genes and 2 of</w:t>
      </w:r>
      <w:r>
        <w:t xml:space="preserve"> </w:t>
      </w:r>
      <w:r>
        <w:t xml:space="preserve">35 iCAF genes appear among DeSurv’s defining genes,</w:t>
      </w:r>
      <w:r>
        <w:t xml:space="preserve"> </w:t>
      </w:r>
      <w:r>
        <w:t xml:space="preserve">against 0 and 0</w:t>
      </w:r>
      <w:r>
        <w:t xml:space="preserve"> </w:t>
      </w:r>
      <w:r>
        <w:t xml:space="preserve">for standard NMF. The proCAF programs, by contrast, are recovered comparably by</w:t>
      </w:r>
      <w:r>
        <w:t xml:space="preserve"> </w:t>
      </w:r>
      <w:r>
        <w:t xml:space="preserve">all methods (4 versus</w:t>
      </w:r>
      <w:r>
        <w:t xml:space="preserve"> </w:t>
      </w:r>
      <w:r>
        <w:t xml:space="preserve">3 of 25 genes).</w:t>
      </w:r>
    </w:p>
    <w:p>
      <w:pPr>
        <w:pStyle w:val="BodyText"/>
      </w:pPr>
      <w:r>
        <w:t xml:space="preserve">In the full-gene view, which correlates loadings across all 1,970 analyzed genes</w:t>
      </w:r>
      <w:r>
        <w:t xml:space="preserve"> </w:t>
      </w:r>
      <w:r>
        <w:t xml:space="preserve">with signature membership, no method separates restCAF from proCAF: every</w:t>
      </w:r>
      <w:r>
        <w:t xml:space="preserve"> </w:t>
      </w:r>
      <w:r>
        <w:t xml:space="preserve">correspondence lies between</w:t>
      </w:r>
      <w:r>
        <w:t xml:space="preserve"> </w:t>
      </w:r>
      <m:oMath>
        <m:r>
          <m:t>0.04</m:t>
        </m:r>
      </m:oMath>
      <w:r>
        <w:t xml:space="preserve"> </w:t>
      </w:r>
      <w:r>
        <w:t xml:space="preserve">and</w:t>
      </w:r>
      <w:r>
        <w:t xml:space="preserve"> </w:t>
      </w:r>
      <m:oMath>
        <m:r>
          <m:t>0.10</m:t>
        </m:r>
      </m:oMath>
      <w:r>
        <w:t xml:space="preserve">,</w:t>
      </w:r>
      <w:r>
        <w:t xml:space="preserve"> </w:t>
      </w:r>
      <w:r>
        <w:t xml:space="preserve">whereas the activated-stroma axis is recovered by all methods at</w:t>
      </w:r>
      <w:r>
        <w:t xml:space="preserve"> </w:t>
      </w:r>
      <m:oMath>
        <m:r>
          <m:t>0.19</m:t>
        </m:r>
      </m:oMath>
      <w:r>
        <w:t xml:space="preserve">. This view is far</w:t>
      </w:r>
      <w:r>
        <w:t xml:space="preserve"> </w:t>
      </w:r>
      <w:r>
        <w:t xml:space="preserve">more dilute for a 15–25 gene signature among 1,970 genes and correspondingly</w:t>
      </w:r>
      <w:r>
        <w:t xml:space="preserve"> </w:t>
      </w:r>
      <w:r>
        <w:t xml:space="preserve">low powered, but it bounds what can be claimed. We therefore report the</w:t>
      </w:r>
      <w:r>
        <w:t xml:space="preserve"> </w:t>
      </w:r>
      <w:r>
        <w:t xml:space="preserve">restraining-stroma difference as marker-gene presence among the defining genes</w:t>
      </w:r>
      <w:r>
        <w:t xml:space="preserve"> </w:t>
      </w:r>
      <w:r>
        <w:t xml:space="preserve">of each factorization, and do not claim to have resolved the single-cell CAF</w:t>
      </w:r>
      <w:r>
        <w:t xml:space="preserve"> </w:t>
      </w:r>
      <w:r>
        <w:t xml:space="preserve">states from bulk expression.</w:t>
      </w:r>
    </w:p>
    <w:p>
      <w:pPr>
        <w:pStyle w:val="BodyText"/>
      </w:pPr>
      <w:r>
        <w:t xml:space="preserve">Note also that the SCISSORS iCAF and myCAF reference signatures are displayed as</w:t>
      </w:r>
      <w:r>
        <w:t xml:space="preserve"> </w:t>
      </w:r>
      <w:r>
        <w:t xml:space="preserve">restCAF and proCAF in main-text Fig. 2, following the naming used by the DeCAF</w:t>
      </w:r>
      <w:r>
        <w:t xml:space="preserve"> </w:t>
      </w:r>
      <w:r>
        <w:t xml:space="preserve">classification; the underlying gene sets are the single-cell-derived ones.</w:t>
      </w:r>
    </w:p>
    <w:bookmarkEnd w:id="77"/>
    <w:bookmarkStart w:id="78" w:name="X6f729c35316c2e7930773018bbceb9e5a443d40"/>
    <w:p>
      <w:pPr>
        <w:pStyle w:val="Heading2"/>
      </w:pPr>
      <w:r>
        <w:t xml:space="preserve">Matched-budget unsupervised control at the same rank</w:t>
      </w:r>
    </w:p>
    <w:p>
      <w:pPr>
        <w:pStyle w:val="FirstParagraph"/>
      </w:pPr>
      <w:r>
        <w:t xml:space="preserve">The matched-rank comparison in the main text uses Lee multiplicative NMF</w:t>
      </w:r>
      <w:r>
        <w:t xml:space="preserve"> </w:t>
      </w:r>
      <w:r>
        <w:t xml:space="preserve">(</w:t>
      </w:r>
      <w:r>
        <w:rPr>
          <w:rStyle w:val="VerbatimChar"/>
        </w:rPr>
        <w:t xml:space="preserve">NMF::nmf</w:t>
      </w:r>
      <w:r>
        <w:t xml:space="preserve"> </w:t>
      </w:r>
      <w:r>
        <w:t xml:space="preserve">with</w:t>
      </w:r>
      <w:r>
        <w:t xml:space="preserve"> </w:t>
      </w:r>
      <w:r>
        <w:rPr>
          <w:rStyle w:val="VerbatimChar"/>
        </w:rPr>
        <w:t xml:space="preserve">nrun = 30</w:t>
      </w:r>
      <w:r>
        <w:t xml:space="preserve">, which returns the single run of the</w:t>
      </w:r>
      <w:r>
        <w:t xml:space="preserve"> </w:t>
      </w:r>
      <w:r>
        <w:t xml:space="preserve">thirty with the lowest reconstruction residual), which</w:t>
      </w:r>
      <w:r>
        <w:t xml:space="preserve"> </w:t>
      </w:r>
      <w:r>
        <w:t xml:space="preserve">receives neither DeSurv’s consensus initialization nor its hyperparameter</w:t>
      </w:r>
      <w:r>
        <w:t xml:space="preserve"> </w:t>
      </w:r>
      <w:r>
        <w:t xml:space="preserve">tuning. That asymmetry leaves open whether the difference in factor structure reflects</w:t>
      </w:r>
      <w:r>
        <w:t xml:space="preserve"> </w:t>
      </w:r>
      <w:r>
        <w:t xml:space="preserve">tuning effort rather than supervision. We therefore fit an unsupervised factorization control matched to DeSurv on rank, optimizer, search budget, gene filter, cross-validation folds, consensus procedure and stopping settings. With</w:t>
      </w:r>
      <w:r>
        <w:t xml:space="preserve"> </w:t>
      </w:r>
      <m:oMath>
        <m:r>
          <m:t>α</m:t>
        </m:r>
      </m:oMath>
      <w:r>
        <w:t xml:space="preserve"> </w:t>
      </w:r>
      <w:r>
        <w:t xml:space="preserve">fixed at</w:t>
      </w:r>
      <w:r>
        <w:t xml:space="preserve"> </w:t>
      </w:r>
      <m:oMath>
        <m:r>
          <m:t>0</m:t>
        </m:r>
      </m:oMath>
      <w:r>
        <w:t xml:space="preserve"> </w:t>
      </w:r>
      <w:r>
        <w:t xml:space="preserve">and the rank fixed at DeSurv’s selected</w:t>
      </w:r>
      <w:r>
        <w:t xml:space="preserve"> </w:t>
      </w:r>
      <m:oMath>
        <m:r>
          <m:t>k</m:t>
        </m:r>
        <m:r>
          <m:rPr>
            <m:sty m:val="p"/>
          </m:rPr>
          <m:t>=</m:t>
        </m:r>
        <m:r>
          <m:t>3</m:t>
        </m:r>
      </m:oMath>
      <w:r>
        <w:t xml:space="preserve">, the remaining hyperparameters were re-optimized within this otherwise identical pipeline, and the resulting model was fit by the same 100-restart consensus procedure used for DeSurv. This comparison isolates removal of survival supervision at the pipeline level rather than holding all non-supervision hyperparameters numerically fixed; the sensitivity analysis below holds DeSurv’s</w:t>
      </w:r>
      <w:r>
        <w:t xml:space="preserve"> </w:t>
      </w:r>
      <m:oMath>
        <m:r>
          <m:t>λ</m:t>
        </m:r>
      </m:oMath>
      <w:r>
        <w:t xml:space="preserve">,</w:t>
      </w:r>
      <w:r>
        <w:t xml:space="preserve"> </w:t>
      </w:r>
      <m:oMath>
        <m:r>
          <m:t>ξ</m:t>
        </m:r>
      </m:oMath>
      <w:r>
        <w:t xml:space="preserve"> </w:t>
      </w:r>
      <w:r>
        <w:t xml:space="preserve">and</w:t>
      </w:r>
      <w:r>
        <w:t xml:space="preserve"> </w:t>
      </w:r>
      <m:oMath>
        <m:sSub>
          <m:e>
            <m:r>
              <m:t>n</m:t>
            </m:r>
          </m:e>
          <m:sub>
            <m:r>
              <m:rPr>
                <m:nor/>
                <m:sty m:val="p"/>
              </m:rPr>
              <m:t>top</m:t>
            </m:r>
          </m:sub>
        </m:sSub>
      </m:oMath>
      <w:r>
        <w:t xml:space="preserve"> </w:t>
      </w:r>
      <w:r>
        <w:t xml:space="preserve">fixed and varies only</w:t>
      </w:r>
      <w:r>
        <w:t xml:space="preserve"> </w:t>
      </w:r>
      <m:oMath>
        <m:r>
          <m:t>α</m:t>
        </m:r>
      </m:oMath>
      <w:r>
        <w:t xml:space="preserve">. Because both</w:t>
      </w:r>
      <w:r>
        <w:t xml:space="preserve"> </w:t>
      </w:r>
      <m:oMath>
        <m:r>
          <m:t>α</m:t>
        </m:r>
        <m:r>
          <m:rPr>
            <m:sty m:val="p"/>
          </m:rPr>
          <m:t>=</m:t>
        </m:r>
        <m:r>
          <m:t>0</m:t>
        </m:r>
      </m:oMath>
      <w:r>
        <w:t xml:space="preserve"> </w:t>
      </w:r>
      <w:r>
        <w:t xml:space="preserve">controls are fit by the DeSurv optimizer, they share its stopping settings (tolerance</w:t>
      </w:r>
      <w:r>
        <w:t xml:space="preserve"> </w:t>
      </w:r>
      <m:oMath>
        <m:sSup>
          <m:e>
            <m:r>
              <m:t>10</m:t>
            </m:r>
          </m:e>
          <m:sup>
            <m:r>
              <m:rPr>
                <m:sty m:val="p"/>
              </m:rPr>
              <m:t>−</m:t>
            </m:r>
            <m:r>
              <m:t>7</m:t>
            </m:r>
          </m:sup>
        </m:sSup>
      </m:oMath>
      <w:r>
        <w:t xml:space="preserve"> </w:t>
      </w:r>
      <w:r>
        <w:t xml:space="preserve">on the cosine change of</w:t>
      </w:r>
      <w:r>
        <w:t xml:space="preserve"> </w:t>
      </w:r>
      <m:oMath>
        <m:r>
          <m:t>W</m:t>
        </m:r>
      </m:oMath>
      <w:r>
        <w:t xml:space="preserve"> </w:t>
      </w:r>
      <w:r>
        <w:t xml:space="preserve">and of</w:t>
      </w:r>
      <w:r>
        <w:t xml:space="preserve"> </w:t>
      </w:r>
      <m:oMath>
        <m:r>
          <m:t>H</m:t>
        </m:r>
      </m:oMath>
      <w:r>
        <w:t xml:space="preserve">, at most 4,000 outer iterations), whereas</w:t>
      </w:r>
      <w:r>
        <w:t xml:space="preserve"> </w:t>
      </w:r>
      <w:r>
        <w:rPr>
          <w:rStyle w:val="VerbatimChar"/>
        </w:rPr>
        <w:t xml:space="preserve">NMF::nmf</w:t>
      </w:r>
      <w:r>
        <w:t xml:space="preserve"> </w:t>
      </w:r>
      <w:r>
        <w:t xml:space="preserve">stops on its own connectivity-based stationarity criterion (40 consecutive checks without a change in the connectivity matrix) under a</w:t>
      </w:r>
      <w:r>
        <w:t xml:space="preserve"> </w:t>
      </w:r>
      <m:oMath>
        <m:r>
          <m:t>2</m:t>
        </m:r>
        <m:r>
          <m:rPr>
            <m:sty m:val="p"/>
          </m:rPr>
          <m:t>,</m:t>
        </m:r>
        <m:r>
          <m:t>000</m:t>
        </m:r>
      </m:oMath>
      <w:r>
        <w:t xml:space="preserve">-iteration cap.</w:t>
      </w:r>
    </w:p>
    <w:p>
      <w:pPr>
        <w:pStyle w:val="BodyText"/>
      </w:pPr>
      <w:r>
        <w:t xml:space="preserve">The control</w:t>
      </w:r>
      <w:r>
        <w:t xml:space="preserve"> </w:t>
      </w:r>
      <w:r>
        <w:t xml:space="preserve">selected</w:t>
      </w:r>
      <w:r>
        <w:t xml:space="preserve"> </w:t>
      </w:r>
      <m:oMath>
        <m:r>
          <m:t>λ</m:t>
        </m:r>
        <m:r>
          <m:rPr>
            <m:sty m:val="p"/>
          </m:rPr>
          <m:t>=</m:t>
        </m:r>
        <m:r>
          <m:t>0.0025</m:t>
        </m:r>
      </m:oMath>
      <w:r>
        <w:t xml:space="preserve">,</w:t>
      </w:r>
      <w:r>
        <w:t xml:space="preserve"> </w:t>
      </w:r>
      <m:oMath>
        <m:r>
          <m:t>ξ</m:t>
        </m:r>
        <m:r>
          <m:rPr>
            <m:sty m:val="p"/>
          </m:rPr>
          <m:t>=</m:t>
        </m:r>
        <m:r>
          <m:t>0.0566</m:t>
        </m:r>
      </m:oMath>
      <w:r>
        <w:t xml:space="preserve"> </w:t>
      </w:r>
      <w:r>
        <w:t xml:space="preserve">and</w:t>
      </w:r>
      <w:r>
        <w:t xml:space="preserve"> </w:t>
      </w:r>
      <m:oMath>
        <m:sSub>
          <m:e>
            <m:r>
              <m:t>n</m:t>
            </m:r>
          </m:e>
          <m:sub>
            <m:r>
              <m:rPr>
                <m:nor/>
                <m:sty m:val="p"/>
              </m:rPr>
              <m:t>top</m:t>
            </m:r>
          </m:sub>
        </m:sSub>
        <m:r>
          <m:rPr>
            <m:sty m:val="p"/>
          </m:rPr>
          <m:t>=</m:t>
        </m:r>
        <m:r>
          <m:t>299</m:t>
        </m:r>
      </m:oMath>
      <w:r>
        <w:t xml:space="preserve">; note</w:t>
      </w:r>
      <w:r>
        <w:t xml:space="preserve"> </w:t>
      </w:r>
      <w:r>
        <w:t xml:space="preserve">that its gene support was selected near the upper bound of the search range (</w:t>
      </w:r>
      <m:oMath>
        <m:r>
          <m:t>300</m:t>
        </m:r>
      </m:oMath>
      <w:r>
        <w:t xml:space="preserve">), whereas the supervised model settled at</w:t>
      </w:r>
      <w:r>
        <w:t xml:space="preserve"> </w:t>
      </w:r>
      <m:oMath>
        <m:sSub>
          <m:e>
            <m:r>
              <m:t>n</m:t>
            </m:r>
          </m:e>
          <m:sub>
            <m:r>
              <m:rPr>
                <m:nor/>
                <m:sty m:val="p"/>
              </m:rPr>
              <m:t>top</m:t>
            </m:r>
          </m:sub>
        </m:sSub>
        <m:r>
          <m:rPr>
            <m:sty m:val="p"/>
          </m:rPr>
          <m:t>=</m:t>
        </m:r>
        <m:r>
          <m:t>270</m:t>
        </m:r>
      </m:oMath>
      <w:r>
        <w:t xml:space="preserve"> </w:t>
      </w:r>
      <w:r>
        <w:t xml:space="preserve">well inside it. At</w:t>
      </w:r>
      <w:r>
        <w:t xml:space="preserve"> </w:t>
      </w:r>
      <m:oMath>
        <m:r>
          <m:t>α</m:t>
        </m:r>
        <m:r>
          <m:rPr>
            <m:sty m:val="p"/>
          </m:rPr>
          <m:t>=</m:t>
        </m:r>
        <m:r>
          <m:t>0</m:t>
        </m:r>
      </m:oMath>
      <w:r>
        <w:t xml:space="preserve">,</w:t>
      </w:r>
      <w:r>
        <w:t xml:space="preserve"> </w:t>
      </w:r>
      <m:oMath>
        <m:r>
          <m:t>λ</m:t>
        </m:r>
      </m:oMath>
      <w:r>
        <w:t xml:space="preserve"> </w:t>
      </w:r>
      <w:r>
        <w:t xml:space="preserve">and</w:t>
      </w:r>
      <w:r>
        <w:t xml:space="preserve"> </w:t>
      </w:r>
      <m:oMath>
        <m:r>
          <m:t>ξ</m:t>
        </m:r>
      </m:oMath>
      <w:r>
        <w:t xml:space="preserve"> </w:t>
      </w:r>
      <w:r>
        <w:t xml:space="preserve">govern the post hoc Cox fit rather than entering the factorization</w:t>
      </w:r>
      <w:r>
        <w:t xml:space="preserve"> </w:t>
      </w:r>
      <w:r>
        <w:t xml:space="preserve">objective. These are tuning-selected values and not the values used for external</w:t>
      </w:r>
      <w:r>
        <w:t xml:space="preserve"> </w:t>
      </w:r>
      <w:r>
        <w:t xml:space="preserve">scoring. Both</w:t>
      </w:r>
      <w:r>
        <w:t xml:space="preserve"> </w:t>
      </w:r>
      <m:oMath>
        <m:r>
          <m:t>α</m:t>
        </m:r>
        <m:r>
          <m:rPr>
            <m:sty m:val="p"/>
          </m:rPr>
          <m:t>=</m:t>
        </m:r>
        <m:r>
          <m:t>0</m:t>
        </m:r>
      </m:oMath>
      <w:r>
        <w:t xml:space="preserve"> </w:t>
      </w:r>
      <w:r>
        <w:t xml:space="preserve">controls were scored on the union of their own</w:t>
      </w:r>
      <w:r>
        <w:t xml:space="preserve"> </w:t>
      </w:r>
      <w:r>
        <w:t xml:space="preserve">factors’ top-gene sets at the supervised model’s common</w:t>
      </w:r>
      <w:r>
        <w:t xml:space="preserve"> </w:t>
      </w:r>
      <m:oMath>
        <m:sSub>
          <m:e>
            <m:r>
              <m:t>n</m:t>
            </m:r>
          </m:e>
          <m:sub>
            <m:r>
              <m:rPr>
                <m:nor/>
                <m:sty m:val="p"/>
              </m:rPr>
              <m:t>top</m:t>
            </m:r>
          </m:sub>
        </m:sSub>
        <m:r>
          <m:rPr>
            <m:sty m:val="p"/>
          </m:rPr>
          <m:t>=</m:t>
        </m:r>
        <m:r>
          <m:t>270</m:t>
        </m:r>
      </m:oMath>
      <w:r>
        <w:t xml:space="preserve"> </w:t>
      </w:r>
      <w:r>
        <w:t xml:space="preserve">rather than at their own tuned</w:t>
      </w:r>
      <w:r>
        <w:t xml:space="preserve"> </w:t>
      </w:r>
      <m:oMath>
        <m:r>
          <m:t>299</m:t>
        </m:r>
      </m:oMath>
      <w:r>
        <w:t xml:space="preserve"> </w:t>
      </w:r>
      <w:r>
        <w:t xml:space="preserve">(this control) and</w:t>
      </w:r>
      <w:r>
        <w:t xml:space="preserve"> </w:t>
      </w:r>
      <m:oMath>
        <m:r>
          <m:t>187</m:t>
        </m:r>
      </m:oMath>
      <w:r>
        <w:t xml:space="preserve"> </w:t>
      </w:r>
      <w:r>
        <w:t xml:space="preserve">(the rank-optimized</w:t>
      </w:r>
      <w:r>
        <w:t xml:space="preserve"> </w:t>
      </w:r>
      <m:oMath>
        <m:r>
          <m:t>k</m:t>
        </m:r>
        <m:r>
          <m:rPr>
            <m:sty m:val="p"/>
          </m:rPr>
          <m:t>=</m:t>
        </m:r>
        <m:r>
          <m:t>7</m:t>
        </m:r>
      </m:oMath>
      <w:r>
        <w:t xml:space="preserve"> </w:t>
      </w:r>
      <w:r>
        <w:t xml:space="preserve">control), so the primary factorization comparison used a common number of top</w:t>
      </w:r>
      <w:r>
        <w:t xml:space="preserve"> </w:t>
      </w:r>
      <w:r>
        <w:t xml:space="preserve">genes per program when constructing each model’s scoring union; total union size</w:t>
      </w:r>
      <w:r>
        <w:t xml:space="preserve"> </w:t>
      </w:r>
      <w:r>
        <w:t xml:space="preserve">can still differ with rank and overlap among programs. Scoring this control at</w:t>
      </w:r>
      <w:r>
        <w:t xml:space="preserve"> </w:t>
      </w:r>
      <w:r>
        <w:t xml:space="preserve">its own tuned value instead changes no per-dataset C-index by more than</w:t>
      </w:r>
      <w:r>
        <w:t xml:space="preserve"> </w:t>
      </w:r>
      <w:r>
        <w:t xml:space="preserve">0.007 (Supplementary Table</w:t>
      </w:r>
      <w:r>
        <w:t xml:space="preserve"> </w:t>
      </w:r>
      <w:r>
        <w:t xml:space="preserve">[tab:tab-cindex-comparison]).</w:t>
      </w:r>
    </w:p>
    <w:p>
      <w:pPr>
        <w:pStyle w:val="BodyText"/>
      </w:pPr>
      <w:r>
        <w:t xml:space="preserve">The control does not recover D1. Its best-matching factor reaches Spearman</w:t>
      </w:r>
      <w:r>
        <w:t xml:space="preserve"> </w:t>
      </w:r>
      <m:oMath>
        <m:r>
          <m:t>ρ</m:t>
        </m:r>
        <m:r>
          <m:rPr>
            <m:sty m:val="p"/>
          </m:rPr>
          <m:t>=</m:t>
        </m:r>
        <m:r>
          <m:t>0.24</m:t>
        </m:r>
      </m:oMath>
      <w:r>
        <w:t xml:space="preserve"> </w:t>
      </w:r>
      <w:r>
        <w:t xml:space="preserve">against D1, slightly lower than the</w:t>
      </w:r>
      <w:r>
        <w:t xml:space="preserve"> </w:t>
      </w:r>
      <m:oMath>
        <m:r>
          <m:t>ρ</m:t>
        </m:r>
        <m:r>
          <m:rPr>
            <m:sty m:val="p"/>
          </m:rPr>
          <m:t>=</m:t>
        </m:r>
        <m:r>
          <m:t>0.36</m:t>
        </m:r>
      </m:oMath>
      <w:r>
        <w:t xml:space="preserve"> </w:t>
      </w:r>
      <w:r>
        <w:t xml:space="preserve">attained by</w:t>
      </w:r>
      <w:r>
        <w:t xml:space="preserve"> </w:t>
      </w:r>
      <w:r>
        <w:rPr>
          <w:rStyle w:val="VerbatimChar"/>
        </w:rPr>
        <w:t xml:space="preserve">NMF::nmf</w:t>
      </w:r>
      <w:r>
        <w:t xml:space="preserve"> </w:t>
      </w:r>
      <w:r>
        <w:t xml:space="preserve">at the</w:t>
      </w:r>
      <w:r>
        <w:t xml:space="preserve"> </w:t>
      </w:r>
      <w:r>
        <w:t xml:space="preserve">same rank, while still recovering D2</w:t>
      </w:r>
      <w:r>
        <w:t xml:space="preserve"> </w:t>
      </w:r>
      <w:r>
        <w:t xml:space="preserve">(</w:t>
      </w:r>
      <m:oMath>
        <m:r>
          <m:t>ρ</m:t>
        </m:r>
        <m:r>
          <m:rPr>
            <m:sty m:val="p"/>
          </m:rPr>
          <m:t>=</m:t>
        </m:r>
        <m:r>
          <m:t>0.86</m:t>
        </m:r>
      </m:oMath>
      <w:r>
        <w:t xml:space="preserve">) and D3</w:t>
      </w:r>
      <w:r>
        <w:t xml:space="preserve"> </w:t>
      </w:r>
      <w:r>
        <w:t xml:space="preserve">(</w:t>
      </w:r>
      <m:oMath>
        <m:r>
          <m:t>ρ</m:t>
        </m:r>
        <m:r>
          <m:rPr>
            <m:sty m:val="p"/>
          </m:rPr>
          <m:t>=</m:t>
        </m:r>
        <m:r>
          <m:t>0.75</m:t>
        </m:r>
      </m:oMath>
      <w:r>
        <w:t xml:space="preserve">). Its external discrimination is</w:t>
      </w:r>
      <w:r>
        <w:t xml:space="preserve"> </w:t>
      </w:r>
      <w:r>
        <w:t xml:space="preserve">likewise no better than</w:t>
      </w:r>
      <w:r>
        <w:t xml:space="preserve"> </w:t>
      </w:r>
      <w:r>
        <w:rPr>
          <w:rStyle w:val="VerbatimChar"/>
        </w:rPr>
        <w:t xml:space="preserve">NMF::nmf</w:t>
      </w:r>
      <w:r>
        <w:t xml:space="preserve"> </w:t>
      </w:r>
      <w:r>
        <w:t xml:space="preserve">at</w:t>
      </w:r>
      <w:r>
        <w:t xml:space="preserve"> </w:t>
      </w:r>
      <m:oMath>
        <m:r>
          <m:t>k</m:t>
        </m:r>
        <m:r>
          <m:rPr>
            <m:sty m:val="p"/>
          </m:rPr>
          <m:t>=</m:t>
        </m:r>
        <m:r>
          <m:t>3</m:t>
        </m:r>
      </m:oMath>
      <w:r>
        <w:t xml:space="preserve"> </w:t>
      </w:r>
      <w:r>
        <w:t xml:space="preserve">(Table [tab:tab-cindex-comparison]). A sensitivity analysis holding the</w:t>
      </w:r>
      <w:r>
        <w:t xml:space="preserve"> </w:t>
      </w:r>
      <w:r>
        <w:t xml:space="preserve">supervised model’s own</w:t>
      </w:r>
      <w:r>
        <w:t xml:space="preserve"> </w:t>
      </w:r>
      <m:oMath>
        <m:r>
          <m:t>λ</m:t>
        </m:r>
      </m:oMath>
      <w:r>
        <w:t xml:space="preserve">,</w:t>
      </w:r>
      <w:r>
        <w:t xml:space="preserve"> </w:t>
      </w:r>
      <m:oMath>
        <m:r>
          <m:t>ξ</m:t>
        </m:r>
      </m:oMath>
      <w:r>
        <w:t xml:space="preserve"> </w:t>
      </w:r>
      <w:r>
        <w:t xml:space="preserve">and</w:t>
      </w:r>
      <w:r>
        <w:t xml:space="preserve"> </w:t>
      </w:r>
      <m:oMath>
        <m:sSub>
          <m:e>
            <m:r>
              <m:t>n</m:t>
            </m:r>
          </m:e>
          <m:sub>
            <m:r>
              <m:rPr>
                <m:nor/>
                <m:sty m:val="p"/>
              </m:rPr>
              <m:t>top</m:t>
            </m:r>
          </m:sub>
        </m:sSub>
      </m:oMath>
      <w:r>
        <w:t xml:space="preserve"> </w:t>
      </w:r>
      <w:r>
        <w:t xml:space="preserve">fixed and varying</w:t>
      </w:r>
      <w:r>
        <w:t xml:space="preserve"> </w:t>
      </w:r>
      <w:r>
        <w:t xml:space="preserve">only</w:t>
      </w:r>
      <w:r>
        <w:t xml:space="preserve"> </w:t>
      </w:r>
      <m:oMath>
        <m:r>
          <m:t>α</m:t>
        </m:r>
      </m:oMath>
      <w:r>
        <w:t xml:space="preserve"> </w:t>
      </w:r>
      <w:r>
        <w:t xml:space="preserve">gave the same conclusion. Matching the tuning budget therefore does not close the representational gap, supporting survival supervision rather than tuning effort alone as the source of the reorganization reported in the main text.</w:t>
      </w:r>
    </w:p>
    <w:p>
      <w:pPr>
        <w:pStyle w:val="BodyText"/>
      </w:pPr>
      <w:r>
        <w:t xml:space="preserve">standard NMF at elbow-selected</w:t>
      </w:r>
      <w:r>
        <w:t xml:space="preserve"> </w:t>
      </w:r>
      <m:oMath>
        <m:r>
          <m:t>k</m:t>
        </m:r>
        <m:r>
          <m:rPr>
            <m:sty m:val="p"/>
          </m:rPr>
          <m:t>=</m:t>
        </m:r>
        <m:r>
          <m:t>5</m:t>
        </m:r>
      </m:oMath>
      <w:r>
        <w:t xml:space="preserve"> </w:t>
      </w:r>
      <w:r>
        <w:t xml:space="preserve">and the rank-optimized unsupervised control at</w:t>
      </w:r>
      <w:r>
        <w:t xml:space="preserve"> </w:t>
      </w:r>
      <m:oMath>
        <m:r>
          <m:t>k</m:t>
        </m:r>
        <m:r>
          <m:rPr>
            <m:sty m:val="p"/>
          </m:rPr>
          <m:t>=</m:t>
        </m:r>
        <m:r>
          <m:t>7</m:t>
        </m:r>
      </m:oMath>
      <w:r>
        <w:t xml:space="preserve"> </w:t>
      </w:r>
      <w:r>
        <w:t xml:space="preserve">both substantially improve over standard NMF at</w:t>
      </w:r>
      <w:r>
        <w:t xml:space="preserve"> </w:t>
      </w:r>
      <m:oMath>
        <m:r>
          <m:t>k</m:t>
        </m:r>
        <m:r>
          <m:rPr>
            <m:sty m:val="p"/>
          </m:rPr>
          <m:t>=</m:t>
        </m:r>
        <m:r>
          <m:t>3</m:t>
        </m:r>
      </m:oMath>
      <w:r>
        <w:t xml:space="preserve"> </w:t>
      </w:r>
      <w:r>
        <w:t xml:space="preserve">across all cohorts (Table [tab:tab-cindex-comparison]); additional unsupervised factors capture prognostically relevant variation missed at the matched rank. At</w:t>
      </w:r>
      <w:r>
        <w:t xml:space="preserve"> </w:t>
      </w:r>
      <m:oMath>
        <m:r>
          <m:t>k</m:t>
        </m:r>
        <m:r>
          <m:rPr>
            <m:sty m:val="p"/>
          </m:rPr>
          <m:t>=</m:t>
        </m:r>
        <m:r>
          <m:t>7</m:t>
        </m:r>
      </m:oMath>
      <w:r>
        <w:t xml:space="preserve">, the rank-optimized control exceeds DeSurv’s C-index in all five validation datasets, so unsupervised factorization given more factors discriminates at least as well as the supervised three-program model. The comparison also differs in representation size: the</w:t>
      </w:r>
      <w:r>
        <w:t xml:space="preserve"> </w:t>
      </w:r>
      <m:oMath>
        <m:r>
          <m:t>k</m:t>
        </m:r>
        <m:r>
          <m:rPr>
            <m:sty m:val="p"/>
          </m:rPr>
          <m:t>=</m:t>
        </m:r>
        <m:r>
          <m:t>7</m:t>
        </m:r>
      </m:oMath>
      <w:r>
        <w:t xml:space="preserve"> </w:t>
      </w:r>
      <w:r>
        <w:t xml:space="preserve">control represents a broader set of established programs across seven factors (Fig. [fig:fig-nmf-k7-heatmap]; Supplementary Fig. [fig:fig-rpm]) rather than concentrating the prognostic signal in three programs. Both the</w:t>
      </w:r>
      <w:r>
        <w:t xml:space="preserve"> </w:t>
      </w:r>
      <m:oMath>
        <m:r>
          <m:t>k</m:t>
        </m:r>
        <m:r>
          <m:rPr>
            <m:sty m:val="p"/>
          </m:rPr>
          <m:t>=</m:t>
        </m:r>
        <m:r>
          <m:t>7</m:t>
        </m:r>
      </m:oMath>
      <w:r>
        <w:t xml:space="preserve"> </w:t>
      </w:r>
      <w:r>
        <w:t xml:space="preserve">control and the DeSurv linear predictor retain significant prognostic value after adjustment for established classifiers (main-text Table [tab:hr-adjusted]); DeSurv does so with fewer factors. Both models selected their rank by the same one-standard-error rule applied to their own Bayesian-optimization results; seven is the smallest rank at which the</w:t>
      </w:r>
      <w:r>
        <w:t xml:space="preserve"> </w:t>
      </w:r>
      <m:oMath>
        <m:r>
          <m:t>α</m:t>
        </m:r>
        <m:r>
          <m:rPr>
            <m:sty m:val="p"/>
          </m:rPr>
          <m:t>=</m:t>
        </m:r>
        <m:r>
          <m:t>0</m:t>
        </m:r>
      </m:oMath>
      <w:r>
        <w:t xml:space="preserve"> </w:t>
      </w:r>
      <w:r>
        <w:t xml:space="preserve">search came within one standard error of its best configuration (which had rank 11), not a general minimum rank for unsupervised recovery of comparable prognostic information.</w:t>
      </w:r>
    </w:p>
    <w:bookmarkEnd w:id="78"/>
    <w:bookmarkEnd w:id="79"/>
    <w:bookmarkStart w:id="80" w:name="Xdd472bc821fe0f6c222341637be91ad6e9ddaaf"/>
    <w:p>
      <w:pPr>
        <w:pStyle w:val="Heading1"/>
      </w:pPr>
      <w:r>
        <w:t xml:space="preserve">Supplementary Data: factor-specific gene lists</w:t>
      </w:r>
    </w:p>
    <w:p>
      <w:pPr>
        <w:pStyle w:val="FirstParagraph"/>
      </w:pPr>
      <w:r>
        <w:t xml:space="preserve">As Supplementary Data, Tables [tab:gene-list-270-D1]–[tab:gene-list-270-D3] list the top 270 genes for each of the three DeSurv factors, ranked by the factor specificity score</w:t>
      </w:r>
      <w:r>
        <w:t xml:space="preserve"> </w:t>
      </w:r>
      <m:oMath>
        <m:sSub>
          <m:e>
            <m:r>
              <m:t>s</m:t>
            </m:r>
          </m:e>
          <m:sub>
            <m:r>
              <m:t>i</m:t>
            </m:r>
            <m:r>
              <m:t>j</m:t>
            </m:r>
          </m:sub>
        </m:sSub>
      </m:oMath>
      <w:r>
        <w:t xml:space="preserve"> </w:t>
      </w:r>
      <w:r>
        <w:t xml:space="preserve">defined in Supplementary Information, Section [sec:gene-program-correlation]. The 270-gene cutoff corresponds to the Bayesian optimization–selected projection dimension (</w:t>
      </w:r>
      <m:oMath>
        <m:sSub>
          <m:e>
            <m:r>
              <m:t>n</m:t>
            </m:r>
          </m:e>
          <m:sub>
            <m:r>
              <m:rPr>
                <m:nor/>
                <m:sty m:val="p"/>
              </m:rPr>
              <m:t>top</m:t>
            </m:r>
          </m:sub>
        </m:sSub>
        <m:r>
          <m:rPr>
            <m:sty m:val="p"/>
          </m:rPr>
          <m:t>=</m:t>
        </m:r>
        <m:r>
          <m:t>270</m:t>
        </m:r>
      </m:oMath>
      <w:r>
        <w:t xml:space="preserve">); these are the genes used to compute sample-level factor scores for survival prediction.</w:t>
      </w:r>
    </w:p>
    <w:p>
      <w:pPr>
        <w:pStyle w:val="BodyText"/>
      </w:pPr>
      <w:r>
        <w:t xml:space="preserve">Gene symbols in these tables are retained as distributed with the source expression matrices compiled for the training and validation cohorts (Section 6) and were not updated to current HGNC nomenclature; several therefore appear under previous symbols (for example SEPT11, WISP1, CYR61 and H1F0). Because the analysis set was selected for high mean expression as well as high variance, abundantly expressed ribosomal-protein and housekeeping genes are eligible for the factor supports, and some appear among the D2 and D3 defining genes (for example RPS26 and RPS28 in D2; RPS16, RPS21, RPL28 and GAPDH in D3); they enter the supports through the factor-specificity ranking and are not excluded post hoc. In the fitted model, each factor had at least</w:t>
      </w:r>
      <w:r>
        <w:t xml:space="preserve"> </w:t>
      </w:r>
      <m:oMath>
        <m:r>
          <m:t>270</m:t>
        </m:r>
      </m:oMath>
      <w:r>
        <w:t xml:space="preserve"> </w:t>
      </w:r>
      <w:r>
        <w:t xml:space="preserve">genes with positive factor specificity (284, 401, 1,285 for D1, D2 and D3). Because this specificity can be positive for at most one factor, the three top-</w:t>
      </w:r>
      <m:oMath>
        <m:r>
          <m:t>270</m:t>
        </m:r>
      </m:oMath>
      <w:r>
        <w:t xml:space="preserve"> </w:t>
      </w:r>
      <w:r>
        <w:t xml:space="preserve">sets were disjoint, yielding an 810-gene projection support. Factor D1 is enriched for classical tumor and restCAF-like stromal genes, Factor D2 for proCAF-associated stromal genes, and Factor D3 for basal-like tumor genes.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rPr>
                <w:bCs/>
                <w:b/>
              </w:rPr>
              <w:t xml:space="preserve">Factor D1 (classical tumor + restCAF-like stroma)</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1–45</w:t>
            </w:r>
          </w:p>
        </w:tc>
        <w:tc>
          <w:tcPr/>
          <w:p>
            <w:pPr>
              <w:pStyle w:val="Compact"/>
              <w:jc w:val="left"/>
            </w:pPr>
            <w:r>
              <w:t xml:space="preserve">46–90</w:t>
            </w:r>
          </w:p>
        </w:tc>
        <w:tc>
          <w:tcPr/>
          <w:p>
            <w:pPr>
              <w:pStyle w:val="Compact"/>
              <w:jc w:val="left"/>
            </w:pPr>
            <w:r>
              <w:t xml:space="preserve">91–135</w:t>
            </w:r>
          </w:p>
        </w:tc>
        <w:tc>
          <w:tcPr/>
          <w:p>
            <w:pPr>
              <w:pStyle w:val="Compact"/>
              <w:jc w:val="left"/>
            </w:pPr>
            <w:r>
              <w:t xml:space="preserve">136–180</w:t>
            </w:r>
          </w:p>
        </w:tc>
        <w:tc>
          <w:tcPr/>
          <w:p>
            <w:pPr>
              <w:pStyle w:val="Compact"/>
              <w:jc w:val="left"/>
            </w:pPr>
            <w:r>
              <w:t xml:space="preserve">181–225</w:t>
            </w:r>
          </w:p>
        </w:tc>
        <w:tc>
          <w:tcPr/>
          <w:p>
            <w:pPr>
              <w:pStyle w:val="Compact"/>
              <w:jc w:val="left"/>
            </w:pPr>
            <w:r>
              <w:t xml:space="preserve">226–270</w:t>
            </w:r>
          </w:p>
        </w:tc>
      </w:tr>
      <w:tr>
        <w:tc>
          <w:tcPr/>
          <w:p>
            <w:pPr>
              <w:pStyle w:val="Compact"/>
              <w:jc w:val="left"/>
            </w:pPr>
            <w:r>
              <w:t xml:space="preserve">DMBT1</w:t>
            </w:r>
          </w:p>
        </w:tc>
        <w:tc>
          <w:tcPr/>
          <w:p>
            <w:pPr>
              <w:pStyle w:val="Compact"/>
              <w:jc w:val="left"/>
            </w:pPr>
            <w:r>
              <w:t xml:space="preserve">FGFR2</w:t>
            </w:r>
          </w:p>
        </w:tc>
        <w:tc>
          <w:tcPr/>
          <w:p>
            <w:pPr>
              <w:pStyle w:val="Compact"/>
              <w:jc w:val="left"/>
            </w:pPr>
            <w:r>
              <w:t xml:space="preserve">GOLGA8A</w:t>
            </w:r>
          </w:p>
        </w:tc>
        <w:tc>
          <w:tcPr/>
          <w:p>
            <w:pPr>
              <w:pStyle w:val="Compact"/>
              <w:jc w:val="left"/>
            </w:pPr>
            <w:r>
              <w:t xml:space="preserve">PTPRN2</w:t>
            </w:r>
          </w:p>
        </w:tc>
        <w:tc>
          <w:tcPr/>
          <w:p>
            <w:pPr>
              <w:pStyle w:val="Compact"/>
              <w:jc w:val="left"/>
            </w:pPr>
            <w:r>
              <w:t xml:space="preserve">RPL9</w:t>
            </w:r>
          </w:p>
        </w:tc>
        <w:tc>
          <w:tcPr/>
          <w:p>
            <w:pPr>
              <w:pStyle w:val="Compact"/>
              <w:jc w:val="left"/>
            </w:pPr>
            <w:r>
              <w:t xml:space="preserve">PPP1R12B</w:t>
            </w:r>
          </w:p>
        </w:tc>
      </w:tr>
      <w:tr>
        <w:tc>
          <w:tcPr/>
          <w:p>
            <w:pPr>
              <w:pStyle w:val="Compact"/>
              <w:jc w:val="left"/>
            </w:pPr>
            <w:r>
              <w:t xml:space="preserve">IGFBP2</w:t>
            </w:r>
          </w:p>
        </w:tc>
        <w:tc>
          <w:tcPr/>
          <w:p>
            <w:pPr>
              <w:pStyle w:val="Compact"/>
              <w:jc w:val="left"/>
            </w:pPr>
            <w:r>
              <w:t xml:space="preserve">COL9A2</w:t>
            </w:r>
          </w:p>
        </w:tc>
        <w:tc>
          <w:tcPr/>
          <w:p>
            <w:pPr>
              <w:pStyle w:val="Compact"/>
              <w:jc w:val="left"/>
            </w:pPr>
            <w:r>
              <w:t xml:space="preserve">IL2RG</w:t>
            </w:r>
          </w:p>
        </w:tc>
        <w:tc>
          <w:tcPr/>
          <w:p>
            <w:pPr>
              <w:pStyle w:val="Compact"/>
              <w:jc w:val="left"/>
            </w:pPr>
            <w:r>
              <w:t xml:space="preserve">FCGBP</w:t>
            </w:r>
          </w:p>
        </w:tc>
        <w:tc>
          <w:tcPr/>
          <w:p>
            <w:pPr>
              <w:pStyle w:val="Compact"/>
              <w:jc w:val="left"/>
            </w:pPr>
            <w:r>
              <w:t xml:space="preserve">CD79A</w:t>
            </w:r>
          </w:p>
        </w:tc>
        <w:tc>
          <w:tcPr/>
          <w:p>
            <w:pPr>
              <w:pStyle w:val="Compact"/>
              <w:jc w:val="left"/>
            </w:pPr>
            <w:r>
              <w:t xml:space="preserve">PIP5K1B</w:t>
            </w:r>
          </w:p>
        </w:tc>
      </w:tr>
      <w:tr>
        <w:tc>
          <w:tcPr/>
          <w:p>
            <w:pPr>
              <w:pStyle w:val="Compact"/>
              <w:jc w:val="left"/>
            </w:pPr>
            <w:r>
              <w:t xml:space="preserve">S100A4</w:t>
            </w:r>
          </w:p>
        </w:tc>
        <w:tc>
          <w:tcPr/>
          <w:p>
            <w:pPr>
              <w:pStyle w:val="Compact"/>
              <w:jc w:val="left"/>
            </w:pPr>
            <w:r>
              <w:t xml:space="preserve">COL22A1</w:t>
            </w:r>
          </w:p>
        </w:tc>
        <w:tc>
          <w:tcPr/>
          <w:p>
            <w:pPr>
              <w:pStyle w:val="Compact"/>
              <w:jc w:val="left"/>
            </w:pPr>
            <w:r>
              <w:t xml:space="preserve">KIAA1211</w:t>
            </w:r>
          </w:p>
        </w:tc>
        <w:tc>
          <w:tcPr/>
          <w:p>
            <w:pPr>
              <w:pStyle w:val="Compact"/>
              <w:jc w:val="left"/>
            </w:pPr>
            <w:r>
              <w:t xml:space="preserve">PLA2G2A</w:t>
            </w:r>
          </w:p>
        </w:tc>
        <w:tc>
          <w:tcPr/>
          <w:p>
            <w:pPr>
              <w:pStyle w:val="Compact"/>
              <w:jc w:val="left"/>
            </w:pPr>
            <w:r>
              <w:t xml:space="preserve">PROM1</w:t>
            </w:r>
          </w:p>
        </w:tc>
        <w:tc>
          <w:tcPr/>
          <w:p>
            <w:pPr>
              <w:pStyle w:val="Compact"/>
              <w:jc w:val="left"/>
            </w:pPr>
            <w:r>
              <w:t xml:space="preserve">AHCYL2</w:t>
            </w:r>
          </w:p>
        </w:tc>
      </w:tr>
      <w:tr>
        <w:tc>
          <w:tcPr/>
          <w:p>
            <w:pPr>
              <w:pStyle w:val="Compact"/>
              <w:jc w:val="left"/>
            </w:pPr>
            <w:r>
              <w:t xml:space="preserve">KRT23</w:t>
            </w:r>
          </w:p>
        </w:tc>
        <w:tc>
          <w:tcPr/>
          <w:p>
            <w:pPr>
              <w:pStyle w:val="Compact"/>
              <w:jc w:val="left"/>
            </w:pPr>
            <w:r>
              <w:t xml:space="preserve">IRF7</w:t>
            </w:r>
          </w:p>
        </w:tc>
        <w:tc>
          <w:tcPr/>
          <w:p>
            <w:pPr>
              <w:pStyle w:val="Compact"/>
              <w:jc w:val="left"/>
            </w:pPr>
            <w:r>
              <w:t xml:space="preserve">SFRP1</w:t>
            </w:r>
          </w:p>
        </w:tc>
        <w:tc>
          <w:tcPr/>
          <w:p>
            <w:pPr>
              <w:pStyle w:val="Compact"/>
              <w:jc w:val="left"/>
            </w:pPr>
            <w:r>
              <w:t xml:space="preserve">FABP4</w:t>
            </w:r>
          </w:p>
        </w:tc>
        <w:tc>
          <w:tcPr/>
          <w:p>
            <w:pPr>
              <w:pStyle w:val="Compact"/>
              <w:jc w:val="left"/>
            </w:pPr>
            <w:r>
              <w:t xml:space="preserve">SCD</w:t>
            </w:r>
          </w:p>
        </w:tc>
        <w:tc>
          <w:tcPr/>
          <w:p>
            <w:pPr>
              <w:pStyle w:val="Compact"/>
              <w:jc w:val="left"/>
            </w:pPr>
            <w:r>
              <w:t xml:space="preserve">SST</w:t>
            </w:r>
          </w:p>
        </w:tc>
      </w:tr>
      <w:tr>
        <w:tc>
          <w:tcPr/>
          <w:p>
            <w:pPr>
              <w:pStyle w:val="Compact"/>
              <w:jc w:val="left"/>
            </w:pPr>
            <w:r>
              <w:t xml:space="preserve">LIF</w:t>
            </w:r>
          </w:p>
        </w:tc>
        <w:tc>
          <w:tcPr/>
          <w:p>
            <w:pPr>
              <w:pStyle w:val="Compact"/>
              <w:jc w:val="left"/>
            </w:pPr>
            <w:r>
              <w:t xml:space="preserve">SBNO2</w:t>
            </w:r>
          </w:p>
        </w:tc>
        <w:tc>
          <w:tcPr/>
          <w:p>
            <w:pPr>
              <w:pStyle w:val="Compact"/>
              <w:jc w:val="left"/>
            </w:pPr>
            <w:r>
              <w:t xml:space="preserve">ADH1B</w:t>
            </w:r>
          </w:p>
        </w:tc>
        <w:tc>
          <w:tcPr/>
          <w:p>
            <w:pPr>
              <w:pStyle w:val="Compact"/>
              <w:jc w:val="left"/>
            </w:pPr>
            <w:r>
              <w:t xml:space="preserve">EPPK1</w:t>
            </w:r>
          </w:p>
        </w:tc>
        <w:tc>
          <w:tcPr/>
          <w:p>
            <w:pPr>
              <w:pStyle w:val="Compact"/>
              <w:jc w:val="left"/>
            </w:pPr>
            <w:r>
              <w:t xml:space="preserve">TMC5</w:t>
            </w:r>
          </w:p>
        </w:tc>
        <w:tc>
          <w:tcPr/>
          <w:p>
            <w:pPr>
              <w:pStyle w:val="Compact"/>
              <w:jc w:val="left"/>
            </w:pPr>
            <w:r>
              <w:t xml:space="preserve">CYP3A5</w:t>
            </w:r>
          </w:p>
        </w:tc>
      </w:tr>
      <w:tr>
        <w:tc>
          <w:tcPr/>
          <w:p>
            <w:pPr>
              <w:pStyle w:val="Compact"/>
              <w:jc w:val="left"/>
            </w:pPr>
            <w:r>
              <w:t xml:space="preserve">IFI6</w:t>
            </w:r>
          </w:p>
        </w:tc>
        <w:tc>
          <w:tcPr/>
          <w:p>
            <w:pPr>
              <w:pStyle w:val="Compact"/>
              <w:jc w:val="left"/>
            </w:pPr>
            <w:r>
              <w:t xml:space="preserve">MGAT3</w:t>
            </w:r>
          </w:p>
        </w:tc>
        <w:tc>
          <w:tcPr/>
          <w:p>
            <w:pPr>
              <w:pStyle w:val="Compact"/>
              <w:jc w:val="left"/>
            </w:pPr>
            <w:r>
              <w:t xml:space="preserve">MFSD2A</w:t>
            </w:r>
          </w:p>
        </w:tc>
        <w:tc>
          <w:tcPr/>
          <w:p>
            <w:pPr>
              <w:pStyle w:val="Compact"/>
              <w:jc w:val="left"/>
            </w:pPr>
            <w:r>
              <w:t xml:space="preserve">CPXM2</w:t>
            </w:r>
          </w:p>
        </w:tc>
        <w:tc>
          <w:tcPr/>
          <w:p>
            <w:pPr>
              <w:pStyle w:val="Compact"/>
              <w:jc w:val="left"/>
            </w:pPr>
            <w:r>
              <w:t xml:space="preserve">CCL14</w:t>
            </w:r>
          </w:p>
        </w:tc>
        <w:tc>
          <w:tcPr/>
          <w:p>
            <w:pPr>
              <w:pStyle w:val="Compact"/>
              <w:jc w:val="left"/>
            </w:pPr>
            <w:r>
              <w:t xml:space="preserve">SMAP2</w:t>
            </w:r>
          </w:p>
        </w:tc>
      </w:tr>
      <w:tr>
        <w:tc>
          <w:tcPr/>
          <w:p>
            <w:pPr>
              <w:pStyle w:val="Compact"/>
              <w:jc w:val="left"/>
            </w:pPr>
            <w:r>
              <w:t xml:space="preserve">PDLIM3</w:t>
            </w:r>
          </w:p>
        </w:tc>
        <w:tc>
          <w:tcPr/>
          <w:p>
            <w:pPr>
              <w:pStyle w:val="Compact"/>
              <w:jc w:val="left"/>
            </w:pPr>
            <w:r>
              <w:t xml:space="preserve">SYNM</w:t>
            </w:r>
          </w:p>
        </w:tc>
        <w:tc>
          <w:tcPr/>
          <w:p>
            <w:pPr>
              <w:pStyle w:val="Compact"/>
              <w:jc w:val="left"/>
            </w:pPr>
            <w:r>
              <w:t xml:space="preserve">CLU</w:t>
            </w:r>
          </w:p>
        </w:tc>
        <w:tc>
          <w:tcPr/>
          <w:p>
            <w:pPr>
              <w:pStyle w:val="Compact"/>
              <w:jc w:val="left"/>
            </w:pPr>
            <w:r>
              <w:t xml:space="preserve">KIF1A</w:t>
            </w:r>
          </w:p>
        </w:tc>
        <w:tc>
          <w:tcPr/>
          <w:p>
            <w:pPr>
              <w:pStyle w:val="Compact"/>
              <w:jc w:val="left"/>
            </w:pPr>
            <w:r>
              <w:t xml:space="preserve">PLXNB1</w:t>
            </w:r>
          </w:p>
        </w:tc>
        <w:tc>
          <w:tcPr/>
          <w:p>
            <w:pPr>
              <w:pStyle w:val="Compact"/>
              <w:jc w:val="left"/>
            </w:pPr>
            <w:r>
              <w:t xml:space="preserve">ZG16B</w:t>
            </w:r>
          </w:p>
        </w:tc>
      </w:tr>
      <w:tr>
        <w:tc>
          <w:tcPr/>
          <w:p>
            <w:pPr>
              <w:pStyle w:val="Compact"/>
              <w:jc w:val="left"/>
            </w:pPr>
            <w:r>
              <w:t xml:space="preserve">CLDN18</w:t>
            </w:r>
          </w:p>
        </w:tc>
        <w:tc>
          <w:tcPr/>
          <w:p>
            <w:pPr>
              <w:pStyle w:val="Compact"/>
              <w:jc w:val="left"/>
            </w:pPr>
            <w:r>
              <w:t xml:space="preserve">APOD</w:t>
            </w:r>
          </w:p>
        </w:tc>
        <w:tc>
          <w:tcPr/>
          <w:p>
            <w:pPr>
              <w:pStyle w:val="Compact"/>
              <w:jc w:val="left"/>
            </w:pPr>
            <w:r>
              <w:t xml:space="preserve">CLMN</w:t>
            </w:r>
          </w:p>
        </w:tc>
        <w:tc>
          <w:tcPr/>
          <w:p>
            <w:pPr>
              <w:pStyle w:val="Compact"/>
              <w:jc w:val="left"/>
            </w:pPr>
            <w:r>
              <w:t xml:space="preserve">NGFR</w:t>
            </w:r>
          </w:p>
        </w:tc>
        <w:tc>
          <w:tcPr/>
          <w:p>
            <w:pPr>
              <w:pStyle w:val="Compact"/>
              <w:jc w:val="left"/>
            </w:pPr>
            <w:r>
              <w:t xml:space="preserve">TMEM119</w:t>
            </w:r>
          </w:p>
        </w:tc>
        <w:tc>
          <w:tcPr/>
          <w:p>
            <w:pPr>
              <w:pStyle w:val="Compact"/>
              <w:jc w:val="left"/>
            </w:pPr>
            <w:r>
              <w:t xml:space="preserve">SERPINF1</w:t>
            </w:r>
          </w:p>
        </w:tc>
      </w:tr>
      <w:tr>
        <w:tc>
          <w:tcPr/>
          <w:p>
            <w:pPr>
              <w:pStyle w:val="Compact"/>
              <w:jc w:val="left"/>
            </w:pPr>
            <w:r>
              <w:t xml:space="preserve">MYO15B</w:t>
            </w:r>
          </w:p>
        </w:tc>
        <w:tc>
          <w:tcPr/>
          <w:p>
            <w:pPr>
              <w:pStyle w:val="Compact"/>
              <w:jc w:val="left"/>
            </w:pPr>
            <w:r>
              <w:t xml:space="preserve">SEMA6A</w:t>
            </w:r>
          </w:p>
        </w:tc>
        <w:tc>
          <w:tcPr/>
          <w:p>
            <w:pPr>
              <w:pStyle w:val="Compact"/>
              <w:jc w:val="left"/>
            </w:pPr>
            <w:r>
              <w:t xml:space="preserve">CHPF</w:t>
            </w:r>
          </w:p>
        </w:tc>
        <w:tc>
          <w:tcPr/>
          <w:p>
            <w:pPr>
              <w:pStyle w:val="Compact"/>
              <w:jc w:val="left"/>
            </w:pPr>
            <w:r>
              <w:t xml:space="preserve">NFKBIA</w:t>
            </w:r>
          </w:p>
        </w:tc>
        <w:tc>
          <w:tcPr/>
          <w:p>
            <w:pPr>
              <w:pStyle w:val="Compact"/>
              <w:jc w:val="left"/>
            </w:pPr>
            <w:r>
              <w:t xml:space="preserve">SORBS2</w:t>
            </w:r>
          </w:p>
        </w:tc>
        <w:tc>
          <w:tcPr/>
          <w:p>
            <w:pPr>
              <w:pStyle w:val="Compact"/>
              <w:jc w:val="left"/>
            </w:pPr>
            <w:r>
              <w:t xml:space="preserve">CLDN3</w:t>
            </w:r>
          </w:p>
        </w:tc>
      </w:tr>
      <w:tr>
        <w:tc>
          <w:tcPr/>
          <w:p>
            <w:pPr>
              <w:pStyle w:val="Compact"/>
              <w:jc w:val="left"/>
            </w:pPr>
            <w:r>
              <w:t xml:space="preserve">SYT8</w:t>
            </w:r>
          </w:p>
        </w:tc>
        <w:tc>
          <w:tcPr/>
          <w:p>
            <w:pPr>
              <w:pStyle w:val="Compact"/>
              <w:jc w:val="left"/>
            </w:pPr>
            <w:r>
              <w:t xml:space="preserve">TNXB</w:t>
            </w:r>
          </w:p>
        </w:tc>
        <w:tc>
          <w:tcPr/>
          <w:p>
            <w:pPr>
              <w:pStyle w:val="Compact"/>
              <w:jc w:val="left"/>
            </w:pPr>
            <w:r>
              <w:t xml:space="preserve">MTMR11</w:t>
            </w:r>
          </w:p>
        </w:tc>
        <w:tc>
          <w:tcPr/>
          <w:p>
            <w:pPr>
              <w:pStyle w:val="Compact"/>
              <w:jc w:val="left"/>
            </w:pPr>
            <w:r>
              <w:t xml:space="preserve">SPOCK2</w:t>
            </w:r>
          </w:p>
        </w:tc>
        <w:tc>
          <w:tcPr/>
          <w:p>
            <w:pPr>
              <w:pStyle w:val="Compact"/>
              <w:jc w:val="left"/>
            </w:pPr>
            <w:r>
              <w:t xml:space="preserve">C7</w:t>
            </w:r>
          </w:p>
        </w:tc>
        <w:tc>
          <w:tcPr/>
          <w:p>
            <w:pPr>
              <w:pStyle w:val="Compact"/>
              <w:jc w:val="left"/>
            </w:pPr>
            <w:r>
              <w:t xml:space="preserve">NR1I2</w:t>
            </w:r>
          </w:p>
        </w:tc>
      </w:tr>
      <w:tr>
        <w:tc>
          <w:tcPr/>
          <w:p>
            <w:pPr>
              <w:pStyle w:val="Compact"/>
              <w:jc w:val="left"/>
            </w:pPr>
            <w:r>
              <w:t xml:space="preserve">TFF2</w:t>
            </w:r>
          </w:p>
        </w:tc>
        <w:tc>
          <w:tcPr/>
          <w:p>
            <w:pPr>
              <w:pStyle w:val="Compact"/>
              <w:jc w:val="left"/>
            </w:pPr>
            <w:r>
              <w:t xml:space="preserve">PTGIS</w:t>
            </w:r>
          </w:p>
        </w:tc>
        <w:tc>
          <w:tcPr/>
          <w:p>
            <w:pPr>
              <w:pStyle w:val="Compact"/>
              <w:jc w:val="left"/>
            </w:pPr>
            <w:r>
              <w:t xml:space="preserve">TTR</w:t>
            </w:r>
          </w:p>
        </w:tc>
        <w:tc>
          <w:tcPr/>
          <w:p>
            <w:pPr>
              <w:pStyle w:val="Compact"/>
              <w:jc w:val="left"/>
            </w:pPr>
            <w:r>
              <w:t xml:space="preserve">ATP2C2</w:t>
            </w:r>
          </w:p>
        </w:tc>
        <w:tc>
          <w:tcPr/>
          <w:p>
            <w:pPr>
              <w:pStyle w:val="Compact"/>
              <w:jc w:val="left"/>
            </w:pPr>
            <w:r>
              <w:t xml:space="preserve">SLC12A7</w:t>
            </w:r>
          </w:p>
        </w:tc>
        <w:tc>
          <w:tcPr/>
          <w:p>
            <w:pPr>
              <w:pStyle w:val="Compact"/>
              <w:jc w:val="left"/>
            </w:pPr>
            <w:r>
              <w:t xml:space="preserve">JUND</w:t>
            </w:r>
          </w:p>
        </w:tc>
      </w:tr>
      <w:tr>
        <w:tc>
          <w:tcPr/>
          <w:p>
            <w:pPr>
              <w:pStyle w:val="Compact"/>
              <w:jc w:val="left"/>
            </w:pPr>
            <w:r>
              <w:t xml:space="preserve">TMPRSS2</w:t>
            </w:r>
          </w:p>
        </w:tc>
        <w:tc>
          <w:tcPr/>
          <w:p>
            <w:pPr>
              <w:pStyle w:val="Compact"/>
              <w:jc w:val="left"/>
            </w:pPr>
            <w:r>
              <w:t xml:space="preserve">CCL18</w:t>
            </w:r>
          </w:p>
        </w:tc>
        <w:tc>
          <w:tcPr/>
          <w:p>
            <w:pPr>
              <w:pStyle w:val="Compact"/>
              <w:jc w:val="left"/>
            </w:pPr>
            <w:r>
              <w:t xml:space="preserve">WFDC2</w:t>
            </w:r>
          </w:p>
        </w:tc>
        <w:tc>
          <w:tcPr/>
          <w:p>
            <w:pPr>
              <w:pStyle w:val="Compact"/>
              <w:jc w:val="left"/>
            </w:pPr>
            <w:r>
              <w:t xml:space="preserve">NBEAL2</w:t>
            </w:r>
          </w:p>
        </w:tc>
        <w:tc>
          <w:tcPr/>
          <w:p>
            <w:pPr>
              <w:pStyle w:val="Compact"/>
              <w:jc w:val="left"/>
            </w:pPr>
            <w:r>
              <w:t xml:space="preserve">QSOX1</w:t>
            </w:r>
          </w:p>
        </w:tc>
        <w:tc>
          <w:tcPr/>
          <w:p>
            <w:pPr>
              <w:pStyle w:val="Compact"/>
              <w:jc w:val="left"/>
            </w:pPr>
            <w:r>
              <w:t xml:space="preserve">NCF2</w:t>
            </w:r>
          </w:p>
        </w:tc>
      </w:tr>
      <w:tr>
        <w:tc>
          <w:tcPr/>
          <w:p>
            <w:pPr>
              <w:pStyle w:val="Compact"/>
              <w:jc w:val="left"/>
            </w:pPr>
            <w:r>
              <w:t xml:space="preserve">CHGB</w:t>
            </w:r>
          </w:p>
        </w:tc>
        <w:tc>
          <w:tcPr/>
          <w:p>
            <w:pPr>
              <w:pStyle w:val="Compact"/>
              <w:jc w:val="left"/>
            </w:pPr>
            <w:r>
              <w:t xml:space="preserve">ZC3H12A</w:t>
            </w:r>
          </w:p>
        </w:tc>
        <w:tc>
          <w:tcPr/>
          <w:p>
            <w:pPr>
              <w:pStyle w:val="Compact"/>
              <w:jc w:val="left"/>
            </w:pPr>
            <w:r>
              <w:t xml:space="preserve">C2orf72</w:t>
            </w:r>
          </w:p>
        </w:tc>
        <w:tc>
          <w:tcPr/>
          <w:p>
            <w:pPr>
              <w:pStyle w:val="Compact"/>
              <w:jc w:val="left"/>
            </w:pPr>
            <w:r>
              <w:t xml:space="preserve">CAPN9</w:t>
            </w:r>
          </w:p>
        </w:tc>
        <w:tc>
          <w:tcPr/>
          <w:p>
            <w:pPr>
              <w:pStyle w:val="Compact"/>
              <w:jc w:val="left"/>
            </w:pPr>
            <w:r>
              <w:t xml:space="preserve">UNC5CL</w:t>
            </w:r>
          </w:p>
        </w:tc>
        <w:tc>
          <w:tcPr/>
          <w:p>
            <w:pPr>
              <w:pStyle w:val="Compact"/>
              <w:jc w:val="left"/>
            </w:pPr>
            <w:r>
              <w:t xml:space="preserve">CELSR1</w:t>
            </w:r>
          </w:p>
        </w:tc>
      </w:tr>
      <w:tr>
        <w:tc>
          <w:tcPr/>
          <w:p>
            <w:pPr>
              <w:pStyle w:val="Compact"/>
              <w:jc w:val="left"/>
            </w:pPr>
            <w:r>
              <w:t xml:space="preserve">CST1</w:t>
            </w:r>
          </w:p>
        </w:tc>
        <w:tc>
          <w:tcPr/>
          <w:p>
            <w:pPr>
              <w:pStyle w:val="Compact"/>
              <w:jc w:val="left"/>
            </w:pPr>
            <w:r>
              <w:t xml:space="preserve">CELSR3</w:t>
            </w:r>
          </w:p>
        </w:tc>
        <w:tc>
          <w:tcPr/>
          <w:p>
            <w:pPr>
              <w:pStyle w:val="Compact"/>
              <w:jc w:val="left"/>
            </w:pPr>
            <w:r>
              <w:t xml:space="preserve">CCND2</w:t>
            </w:r>
          </w:p>
        </w:tc>
        <w:tc>
          <w:tcPr/>
          <w:p>
            <w:pPr>
              <w:pStyle w:val="Compact"/>
              <w:jc w:val="left"/>
            </w:pPr>
            <w:r>
              <w:t xml:space="preserve">PTGDS</w:t>
            </w:r>
          </w:p>
        </w:tc>
        <w:tc>
          <w:tcPr/>
          <w:p>
            <w:pPr>
              <w:pStyle w:val="Compact"/>
              <w:jc w:val="left"/>
            </w:pPr>
            <w:r>
              <w:t xml:space="preserve">LONRF2</w:t>
            </w:r>
          </w:p>
        </w:tc>
        <w:tc>
          <w:tcPr/>
          <w:p>
            <w:pPr>
              <w:pStyle w:val="Compact"/>
              <w:jc w:val="left"/>
            </w:pPr>
            <w:r>
              <w:t xml:space="preserve">MUC17</w:t>
            </w:r>
          </w:p>
        </w:tc>
      </w:tr>
      <w:tr>
        <w:tc>
          <w:tcPr/>
          <w:p>
            <w:pPr>
              <w:pStyle w:val="Compact"/>
              <w:jc w:val="left"/>
            </w:pPr>
            <w:r>
              <w:t xml:space="preserve">B3GNT7</w:t>
            </w:r>
          </w:p>
        </w:tc>
        <w:tc>
          <w:tcPr/>
          <w:p>
            <w:pPr>
              <w:pStyle w:val="Compact"/>
              <w:jc w:val="left"/>
            </w:pPr>
            <w:r>
              <w:t xml:space="preserve">EMB</w:t>
            </w:r>
          </w:p>
        </w:tc>
        <w:tc>
          <w:tcPr/>
          <w:p>
            <w:pPr>
              <w:pStyle w:val="Compact"/>
              <w:jc w:val="left"/>
            </w:pPr>
            <w:r>
              <w:t xml:space="preserve">ARHGAP4</w:t>
            </w:r>
          </w:p>
        </w:tc>
        <w:tc>
          <w:tcPr/>
          <w:p>
            <w:pPr>
              <w:pStyle w:val="Compact"/>
              <w:jc w:val="left"/>
            </w:pPr>
            <w:r>
              <w:t xml:space="preserve">LSP1</w:t>
            </w:r>
          </w:p>
        </w:tc>
        <w:tc>
          <w:tcPr/>
          <w:p>
            <w:pPr>
              <w:pStyle w:val="Compact"/>
              <w:jc w:val="left"/>
            </w:pPr>
            <w:r>
              <w:t xml:space="preserve">VSIG2</w:t>
            </w:r>
          </w:p>
        </w:tc>
        <w:tc>
          <w:tcPr/>
          <w:p>
            <w:pPr>
              <w:pStyle w:val="Compact"/>
              <w:jc w:val="left"/>
            </w:pPr>
            <w:r>
              <w:t xml:space="preserve">INPP5D</w:t>
            </w:r>
          </w:p>
        </w:tc>
      </w:tr>
      <w:tr>
        <w:tc>
          <w:tcPr/>
          <w:p>
            <w:pPr>
              <w:pStyle w:val="Compact"/>
              <w:jc w:val="left"/>
            </w:pPr>
            <w:r>
              <w:t xml:space="preserve">F5</w:t>
            </w:r>
          </w:p>
        </w:tc>
        <w:tc>
          <w:tcPr/>
          <w:p>
            <w:pPr>
              <w:pStyle w:val="Compact"/>
              <w:jc w:val="left"/>
            </w:pPr>
            <w:r>
              <w:t xml:space="preserve">KCNJ15</w:t>
            </w:r>
          </w:p>
        </w:tc>
        <w:tc>
          <w:tcPr/>
          <w:p>
            <w:pPr>
              <w:pStyle w:val="Compact"/>
              <w:jc w:val="left"/>
            </w:pPr>
            <w:r>
              <w:t xml:space="preserve">PKDCC</w:t>
            </w:r>
          </w:p>
        </w:tc>
        <w:tc>
          <w:tcPr/>
          <w:p>
            <w:pPr>
              <w:pStyle w:val="Compact"/>
              <w:jc w:val="left"/>
            </w:pPr>
            <w:r>
              <w:t xml:space="preserve">LAMA5</w:t>
            </w:r>
          </w:p>
        </w:tc>
        <w:tc>
          <w:tcPr/>
          <w:p>
            <w:pPr>
              <w:pStyle w:val="Compact"/>
              <w:jc w:val="left"/>
            </w:pPr>
            <w:r>
              <w:t xml:space="preserve">ADAMTSL2</w:t>
            </w:r>
          </w:p>
        </w:tc>
        <w:tc>
          <w:tcPr/>
          <w:p>
            <w:pPr>
              <w:pStyle w:val="Compact"/>
              <w:jc w:val="left"/>
            </w:pPr>
            <w:r>
              <w:t xml:space="preserve">TM4SF5</w:t>
            </w:r>
          </w:p>
        </w:tc>
      </w:tr>
      <w:tr>
        <w:tc>
          <w:tcPr/>
          <w:p>
            <w:pPr>
              <w:pStyle w:val="Compact"/>
              <w:jc w:val="left"/>
            </w:pPr>
            <w:r>
              <w:t xml:space="preserve">TNRC18</w:t>
            </w:r>
          </w:p>
        </w:tc>
        <w:tc>
          <w:tcPr/>
          <w:p>
            <w:pPr>
              <w:pStyle w:val="Compact"/>
              <w:jc w:val="left"/>
            </w:pPr>
            <w:r>
              <w:t xml:space="preserve">SORBS1</w:t>
            </w:r>
          </w:p>
        </w:tc>
        <w:tc>
          <w:tcPr/>
          <w:p>
            <w:pPr>
              <w:pStyle w:val="Compact"/>
              <w:jc w:val="left"/>
            </w:pPr>
            <w:r>
              <w:t xml:space="preserve">SRPX</w:t>
            </w:r>
          </w:p>
        </w:tc>
        <w:tc>
          <w:tcPr/>
          <w:p>
            <w:pPr>
              <w:pStyle w:val="Compact"/>
              <w:jc w:val="left"/>
            </w:pPr>
            <w:r>
              <w:t xml:space="preserve">FASN</w:t>
            </w:r>
          </w:p>
        </w:tc>
        <w:tc>
          <w:tcPr/>
          <w:p>
            <w:pPr>
              <w:pStyle w:val="Compact"/>
              <w:jc w:val="left"/>
            </w:pPr>
            <w:r>
              <w:t xml:space="preserve">ARHGEF16</w:t>
            </w:r>
          </w:p>
        </w:tc>
        <w:tc>
          <w:tcPr/>
          <w:p>
            <w:pPr>
              <w:pStyle w:val="Compact"/>
              <w:jc w:val="left"/>
            </w:pPr>
            <w:r>
              <w:t xml:space="preserve">HNF4A</w:t>
            </w:r>
          </w:p>
        </w:tc>
      </w:tr>
      <w:tr>
        <w:tc>
          <w:tcPr/>
          <w:p>
            <w:pPr>
              <w:pStyle w:val="Compact"/>
              <w:jc w:val="left"/>
            </w:pPr>
            <w:r>
              <w:t xml:space="preserve">IGF2</w:t>
            </w:r>
          </w:p>
        </w:tc>
        <w:tc>
          <w:tcPr/>
          <w:p>
            <w:pPr>
              <w:pStyle w:val="Compact"/>
              <w:jc w:val="left"/>
            </w:pPr>
            <w:r>
              <w:t xml:space="preserve">PAQR8</w:t>
            </w:r>
          </w:p>
        </w:tc>
        <w:tc>
          <w:tcPr/>
          <w:p>
            <w:pPr>
              <w:pStyle w:val="Compact"/>
              <w:jc w:val="left"/>
            </w:pPr>
            <w:r>
              <w:t xml:space="preserve">CCL21</w:t>
            </w:r>
          </w:p>
        </w:tc>
        <w:tc>
          <w:tcPr/>
          <w:p>
            <w:pPr>
              <w:pStyle w:val="Compact"/>
              <w:jc w:val="left"/>
            </w:pPr>
            <w:r>
              <w:t xml:space="preserve">GFRA1</w:t>
            </w:r>
          </w:p>
        </w:tc>
        <w:tc>
          <w:tcPr/>
          <w:p>
            <w:pPr>
              <w:pStyle w:val="Compact"/>
              <w:jc w:val="left"/>
            </w:pPr>
            <w:r>
              <w:t xml:space="preserve">PCOLCE</w:t>
            </w:r>
          </w:p>
        </w:tc>
        <w:tc>
          <w:tcPr/>
          <w:p>
            <w:pPr>
              <w:pStyle w:val="Compact"/>
              <w:jc w:val="left"/>
            </w:pPr>
            <w:r>
              <w:t xml:space="preserve">CFD</w:t>
            </w:r>
          </w:p>
        </w:tc>
      </w:tr>
      <w:tr>
        <w:tc>
          <w:tcPr/>
          <w:p>
            <w:pPr>
              <w:pStyle w:val="Compact"/>
              <w:jc w:val="left"/>
            </w:pPr>
            <w:r>
              <w:t xml:space="preserve">ARSD</w:t>
            </w:r>
          </w:p>
        </w:tc>
        <w:tc>
          <w:tcPr/>
          <w:p>
            <w:pPr>
              <w:pStyle w:val="Compact"/>
              <w:jc w:val="left"/>
            </w:pPr>
            <w:r>
              <w:t xml:space="preserve">SLC4A4</w:t>
            </w:r>
          </w:p>
        </w:tc>
        <w:tc>
          <w:tcPr/>
          <w:p>
            <w:pPr>
              <w:pStyle w:val="Compact"/>
              <w:jc w:val="left"/>
            </w:pPr>
            <w:r>
              <w:t xml:space="preserve">CARD11</w:t>
            </w:r>
          </w:p>
        </w:tc>
        <w:tc>
          <w:tcPr/>
          <w:p>
            <w:pPr>
              <w:pStyle w:val="Compact"/>
              <w:jc w:val="left"/>
            </w:pPr>
            <w:r>
              <w:t xml:space="preserve">PTPRH</w:t>
            </w:r>
          </w:p>
        </w:tc>
        <w:tc>
          <w:tcPr/>
          <w:p>
            <w:pPr>
              <w:pStyle w:val="Compact"/>
              <w:jc w:val="left"/>
            </w:pPr>
            <w:r>
              <w:t xml:space="preserve">CFC1B</w:t>
            </w:r>
          </w:p>
        </w:tc>
        <w:tc>
          <w:tcPr/>
          <w:p>
            <w:pPr>
              <w:pStyle w:val="Compact"/>
              <w:jc w:val="left"/>
            </w:pPr>
            <w:r>
              <w:t xml:space="preserve">HCLS1</w:t>
            </w:r>
          </w:p>
        </w:tc>
      </w:tr>
      <w:tr>
        <w:tc>
          <w:tcPr/>
          <w:p>
            <w:pPr>
              <w:pStyle w:val="Compact"/>
              <w:jc w:val="left"/>
            </w:pPr>
            <w:r>
              <w:t xml:space="preserve">ZDHHC7</w:t>
            </w:r>
          </w:p>
        </w:tc>
        <w:tc>
          <w:tcPr/>
          <w:p>
            <w:pPr>
              <w:pStyle w:val="Compact"/>
              <w:jc w:val="left"/>
            </w:pPr>
            <w:r>
              <w:t xml:space="preserve">ACSS1</w:t>
            </w:r>
          </w:p>
        </w:tc>
        <w:tc>
          <w:tcPr/>
          <w:p>
            <w:pPr>
              <w:pStyle w:val="Compact"/>
              <w:jc w:val="left"/>
            </w:pPr>
            <w:r>
              <w:t xml:space="preserve">CTRB2</w:t>
            </w:r>
          </w:p>
        </w:tc>
        <w:tc>
          <w:tcPr/>
          <w:p>
            <w:pPr>
              <w:pStyle w:val="Compact"/>
              <w:jc w:val="left"/>
            </w:pPr>
            <w:r>
              <w:t xml:space="preserve">FMOD</w:t>
            </w:r>
          </w:p>
        </w:tc>
        <w:tc>
          <w:tcPr/>
          <w:p>
            <w:pPr>
              <w:pStyle w:val="Compact"/>
              <w:jc w:val="left"/>
            </w:pPr>
            <w:r>
              <w:t xml:space="preserve">SLC9A3</w:t>
            </w:r>
          </w:p>
        </w:tc>
        <w:tc>
          <w:tcPr/>
          <w:p>
            <w:pPr>
              <w:pStyle w:val="Compact"/>
              <w:jc w:val="left"/>
            </w:pPr>
            <w:r>
              <w:t xml:space="preserve">SH3PXD2B</w:t>
            </w:r>
          </w:p>
        </w:tc>
      </w:tr>
      <w:tr>
        <w:tc>
          <w:tcPr/>
          <w:p>
            <w:pPr>
              <w:pStyle w:val="Compact"/>
              <w:jc w:val="left"/>
            </w:pPr>
            <w:r>
              <w:t xml:space="preserve">LENG8</w:t>
            </w:r>
          </w:p>
        </w:tc>
        <w:tc>
          <w:tcPr/>
          <w:p>
            <w:pPr>
              <w:pStyle w:val="Compact"/>
              <w:jc w:val="left"/>
            </w:pPr>
            <w:r>
              <w:t xml:space="preserve">ST6GALNAC1</w:t>
            </w:r>
          </w:p>
        </w:tc>
        <w:tc>
          <w:tcPr/>
          <w:p>
            <w:pPr>
              <w:pStyle w:val="Compact"/>
              <w:jc w:val="left"/>
            </w:pPr>
            <w:r>
              <w:t xml:space="preserve">GOLGA8B</w:t>
            </w:r>
          </w:p>
        </w:tc>
        <w:tc>
          <w:tcPr/>
          <w:p>
            <w:pPr>
              <w:pStyle w:val="Compact"/>
              <w:jc w:val="left"/>
            </w:pPr>
            <w:r>
              <w:t xml:space="preserve">FHL1</w:t>
            </w:r>
          </w:p>
        </w:tc>
        <w:tc>
          <w:tcPr/>
          <w:p>
            <w:pPr>
              <w:pStyle w:val="Compact"/>
              <w:jc w:val="left"/>
            </w:pPr>
            <w:r>
              <w:t xml:space="preserve">ACACB</w:t>
            </w:r>
          </w:p>
        </w:tc>
        <w:tc>
          <w:tcPr/>
          <w:p>
            <w:pPr>
              <w:pStyle w:val="Compact"/>
              <w:jc w:val="left"/>
            </w:pPr>
            <w:r>
              <w:t xml:space="preserve">PCSK2</w:t>
            </w:r>
          </w:p>
        </w:tc>
      </w:tr>
      <w:tr>
        <w:tc>
          <w:tcPr/>
          <w:p>
            <w:pPr>
              <w:pStyle w:val="Compact"/>
              <w:jc w:val="left"/>
            </w:pPr>
            <w:r>
              <w:t xml:space="preserve">ATP9A</w:t>
            </w:r>
          </w:p>
        </w:tc>
        <w:tc>
          <w:tcPr/>
          <w:p>
            <w:pPr>
              <w:pStyle w:val="Compact"/>
              <w:jc w:val="left"/>
            </w:pPr>
            <w:r>
              <w:t xml:space="preserve">DES</w:t>
            </w:r>
          </w:p>
        </w:tc>
        <w:tc>
          <w:tcPr/>
          <w:p>
            <w:pPr>
              <w:pStyle w:val="Compact"/>
              <w:jc w:val="left"/>
            </w:pPr>
            <w:r>
              <w:t xml:space="preserve">IYD</w:t>
            </w:r>
          </w:p>
        </w:tc>
        <w:tc>
          <w:tcPr/>
          <w:p>
            <w:pPr>
              <w:pStyle w:val="Compact"/>
              <w:jc w:val="left"/>
            </w:pPr>
            <w:r>
              <w:t xml:space="preserve">PCDH20</w:t>
            </w:r>
          </w:p>
        </w:tc>
        <w:tc>
          <w:tcPr/>
          <w:p>
            <w:pPr>
              <w:pStyle w:val="Compact"/>
              <w:jc w:val="left"/>
            </w:pPr>
            <w:r>
              <w:t xml:space="preserve">BCAS1</w:t>
            </w:r>
          </w:p>
        </w:tc>
        <w:tc>
          <w:tcPr/>
          <w:p>
            <w:pPr>
              <w:pStyle w:val="Compact"/>
              <w:jc w:val="left"/>
            </w:pPr>
            <w:r>
              <w:t xml:space="preserve">HMGCS2</w:t>
            </w:r>
          </w:p>
        </w:tc>
      </w:tr>
      <w:tr>
        <w:tc>
          <w:tcPr/>
          <w:p>
            <w:pPr>
              <w:pStyle w:val="Compact"/>
              <w:jc w:val="left"/>
            </w:pPr>
            <w:r>
              <w:t xml:space="preserve">TMPRSS3</w:t>
            </w:r>
          </w:p>
        </w:tc>
        <w:tc>
          <w:tcPr/>
          <w:p>
            <w:pPr>
              <w:pStyle w:val="Compact"/>
              <w:jc w:val="left"/>
            </w:pPr>
            <w:r>
              <w:t xml:space="preserve">PRUNE2</w:t>
            </w:r>
          </w:p>
        </w:tc>
        <w:tc>
          <w:tcPr/>
          <w:p>
            <w:pPr>
              <w:pStyle w:val="Compact"/>
              <w:jc w:val="left"/>
            </w:pPr>
            <w:r>
              <w:t xml:space="preserve">CORO1A</w:t>
            </w:r>
          </w:p>
        </w:tc>
        <w:tc>
          <w:tcPr/>
          <w:p>
            <w:pPr>
              <w:pStyle w:val="Compact"/>
              <w:jc w:val="left"/>
            </w:pPr>
            <w:r>
              <w:t xml:space="preserve">CCR7</w:t>
            </w:r>
          </w:p>
        </w:tc>
        <w:tc>
          <w:tcPr/>
          <w:p>
            <w:pPr>
              <w:pStyle w:val="Compact"/>
              <w:jc w:val="left"/>
            </w:pPr>
            <w:r>
              <w:t xml:space="preserve">RASD1</w:t>
            </w:r>
          </w:p>
        </w:tc>
        <w:tc>
          <w:tcPr/>
          <w:p>
            <w:pPr>
              <w:pStyle w:val="Compact"/>
              <w:jc w:val="left"/>
            </w:pPr>
            <w:r>
              <w:t xml:space="preserve">FILIP1L</w:t>
            </w:r>
          </w:p>
        </w:tc>
      </w:tr>
      <w:tr>
        <w:tc>
          <w:tcPr/>
          <w:p>
            <w:pPr>
              <w:pStyle w:val="Compact"/>
              <w:jc w:val="left"/>
            </w:pPr>
            <w:r>
              <w:t xml:space="preserve">CES1</w:t>
            </w:r>
          </w:p>
        </w:tc>
        <w:tc>
          <w:tcPr/>
          <w:p>
            <w:pPr>
              <w:pStyle w:val="Compact"/>
              <w:jc w:val="left"/>
            </w:pPr>
            <w:r>
              <w:t xml:space="preserve">PLCB4</w:t>
            </w:r>
          </w:p>
        </w:tc>
        <w:tc>
          <w:tcPr/>
          <w:p>
            <w:pPr>
              <w:pStyle w:val="Compact"/>
              <w:jc w:val="left"/>
            </w:pPr>
            <w:r>
              <w:t xml:space="preserve">SAA2</w:t>
            </w:r>
          </w:p>
        </w:tc>
        <w:tc>
          <w:tcPr/>
          <w:p>
            <w:pPr>
              <w:pStyle w:val="Compact"/>
              <w:jc w:val="left"/>
            </w:pPr>
            <w:r>
              <w:t xml:space="preserve">CHIT1</w:t>
            </w:r>
          </w:p>
        </w:tc>
        <w:tc>
          <w:tcPr/>
          <w:p>
            <w:pPr>
              <w:pStyle w:val="Compact"/>
              <w:jc w:val="left"/>
            </w:pPr>
            <w:r>
              <w:t xml:space="preserve">LGALS4</w:t>
            </w:r>
          </w:p>
        </w:tc>
        <w:tc>
          <w:tcPr/>
          <w:p>
            <w:pPr>
              <w:pStyle w:val="Compact"/>
              <w:jc w:val="left"/>
            </w:pPr>
            <w:r>
              <w:t xml:space="preserve">ETNK1</w:t>
            </w:r>
          </w:p>
        </w:tc>
      </w:tr>
      <w:tr>
        <w:tc>
          <w:tcPr/>
          <w:p>
            <w:pPr>
              <w:pStyle w:val="Compact"/>
              <w:jc w:val="left"/>
            </w:pPr>
            <w:r>
              <w:t xml:space="preserve">HOPX</w:t>
            </w:r>
          </w:p>
        </w:tc>
        <w:tc>
          <w:tcPr/>
          <w:p>
            <w:pPr>
              <w:pStyle w:val="Compact"/>
              <w:jc w:val="left"/>
            </w:pPr>
            <w:r>
              <w:t xml:space="preserve">CADPS</w:t>
            </w:r>
          </w:p>
        </w:tc>
        <w:tc>
          <w:tcPr/>
          <w:p>
            <w:pPr>
              <w:pStyle w:val="Compact"/>
              <w:jc w:val="left"/>
            </w:pPr>
            <w:r>
              <w:t xml:space="preserve">CDCA7</w:t>
            </w:r>
          </w:p>
        </w:tc>
        <w:tc>
          <w:tcPr/>
          <w:p>
            <w:pPr>
              <w:pStyle w:val="Compact"/>
              <w:jc w:val="left"/>
            </w:pPr>
            <w:r>
              <w:t xml:space="preserve">PARM1</w:t>
            </w:r>
          </w:p>
        </w:tc>
        <w:tc>
          <w:tcPr/>
          <w:p>
            <w:pPr>
              <w:pStyle w:val="Compact"/>
              <w:jc w:val="left"/>
            </w:pPr>
            <w:r>
              <w:t xml:space="preserve">MS4A1</w:t>
            </w:r>
          </w:p>
        </w:tc>
        <w:tc>
          <w:tcPr/>
          <w:p>
            <w:pPr>
              <w:pStyle w:val="Compact"/>
              <w:jc w:val="left"/>
            </w:pPr>
            <w:r>
              <w:t xml:space="preserve">TNNI2</w:t>
            </w:r>
          </w:p>
        </w:tc>
      </w:tr>
      <w:tr>
        <w:tc>
          <w:tcPr/>
          <w:p>
            <w:pPr>
              <w:pStyle w:val="Compact"/>
              <w:jc w:val="left"/>
            </w:pPr>
            <w:r>
              <w:t xml:space="preserve">CNN1</w:t>
            </w:r>
          </w:p>
        </w:tc>
        <w:tc>
          <w:tcPr/>
          <w:p>
            <w:pPr>
              <w:pStyle w:val="Compact"/>
              <w:jc w:val="left"/>
            </w:pPr>
            <w:r>
              <w:t xml:space="preserve">FMO5</w:t>
            </w:r>
          </w:p>
        </w:tc>
        <w:tc>
          <w:tcPr/>
          <w:p>
            <w:pPr>
              <w:pStyle w:val="Compact"/>
              <w:jc w:val="left"/>
            </w:pPr>
            <w:r>
              <w:t xml:space="preserve">BOC</w:t>
            </w:r>
          </w:p>
        </w:tc>
        <w:tc>
          <w:tcPr/>
          <w:p>
            <w:pPr>
              <w:pStyle w:val="Compact"/>
              <w:jc w:val="left"/>
            </w:pPr>
            <w:r>
              <w:t xml:space="preserve">ITM2A</w:t>
            </w:r>
          </w:p>
        </w:tc>
        <w:tc>
          <w:tcPr/>
          <w:p>
            <w:pPr>
              <w:pStyle w:val="Compact"/>
              <w:jc w:val="left"/>
            </w:pPr>
            <w:r>
              <w:t xml:space="preserve">CAPN6</w:t>
            </w:r>
          </w:p>
        </w:tc>
        <w:tc>
          <w:tcPr/>
          <w:p>
            <w:pPr>
              <w:pStyle w:val="Compact"/>
              <w:jc w:val="left"/>
            </w:pPr>
            <w:r>
              <w:t xml:space="preserve">TOX3</w:t>
            </w:r>
          </w:p>
        </w:tc>
      </w:tr>
      <w:tr>
        <w:tc>
          <w:tcPr/>
          <w:p>
            <w:pPr>
              <w:pStyle w:val="Compact"/>
              <w:jc w:val="left"/>
            </w:pPr>
            <w:r>
              <w:t xml:space="preserve">MIA</w:t>
            </w:r>
          </w:p>
        </w:tc>
        <w:tc>
          <w:tcPr/>
          <w:p>
            <w:pPr>
              <w:pStyle w:val="Compact"/>
              <w:jc w:val="left"/>
            </w:pPr>
            <w:r>
              <w:t xml:space="preserve">RAP1GAP2</w:t>
            </w:r>
          </w:p>
        </w:tc>
        <w:tc>
          <w:tcPr/>
          <w:p>
            <w:pPr>
              <w:pStyle w:val="Compact"/>
              <w:jc w:val="left"/>
            </w:pPr>
            <w:r>
              <w:t xml:space="preserve">LTB</w:t>
            </w:r>
          </w:p>
        </w:tc>
        <w:tc>
          <w:tcPr/>
          <w:p>
            <w:pPr>
              <w:pStyle w:val="Compact"/>
              <w:jc w:val="left"/>
            </w:pPr>
            <w:r>
              <w:t xml:space="preserve">NAPSB</w:t>
            </w:r>
          </w:p>
        </w:tc>
        <w:tc>
          <w:tcPr/>
          <w:p>
            <w:pPr>
              <w:pStyle w:val="Compact"/>
              <w:jc w:val="left"/>
            </w:pPr>
            <w:r>
              <w:t xml:space="preserve">SCCPDH</w:t>
            </w:r>
          </w:p>
        </w:tc>
        <w:tc>
          <w:tcPr/>
          <w:p>
            <w:pPr>
              <w:pStyle w:val="Compact"/>
              <w:jc w:val="left"/>
            </w:pPr>
            <w:r>
              <w:t xml:space="preserve">FRZB</w:t>
            </w:r>
          </w:p>
        </w:tc>
      </w:tr>
      <w:tr>
        <w:tc>
          <w:tcPr/>
          <w:p>
            <w:pPr>
              <w:pStyle w:val="Compact"/>
              <w:jc w:val="left"/>
            </w:pPr>
            <w:r>
              <w:t xml:space="preserve">CRIP2</w:t>
            </w:r>
          </w:p>
        </w:tc>
        <w:tc>
          <w:tcPr/>
          <w:p>
            <w:pPr>
              <w:pStyle w:val="Compact"/>
              <w:jc w:val="left"/>
            </w:pPr>
            <w:r>
              <w:t xml:space="preserve">GALNT12</w:t>
            </w:r>
          </w:p>
        </w:tc>
        <w:tc>
          <w:tcPr/>
          <w:p>
            <w:pPr>
              <w:pStyle w:val="Compact"/>
              <w:jc w:val="left"/>
            </w:pPr>
            <w:r>
              <w:t xml:space="preserve">COMP</w:t>
            </w:r>
          </w:p>
        </w:tc>
        <w:tc>
          <w:tcPr/>
          <w:p>
            <w:pPr>
              <w:pStyle w:val="Compact"/>
              <w:jc w:val="left"/>
            </w:pPr>
            <w:r>
              <w:t xml:space="preserve">AGT</w:t>
            </w:r>
          </w:p>
        </w:tc>
        <w:tc>
          <w:tcPr/>
          <w:p>
            <w:pPr>
              <w:pStyle w:val="Compact"/>
              <w:jc w:val="left"/>
            </w:pPr>
            <w:r>
              <w:t xml:space="preserve">PTPRCAP</w:t>
            </w:r>
          </w:p>
        </w:tc>
        <w:tc>
          <w:tcPr/>
          <w:p>
            <w:pPr>
              <w:pStyle w:val="Compact"/>
              <w:jc w:val="left"/>
            </w:pPr>
            <w:r>
              <w:t xml:space="preserve">HABP2</w:t>
            </w:r>
          </w:p>
        </w:tc>
      </w:tr>
      <w:tr>
        <w:tc>
          <w:tcPr/>
          <w:p>
            <w:pPr>
              <w:pStyle w:val="Compact"/>
              <w:jc w:val="left"/>
            </w:pPr>
            <w:r>
              <w:t xml:space="preserve">NEURL1B</w:t>
            </w:r>
          </w:p>
        </w:tc>
        <w:tc>
          <w:tcPr/>
          <w:p>
            <w:pPr>
              <w:pStyle w:val="Compact"/>
              <w:jc w:val="left"/>
            </w:pPr>
            <w:r>
              <w:t xml:space="preserve">CCL2</w:t>
            </w:r>
          </w:p>
        </w:tc>
        <w:tc>
          <w:tcPr/>
          <w:p>
            <w:pPr>
              <w:pStyle w:val="Compact"/>
              <w:jc w:val="left"/>
            </w:pPr>
            <w:r>
              <w:t xml:space="preserve">MANSC1</w:t>
            </w:r>
          </w:p>
        </w:tc>
        <w:tc>
          <w:tcPr/>
          <w:p>
            <w:pPr>
              <w:pStyle w:val="Compact"/>
              <w:jc w:val="left"/>
            </w:pPr>
            <w:r>
              <w:t xml:space="preserve">FUT3</w:t>
            </w:r>
          </w:p>
        </w:tc>
        <w:tc>
          <w:tcPr/>
          <w:p>
            <w:pPr>
              <w:pStyle w:val="Compact"/>
              <w:jc w:val="left"/>
            </w:pPr>
            <w:r>
              <w:t xml:space="preserve">VNN1</w:t>
            </w:r>
          </w:p>
        </w:tc>
        <w:tc>
          <w:tcPr/>
          <w:p>
            <w:pPr>
              <w:pStyle w:val="Compact"/>
              <w:jc w:val="left"/>
            </w:pPr>
            <w:r>
              <w:t xml:space="preserve">GDA</w:t>
            </w:r>
          </w:p>
        </w:tc>
      </w:tr>
      <w:tr>
        <w:tc>
          <w:tcPr/>
          <w:p>
            <w:pPr>
              <w:pStyle w:val="Compact"/>
              <w:jc w:val="left"/>
            </w:pPr>
            <w:r>
              <w:t xml:space="preserve">CHGA</w:t>
            </w:r>
          </w:p>
        </w:tc>
        <w:tc>
          <w:tcPr/>
          <w:p>
            <w:pPr>
              <w:pStyle w:val="Compact"/>
              <w:jc w:val="left"/>
            </w:pPr>
            <w:r>
              <w:t xml:space="preserve">REG3A</w:t>
            </w:r>
          </w:p>
        </w:tc>
        <w:tc>
          <w:tcPr/>
          <w:p>
            <w:pPr>
              <w:pStyle w:val="Compact"/>
              <w:jc w:val="left"/>
            </w:pPr>
            <w:r>
              <w:t xml:space="preserve">SLC19A3</w:t>
            </w:r>
          </w:p>
        </w:tc>
        <w:tc>
          <w:tcPr/>
          <w:p>
            <w:pPr>
              <w:pStyle w:val="Compact"/>
              <w:jc w:val="left"/>
            </w:pPr>
            <w:r>
              <w:t xml:space="preserve">SIPA1L2</w:t>
            </w:r>
          </w:p>
        </w:tc>
        <w:tc>
          <w:tcPr/>
          <w:p>
            <w:pPr>
              <w:pStyle w:val="Compact"/>
              <w:jc w:val="left"/>
            </w:pPr>
            <w:r>
              <w:t xml:space="preserve">PI16</w:t>
            </w:r>
          </w:p>
        </w:tc>
        <w:tc>
          <w:tcPr/>
          <w:p>
            <w:pPr>
              <w:pStyle w:val="Compact"/>
              <w:jc w:val="left"/>
            </w:pPr>
            <w:r>
              <w:t xml:space="preserve">NCOR2</w:t>
            </w:r>
          </w:p>
        </w:tc>
      </w:tr>
      <w:tr>
        <w:tc>
          <w:tcPr/>
          <w:p>
            <w:pPr>
              <w:pStyle w:val="Compact"/>
              <w:jc w:val="left"/>
            </w:pPr>
            <w:r>
              <w:t xml:space="preserve">ACTG2</w:t>
            </w:r>
          </w:p>
        </w:tc>
        <w:tc>
          <w:tcPr/>
          <w:p>
            <w:pPr>
              <w:pStyle w:val="Compact"/>
              <w:jc w:val="left"/>
            </w:pPr>
            <w:r>
              <w:t xml:space="preserve">ZCCHC24</w:t>
            </w:r>
          </w:p>
        </w:tc>
        <w:tc>
          <w:tcPr/>
          <w:p>
            <w:pPr>
              <w:pStyle w:val="Compact"/>
              <w:jc w:val="left"/>
            </w:pPr>
            <w:r>
              <w:t xml:space="preserve">STEAP2</w:t>
            </w:r>
          </w:p>
        </w:tc>
        <w:tc>
          <w:tcPr/>
          <w:p>
            <w:pPr>
              <w:pStyle w:val="Compact"/>
              <w:jc w:val="left"/>
            </w:pPr>
            <w:r>
              <w:t xml:space="preserve">SPINK5</w:t>
            </w:r>
          </w:p>
        </w:tc>
        <w:tc>
          <w:tcPr/>
          <w:p>
            <w:pPr>
              <w:pStyle w:val="Compact"/>
              <w:jc w:val="left"/>
            </w:pPr>
            <w:r>
              <w:t xml:space="preserve">SEMA7A</w:t>
            </w:r>
          </w:p>
        </w:tc>
        <w:tc>
          <w:tcPr/>
          <w:p>
            <w:pPr>
              <w:pStyle w:val="Compact"/>
              <w:jc w:val="left"/>
            </w:pPr>
            <w:r>
              <w:t xml:space="preserve">DNAH2</w:t>
            </w:r>
          </w:p>
        </w:tc>
      </w:tr>
      <w:tr>
        <w:tc>
          <w:tcPr/>
          <w:p>
            <w:pPr>
              <w:pStyle w:val="Compact"/>
              <w:jc w:val="left"/>
            </w:pPr>
            <w:r>
              <w:t xml:space="preserve">CXCL14</w:t>
            </w:r>
          </w:p>
        </w:tc>
        <w:tc>
          <w:tcPr/>
          <w:p>
            <w:pPr>
              <w:pStyle w:val="Compact"/>
              <w:jc w:val="left"/>
            </w:pPr>
            <w:r>
              <w:t xml:space="preserve">LTF</w:t>
            </w:r>
          </w:p>
        </w:tc>
        <w:tc>
          <w:tcPr/>
          <w:p>
            <w:pPr>
              <w:pStyle w:val="Compact"/>
              <w:jc w:val="left"/>
            </w:pPr>
            <w:r>
              <w:t xml:space="preserve">FOXA1</w:t>
            </w:r>
          </w:p>
        </w:tc>
        <w:tc>
          <w:tcPr/>
          <w:p>
            <w:pPr>
              <w:pStyle w:val="Compact"/>
              <w:jc w:val="left"/>
            </w:pPr>
            <w:r>
              <w:t xml:space="preserve">ACSL1</w:t>
            </w:r>
          </w:p>
        </w:tc>
        <w:tc>
          <w:tcPr/>
          <w:p>
            <w:pPr>
              <w:pStyle w:val="Compact"/>
              <w:jc w:val="left"/>
            </w:pPr>
            <w:r>
              <w:t xml:space="preserve">IL10RA</w:t>
            </w:r>
          </w:p>
        </w:tc>
        <w:tc>
          <w:tcPr/>
          <w:p>
            <w:pPr>
              <w:pStyle w:val="Compact"/>
              <w:jc w:val="left"/>
            </w:pPr>
            <w:r>
              <w:t xml:space="preserve">DOK4</w:t>
            </w:r>
          </w:p>
        </w:tc>
      </w:tr>
      <w:tr>
        <w:tc>
          <w:tcPr/>
          <w:p>
            <w:pPr>
              <w:pStyle w:val="Compact"/>
              <w:jc w:val="left"/>
            </w:pPr>
            <w:r>
              <w:t xml:space="preserve">TPPP3</w:t>
            </w:r>
          </w:p>
        </w:tc>
        <w:tc>
          <w:tcPr/>
          <w:p>
            <w:pPr>
              <w:pStyle w:val="Compact"/>
              <w:jc w:val="left"/>
            </w:pPr>
            <w:r>
              <w:t xml:space="preserve">EFHD2</w:t>
            </w:r>
          </w:p>
        </w:tc>
        <w:tc>
          <w:tcPr/>
          <w:p>
            <w:pPr>
              <w:pStyle w:val="Compact"/>
              <w:jc w:val="left"/>
            </w:pPr>
            <w:r>
              <w:t xml:space="preserve">WNK2</w:t>
            </w:r>
          </w:p>
        </w:tc>
        <w:tc>
          <w:tcPr/>
          <w:p>
            <w:pPr>
              <w:pStyle w:val="Compact"/>
              <w:jc w:val="left"/>
            </w:pPr>
            <w:r>
              <w:t xml:space="preserve">BTNL8</w:t>
            </w:r>
          </w:p>
        </w:tc>
        <w:tc>
          <w:tcPr/>
          <w:p>
            <w:pPr>
              <w:pStyle w:val="Compact"/>
              <w:jc w:val="left"/>
            </w:pPr>
            <w:r>
              <w:t xml:space="preserve">GALNT3</w:t>
            </w:r>
          </w:p>
        </w:tc>
        <w:tc>
          <w:tcPr/>
          <w:p>
            <w:pPr>
              <w:pStyle w:val="Compact"/>
              <w:jc w:val="left"/>
            </w:pPr>
            <w:r>
              <w:t xml:space="preserve">HOXB9</w:t>
            </w:r>
          </w:p>
        </w:tc>
      </w:tr>
      <w:tr>
        <w:tc>
          <w:tcPr/>
          <w:p>
            <w:pPr>
              <w:pStyle w:val="Compact"/>
              <w:jc w:val="left"/>
            </w:pPr>
            <w:r>
              <w:t xml:space="preserve">PIGR</w:t>
            </w:r>
          </w:p>
        </w:tc>
        <w:tc>
          <w:tcPr/>
          <w:p>
            <w:pPr>
              <w:pStyle w:val="Compact"/>
              <w:jc w:val="left"/>
            </w:pPr>
            <w:r>
              <w:t xml:space="preserve">ATP11A</w:t>
            </w:r>
          </w:p>
        </w:tc>
        <w:tc>
          <w:tcPr/>
          <w:p>
            <w:pPr>
              <w:pStyle w:val="Compact"/>
              <w:jc w:val="left"/>
            </w:pPr>
            <w:r>
              <w:t xml:space="preserve">SELL</w:t>
            </w:r>
          </w:p>
        </w:tc>
        <w:tc>
          <w:tcPr/>
          <w:p>
            <w:pPr>
              <w:pStyle w:val="Compact"/>
              <w:jc w:val="left"/>
            </w:pPr>
            <w:r>
              <w:t xml:space="preserve">CORO2A</w:t>
            </w:r>
          </w:p>
        </w:tc>
        <w:tc>
          <w:tcPr/>
          <w:p>
            <w:pPr>
              <w:pStyle w:val="Compact"/>
              <w:jc w:val="left"/>
            </w:pPr>
            <w:r>
              <w:t xml:space="preserve">GOLM1</w:t>
            </w:r>
          </w:p>
        </w:tc>
        <w:tc>
          <w:tcPr/>
          <w:p>
            <w:pPr>
              <w:pStyle w:val="Compact"/>
              <w:jc w:val="left"/>
            </w:pPr>
            <w:r>
              <w:t xml:space="preserve">KIAA1324</w:t>
            </w:r>
          </w:p>
        </w:tc>
      </w:tr>
      <w:tr>
        <w:tc>
          <w:tcPr/>
          <w:p>
            <w:pPr>
              <w:pStyle w:val="Compact"/>
              <w:jc w:val="left"/>
            </w:pPr>
            <w:r>
              <w:t xml:space="preserve">CYP27A1</w:t>
            </w:r>
          </w:p>
        </w:tc>
        <w:tc>
          <w:tcPr/>
          <w:p>
            <w:pPr>
              <w:pStyle w:val="Compact"/>
              <w:jc w:val="left"/>
            </w:pPr>
            <w:r>
              <w:t xml:space="preserve">GP2</w:t>
            </w:r>
          </w:p>
        </w:tc>
        <w:tc>
          <w:tcPr/>
          <w:p>
            <w:pPr>
              <w:pStyle w:val="Compact"/>
              <w:jc w:val="left"/>
            </w:pPr>
            <w:r>
              <w:t xml:space="preserve">PLEKHA6</w:t>
            </w:r>
          </w:p>
        </w:tc>
        <w:tc>
          <w:tcPr/>
          <w:p>
            <w:pPr>
              <w:pStyle w:val="Compact"/>
              <w:jc w:val="left"/>
            </w:pPr>
            <w:r>
              <w:t xml:space="preserve">LAD1</w:t>
            </w:r>
          </w:p>
        </w:tc>
        <w:tc>
          <w:tcPr/>
          <w:p>
            <w:pPr>
              <w:pStyle w:val="Compact"/>
              <w:jc w:val="left"/>
            </w:pPr>
            <w:r>
              <w:t xml:space="preserve">TNFAIP2</w:t>
            </w:r>
          </w:p>
        </w:tc>
        <w:tc>
          <w:tcPr/>
          <w:p>
            <w:pPr>
              <w:pStyle w:val="Compact"/>
              <w:jc w:val="left"/>
            </w:pPr>
            <w:r>
              <w:t xml:space="preserve">TRIM2</w:t>
            </w:r>
          </w:p>
        </w:tc>
      </w:tr>
      <w:tr>
        <w:tc>
          <w:tcPr/>
          <w:p>
            <w:pPr>
              <w:pStyle w:val="Compact"/>
              <w:jc w:val="left"/>
            </w:pPr>
            <w:r>
              <w:t xml:space="preserve">ADAM8</w:t>
            </w:r>
          </w:p>
        </w:tc>
        <w:tc>
          <w:tcPr/>
          <w:p>
            <w:pPr>
              <w:pStyle w:val="Compact"/>
              <w:jc w:val="left"/>
            </w:pPr>
            <w:r>
              <w:t xml:space="preserve">HIPK2</w:t>
            </w:r>
          </w:p>
        </w:tc>
        <w:tc>
          <w:tcPr/>
          <w:p>
            <w:pPr>
              <w:pStyle w:val="Compact"/>
              <w:jc w:val="left"/>
            </w:pPr>
            <w:r>
              <w:t xml:space="preserve">NFASC</w:t>
            </w:r>
          </w:p>
        </w:tc>
        <w:tc>
          <w:tcPr/>
          <w:p>
            <w:pPr>
              <w:pStyle w:val="Compact"/>
              <w:jc w:val="left"/>
            </w:pPr>
            <w:r>
              <w:t xml:space="preserve">TMEM63A</w:t>
            </w:r>
          </w:p>
        </w:tc>
        <w:tc>
          <w:tcPr/>
          <w:p>
            <w:pPr>
              <w:pStyle w:val="Compact"/>
              <w:jc w:val="left"/>
            </w:pPr>
            <w:r>
              <w:t xml:space="preserve">CD79B</w:t>
            </w:r>
          </w:p>
        </w:tc>
        <w:tc>
          <w:tcPr/>
          <w:p>
            <w:pPr>
              <w:pStyle w:val="Compact"/>
              <w:jc w:val="left"/>
            </w:pPr>
            <w:r>
              <w:t xml:space="preserve">FGFBP1</w:t>
            </w:r>
          </w:p>
        </w:tc>
      </w:tr>
      <w:tr>
        <w:tc>
          <w:tcPr/>
          <w:p>
            <w:pPr>
              <w:pStyle w:val="Compact"/>
              <w:jc w:val="left"/>
            </w:pPr>
            <w:r>
              <w:t xml:space="preserve">FGFR3</w:t>
            </w:r>
          </w:p>
        </w:tc>
        <w:tc>
          <w:tcPr/>
          <w:p>
            <w:pPr>
              <w:pStyle w:val="Compact"/>
              <w:jc w:val="left"/>
            </w:pPr>
            <w:r>
              <w:t xml:space="preserve">SLC26A9</w:t>
            </w:r>
          </w:p>
        </w:tc>
        <w:tc>
          <w:tcPr/>
          <w:p>
            <w:pPr>
              <w:pStyle w:val="Compact"/>
              <w:jc w:val="left"/>
            </w:pPr>
            <w:r>
              <w:t xml:space="preserve">EGR3</w:t>
            </w:r>
          </w:p>
        </w:tc>
        <w:tc>
          <w:tcPr/>
          <w:p>
            <w:pPr>
              <w:pStyle w:val="Compact"/>
              <w:jc w:val="left"/>
            </w:pPr>
            <w:r>
              <w:t xml:space="preserve">GC</w:t>
            </w:r>
          </w:p>
        </w:tc>
        <w:tc>
          <w:tcPr/>
          <w:p>
            <w:pPr>
              <w:pStyle w:val="Compact"/>
              <w:jc w:val="left"/>
            </w:pPr>
            <w:r>
              <w:t xml:space="preserve">ENPP2</w:t>
            </w:r>
          </w:p>
        </w:tc>
        <w:tc>
          <w:tcPr/>
          <w:p>
            <w:pPr>
              <w:pStyle w:val="Compact"/>
              <w:jc w:val="left"/>
            </w:pPr>
            <w:r>
              <w:t xml:space="preserve">IRX3</w:t>
            </w:r>
          </w:p>
        </w:tc>
      </w:tr>
      <w:tr>
        <w:tc>
          <w:tcPr/>
          <w:p>
            <w:pPr>
              <w:pStyle w:val="Compact"/>
              <w:jc w:val="left"/>
            </w:pPr>
            <w:r>
              <w:t xml:space="preserve">IGF1R</w:t>
            </w:r>
          </w:p>
        </w:tc>
        <w:tc>
          <w:tcPr/>
          <w:p>
            <w:pPr>
              <w:pStyle w:val="Compact"/>
              <w:jc w:val="left"/>
            </w:pPr>
            <w:r>
              <w:t xml:space="preserve">TACC2</w:t>
            </w:r>
          </w:p>
        </w:tc>
        <w:tc>
          <w:tcPr/>
          <w:p>
            <w:pPr>
              <w:pStyle w:val="Compact"/>
              <w:jc w:val="left"/>
            </w:pPr>
            <w:r>
              <w:t xml:space="preserve">PLIN4</w:t>
            </w:r>
          </w:p>
        </w:tc>
        <w:tc>
          <w:tcPr/>
          <w:p>
            <w:pPr>
              <w:pStyle w:val="Compact"/>
              <w:jc w:val="left"/>
            </w:pPr>
            <w:r>
              <w:t xml:space="preserve">C1orf21</w:t>
            </w:r>
          </w:p>
        </w:tc>
        <w:tc>
          <w:tcPr/>
          <w:p>
            <w:pPr>
              <w:pStyle w:val="Compact"/>
              <w:jc w:val="left"/>
            </w:pPr>
            <w:r>
              <w:t xml:space="preserve">SQLE</w:t>
            </w:r>
          </w:p>
        </w:tc>
        <w:tc>
          <w:tcPr/>
          <w:p>
            <w:pPr>
              <w:pStyle w:val="Compact"/>
              <w:jc w:val="left"/>
            </w:pPr>
            <w:r>
              <w:t xml:space="preserve">TINAGL1</w:t>
            </w:r>
          </w:p>
        </w:tc>
      </w:tr>
      <w:tr>
        <w:tc>
          <w:tcPr/>
          <w:p>
            <w:pPr>
              <w:pStyle w:val="Compact"/>
              <w:jc w:val="left"/>
            </w:pPr>
            <w:r>
              <w:t xml:space="preserve">PLEKHB1</w:t>
            </w:r>
          </w:p>
        </w:tc>
        <w:tc>
          <w:tcPr/>
          <w:p>
            <w:pPr>
              <w:pStyle w:val="Compact"/>
              <w:jc w:val="left"/>
            </w:pPr>
            <w:r>
              <w:t xml:space="preserve">TRAK1</w:t>
            </w:r>
          </w:p>
        </w:tc>
        <w:tc>
          <w:tcPr/>
          <w:p>
            <w:pPr>
              <w:pStyle w:val="Compact"/>
              <w:jc w:val="left"/>
            </w:pPr>
            <w:r>
              <w:t xml:space="preserve">WDR72</w:t>
            </w:r>
          </w:p>
        </w:tc>
        <w:tc>
          <w:tcPr/>
          <w:p>
            <w:pPr>
              <w:pStyle w:val="Compact"/>
              <w:jc w:val="left"/>
            </w:pPr>
            <w:r>
              <w:t xml:space="preserve">MIF</w:t>
            </w:r>
          </w:p>
        </w:tc>
        <w:tc>
          <w:tcPr/>
          <w:p>
            <w:pPr>
              <w:pStyle w:val="Compact"/>
              <w:jc w:val="left"/>
            </w:pPr>
            <w:r>
              <w:t xml:space="preserve">KLF4</w:t>
            </w:r>
          </w:p>
        </w:tc>
        <w:tc>
          <w:tcPr/>
          <w:p>
            <w:pPr>
              <w:pStyle w:val="Compact"/>
              <w:jc w:val="left"/>
            </w:pPr>
            <w:r>
              <w:t xml:space="preserve">SFRP4</w:t>
            </w:r>
          </w:p>
        </w:tc>
      </w:tr>
      <w:tr>
        <w:tc>
          <w:tcPr/>
          <w:p>
            <w:pPr>
              <w:pStyle w:val="Compact"/>
              <w:jc w:val="left"/>
            </w:pPr>
            <w:r>
              <w:t xml:space="preserve">CPXM1</w:t>
            </w:r>
          </w:p>
        </w:tc>
        <w:tc>
          <w:tcPr/>
          <w:p>
            <w:pPr>
              <w:pStyle w:val="Compact"/>
              <w:jc w:val="left"/>
            </w:pPr>
            <w:r>
              <w:t xml:space="preserve">SAA1</w:t>
            </w:r>
          </w:p>
        </w:tc>
        <w:tc>
          <w:tcPr/>
          <w:p>
            <w:pPr>
              <w:pStyle w:val="Compact"/>
              <w:jc w:val="left"/>
            </w:pPr>
            <w:r>
              <w:t xml:space="preserve">AMY2A</w:t>
            </w:r>
          </w:p>
        </w:tc>
        <w:tc>
          <w:tcPr/>
          <w:p>
            <w:pPr>
              <w:pStyle w:val="Compact"/>
              <w:jc w:val="left"/>
            </w:pPr>
            <w:r>
              <w:t xml:space="preserve">FOXA2</w:t>
            </w:r>
          </w:p>
        </w:tc>
        <w:tc>
          <w:tcPr/>
          <w:p>
            <w:pPr>
              <w:pStyle w:val="Compact"/>
              <w:jc w:val="left"/>
            </w:pPr>
            <w:r>
              <w:t xml:space="preserve">PDLIM7</w:t>
            </w:r>
          </w:p>
        </w:tc>
        <w:tc>
          <w:tcPr/>
          <w:p>
            <w:pPr>
              <w:pStyle w:val="Compact"/>
              <w:jc w:val="left"/>
            </w:pPr>
            <w:r>
              <w:t xml:space="preserve">APLNR</w:t>
            </w:r>
          </w:p>
        </w:tc>
      </w:tr>
      <w:tr>
        <w:tc>
          <w:tcPr/>
          <w:p>
            <w:pPr>
              <w:pStyle w:val="Compact"/>
              <w:jc w:val="left"/>
            </w:pPr>
            <w:r>
              <w:t xml:space="preserve">ATP7B</w:t>
            </w:r>
          </w:p>
        </w:tc>
        <w:tc>
          <w:tcPr/>
          <w:p>
            <w:pPr>
              <w:pStyle w:val="Compact"/>
              <w:jc w:val="left"/>
            </w:pPr>
            <w:r>
              <w:t xml:space="preserve">CLDN23</w:t>
            </w:r>
          </w:p>
        </w:tc>
        <w:tc>
          <w:tcPr/>
          <w:p>
            <w:pPr>
              <w:pStyle w:val="Compact"/>
              <w:jc w:val="left"/>
            </w:pPr>
            <w:r>
              <w:t xml:space="preserve">IL16</w:t>
            </w:r>
          </w:p>
        </w:tc>
        <w:tc>
          <w:tcPr/>
          <w:p>
            <w:pPr>
              <w:pStyle w:val="Compact"/>
              <w:jc w:val="left"/>
            </w:pPr>
            <w:r>
              <w:t xml:space="preserve">CCL19</w:t>
            </w:r>
          </w:p>
        </w:tc>
        <w:tc>
          <w:tcPr/>
          <w:p>
            <w:pPr>
              <w:pStyle w:val="Compact"/>
              <w:jc w:val="left"/>
            </w:pPr>
            <w:r>
              <w:t xml:space="preserve">FOSB</w:t>
            </w:r>
          </w:p>
        </w:tc>
        <w:tc>
          <w:tcPr/>
          <w:p>
            <w:pPr>
              <w:pStyle w:val="Compact"/>
              <w:jc w:val="left"/>
            </w:pPr>
            <w:r>
              <w:t xml:space="preserve">AGRN</w:t>
            </w:r>
          </w:p>
        </w:tc>
      </w:tr>
      <w:tr>
        <w:tc>
          <w:tcPr/>
          <w:p>
            <w:pPr>
              <w:pStyle w:val="Compact"/>
              <w:jc w:val="left"/>
            </w:pPr>
            <w:r>
              <w:t xml:space="preserve">SLC12A2</w:t>
            </w:r>
          </w:p>
        </w:tc>
        <w:tc>
          <w:tcPr/>
          <w:p>
            <w:pPr>
              <w:pStyle w:val="Compact"/>
              <w:jc w:val="left"/>
            </w:pPr>
            <w:r>
              <w:t xml:space="preserve">FOXJ1</w:t>
            </w:r>
          </w:p>
        </w:tc>
        <w:tc>
          <w:tcPr/>
          <w:p>
            <w:pPr>
              <w:pStyle w:val="Compact"/>
              <w:jc w:val="left"/>
            </w:pPr>
            <w:r>
              <w:t xml:space="preserve">TJP3</w:t>
            </w:r>
          </w:p>
        </w:tc>
        <w:tc>
          <w:tcPr/>
          <w:p>
            <w:pPr>
              <w:pStyle w:val="Compact"/>
              <w:jc w:val="left"/>
            </w:pPr>
            <w:r>
              <w:t xml:space="preserve">GSTA1</w:t>
            </w:r>
          </w:p>
        </w:tc>
        <w:tc>
          <w:tcPr/>
          <w:p>
            <w:pPr>
              <w:pStyle w:val="Compact"/>
              <w:jc w:val="left"/>
            </w:pPr>
            <w:r>
              <w:t xml:space="preserve">RHPN2</w:t>
            </w:r>
          </w:p>
        </w:tc>
        <w:tc>
          <w:tcPr/>
          <w:p>
            <w:pPr>
              <w:pStyle w:val="Compact"/>
              <w:jc w:val="left"/>
            </w:pPr>
            <w:r>
              <w:t xml:space="preserve">SLC25A25</w:t>
            </w:r>
          </w:p>
        </w:tc>
      </w:tr>
      <w:tr>
        <w:tc>
          <w:tcPr/>
          <w:p>
            <w:pPr>
              <w:pStyle w:val="Compact"/>
              <w:jc w:val="left"/>
            </w:pPr>
            <w:r>
              <w:t xml:space="preserve">CCL20</w:t>
            </w:r>
          </w:p>
        </w:tc>
        <w:tc>
          <w:tcPr/>
          <w:p>
            <w:pPr>
              <w:pStyle w:val="Compact"/>
              <w:jc w:val="left"/>
            </w:pPr>
            <w:r>
              <w:t xml:space="preserve">FRY</w:t>
            </w:r>
          </w:p>
        </w:tc>
        <w:tc>
          <w:tcPr/>
          <w:p>
            <w:pPr>
              <w:pStyle w:val="Compact"/>
              <w:jc w:val="left"/>
            </w:pPr>
            <w:r>
              <w:t xml:space="preserve">SLC9A2</w:t>
            </w:r>
          </w:p>
        </w:tc>
        <w:tc>
          <w:tcPr/>
          <w:p>
            <w:pPr>
              <w:pStyle w:val="Compact"/>
              <w:jc w:val="left"/>
            </w:pPr>
            <w:r>
              <w:t xml:space="preserve">LLGL2</w:t>
            </w:r>
          </w:p>
        </w:tc>
        <w:tc>
          <w:tcPr/>
          <w:p>
            <w:pPr>
              <w:pStyle w:val="Compact"/>
              <w:jc w:val="left"/>
            </w:pPr>
            <w:r>
              <w:t xml:space="preserve">SCG2</w:t>
            </w:r>
          </w:p>
        </w:tc>
        <w:tc>
          <w:tcPr/>
          <w:p>
            <w:pPr>
              <w:pStyle w:val="Compact"/>
              <w:jc w:val="left"/>
            </w:pPr>
            <w:r>
              <w:t xml:space="preserve">PODN</w:t>
            </w:r>
          </w:p>
        </w:tc>
      </w:tr>
      <w:tr>
        <w:tc>
          <w:tcPr/>
          <w:p>
            <w:pPr>
              <w:pStyle w:val="Compact"/>
              <w:jc w:val="left"/>
            </w:pPr>
            <w:r>
              <w:t xml:space="preserve">AKNA</w:t>
            </w:r>
          </w:p>
        </w:tc>
        <w:tc>
          <w:tcPr/>
          <w:p>
            <w:pPr>
              <w:pStyle w:val="Compact"/>
              <w:jc w:val="left"/>
            </w:pPr>
            <w:r>
              <w:t xml:space="preserve">GATA6</w:t>
            </w:r>
          </w:p>
        </w:tc>
        <w:tc>
          <w:tcPr/>
          <w:p>
            <w:pPr>
              <w:pStyle w:val="Compact"/>
              <w:jc w:val="left"/>
            </w:pPr>
            <w:r>
              <w:t xml:space="preserve">LMOD1</w:t>
            </w:r>
          </w:p>
        </w:tc>
        <w:tc>
          <w:tcPr/>
          <w:p>
            <w:pPr>
              <w:pStyle w:val="Compact"/>
              <w:jc w:val="left"/>
            </w:pPr>
            <w:r>
              <w:t xml:space="preserve">ACP5</w:t>
            </w:r>
          </w:p>
        </w:tc>
        <w:tc>
          <w:tcPr/>
          <w:p>
            <w:pPr>
              <w:pStyle w:val="Compact"/>
              <w:jc w:val="left"/>
            </w:pPr>
            <w:r>
              <w:t xml:space="preserve">EMILIN1</w:t>
            </w:r>
          </w:p>
        </w:tc>
        <w:tc>
          <w:tcPr/>
          <w:p>
            <w:pPr>
              <w:pStyle w:val="Compact"/>
              <w:jc w:val="left"/>
            </w:pPr>
            <w:r>
              <w:t xml:space="preserve">ITIH2</w:t>
            </w:r>
          </w:p>
        </w:tc>
      </w:tr>
      <w:tr>
        <w:tc>
          <w:tcPr/>
          <w:p>
            <w:pPr>
              <w:pStyle w:val="Compact"/>
              <w:jc w:val="left"/>
            </w:pPr>
            <w:r>
              <w:t xml:space="preserve">COL16A1</w:t>
            </w:r>
          </w:p>
        </w:tc>
        <w:tc>
          <w:tcPr/>
          <w:p>
            <w:pPr>
              <w:pStyle w:val="Compact"/>
              <w:jc w:val="left"/>
            </w:pPr>
            <w:r>
              <w:t xml:space="preserve">PLXNA2</w:t>
            </w:r>
          </w:p>
        </w:tc>
        <w:tc>
          <w:tcPr/>
          <w:p>
            <w:pPr>
              <w:pStyle w:val="Compact"/>
              <w:jc w:val="left"/>
            </w:pPr>
            <w:r>
              <w:t xml:space="preserve">CPS1</w:t>
            </w:r>
          </w:p>
        </w:tc>
        <w:tc>
          <w:tcPr/>
          <w:p>
            <w:pPr>
              <w:pStyle w:val="Compact"/>
              <w:jc w:val="left"/>
            </w:pPr>
            <w:r>
              <w:t xml:space="preserve">UGT2B15</w:t>
            </w:r>
          </w:p>
        </w:tc>
        <w:tc>
          <w:tcPr/>
          <w:p>
            <w:pPr>
              <w:pStyle w:val="Compact"/>
              <w:jc w:val="left"/>
            </w:pPr>
            <w:r>
              <w:t xml:space="preserve">BACE2</w:t>
            </w:r>
          </w:p>
        </w:tc>
        <w:tc>
          <w:tcPr/>
          <w:p>
            <w:pPr>
              <w:pStyle w:val="Compact"/>
              <w:jc w:val="left"/>
            </w:pPr>
            <w:r>
              <w:t xml:space="preserve">FLJ23867</w:t>
            </w:r>
          </w:p>
        </w:tc>
      </w:tr>
    </w:tbl>
    <w:p>
      <w:pPr>
        <w:pStyle w:val="BodyText"/>
      </w:pPr>
      <w:r>
        <w:rPr>
          <w:iCs/>
          <w:i/>
        </w:rPr>
        <w:t xml:space="preserve">Top 270 genes for DeSurv factor D1, classical tumor and restCAF-like stroma, ranked by factor specificity score</w:t>
      </w:r>
      <w:r>
        <w:rPr>
          <w:iCs/>
          <w:i/>
        </w:rPr>
        <w:t xml:space="preserve"> </w:t>
      </w:r>
      <m:oMath>
        <m:sSub>
          <m:e>
            <m:r>
              <m:t>s</m:t>
            </m:r>
          </m:e>
          <m:sub>
            <m:r>
              <m:t>i</m:t>
            </m:r>
            <m:r>
              <m:t>j</m:t>
            </m:r>
          </m:sub>
        </m:sSub>
      </m:oMath>
      <w:r>
        <w:rPr>
          <w:iCs/>
          <w:i/>
        </w:rPr>
        <w:t xml:space="preserve">. The 270-gene cutoff corresponds to the Bayesian optimization–selected projection dimension (</w:t>
      </w:r>
      <m:oMath>
        <m:sSub>
          <m:e>
            <m:r>
              <m:t>n</m:t>
            </m:r>
          </m:e>
          <m:sub>
            <m:r>
              <m:rPr>
                <m:nor/>
                <m:sty m:val="p"/>
              </m:rPr>
              <m:t>top</m:t>
            </m:r>
          </m:sub>
        </m:sSub>
      </m:oMath>
      <w:r>
        <w:rPr>
          <w:iCs/>
          <w:i/>
        </w:rPr>
        <w:t xml:space="preserve">).</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rPr>
                <w:bCs/>
                <w:b/>
              </w:rPr>
              <w:t xml:space="preserve">Factor D2 (proCAF-like stroma)</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1–45</w:t>
            </w:r>
          </w:p>
        </w:tc>
        <w:tc>
          <w:tcPr/>
          <w:p>
            <w:pPr>
              <w:pStyle w:val="Compact"/>
              <w:jc w:val="left"/>
            </w:pPr>
            <w:r>
              <w:t xml:space="preserve">46–90</w:t>
            </w:r>
          </w:p>
        </w:tc>
        <w:tc>
          <w:tcPr/>
          <w:p>
            <w:pPr>
              <w:pStyle w:val="Compact"/>
              <w:jc w:val="left"/>
            </w:pPr>
            <w:r>
              <w:t xml:space="preserve">91–135</w:t>
            </w:r>
          </w:p>
        </w:tc>
        <w:tc>
          <w:tcPr/>
          <w:p>
            <w:pPr>
              <w:pStyle w:val="Compact"/>
              <w:jc w:val="left"/>
            </w:pPr>
            <w:r>
              <w:t xml:space="preserve">136–180</w:t>
            </w:r>
          </w:p>
        </w:tc>
        <w:tc>
          <w:tcPr/>
          <w:p>
            <w:pPr>
              <w:pStyle w:val="Compact"/>
              <w:jc w:val="left"/>
            </w:pPr>
            <w:r>
              <w:t xml:space="preserve">181–225</w:t>
            </w:r>
          </w:p>
        </w:tc>
        <w:tc>
          <w:tcPr/>
          <w:p>
            <w:pPr>
              <w:pStyle w:val="Compact"/>
              <w:jc w:val="left"/>
            </w:pPr>
            <w:r>
              <w:t xml:space="preserve">226–270</w:t>
            </w:r>
          </w:p>
        </w:tc>
      </w:tr>
      <w:tr>
        <w:tc>
          <w:tcPr/>
          <w:p>
            <w:pPr>
              <w:pStyle w:val="Compact"/>
              <w:jc w:val="left"/>
            </w:pPr>
            <w:r>
              <w:t xml:space="preserve">UHMK1</w:t>
            </w:r>
          </w:p>
        </w:tc>
        <w:tc>
          <w:tcPr/>
          <w:p>
            <w:pPr>
              <w:pStyle w:val="Compact"/>
              <w:jc w:val="left"/>
            </w:pPr>
            <w:r>
              <w:t xml:space="preserve">RPS26</w:t>
            </w:r>
          </w:p>
        </w:tc>
        <w:tc>
          <w:tcPr/>
          <w:p>
            <w:pPr>
              <w:pStyle w:val="Compact"/>
              <w:jc w:val="left"/>
            </w:pPr>
            <w:r>
              <w:t xml:space="preserve">SAMD9L</w:t>
            </w:r>
          </w:p>
        </w:tc>
        <w:tc>
          <w:tcPr/>
          <w:p>
            <w:pPr>
              <w:pStyle w:val="Compact"/>
              <w:jc w:val="left"/>
            </w:pPr>
            <w:r>
              <w:t xml:space="preserve">ATP8A1</w:t>
            </w:r>
          </w:p>
        </w:tc>
        <w:tc>
          <w:tcPr/>
          <w:p>
            <w:pPr>
              <w:pStyle w:val="Compact"/>
              <w:jc w:val="left"/>
            </w:pPr>
            <w:r>
              <w:t xml:space="preserve">IRF6</w:t>
            </w:r>
          </w:p>
        </w:tc>
        <w:tc>
          <w:tcPr/>
          <w:p>
            <w:pPr>
              <w:pStyle w:val="Compact"/>
              <w:jc w:val="left"/>
            </w:pPr>
            <w:r>
              <w:t xml:space="preserve">RASSF2</w:t>
            </w:r>
          </w:p>
        </w:tc>
      </w:tr>
      <w:tr>
        <w:tc>
          <w:tcPr/>
          <w:p>
            <w:pPr>
              <w:pStyle w:val="Compact"/>
              <w:jc w:val="left"/>
            </w:pPr>
            <w:r>
              <w:t xml:space="preserve">DDR2</w:t>
            </w:r>
          </w:p>
        </w:tc>
        <w:tc>
          <w:tcPr/>
          <w:p>
            <w:pPr>
              <w:pStyle w:val="Compact"/>
              <w:jc w:val="left"/>
            </w:pPr>
            <w:r>
              <w:t xml:space="preserve">MYLK</w:t>
            </w:r>
          </w:p>
        </w:tc>
        <w:tc>
          <w:tcPr/>
          <w:p>
            <w:pPr>
              <w:pStyle w:val="Compact"/>
              <w:jc w:val="left"/>
            </w:pPr>
            <w:r>
              <w:t xml:space="preserve">DOCK2</w:t>
            </w:r>
          </w:p>
        </w:tc>
        <w:tc>
          <w:tcPr/>
          <w:p>
            <w:pPr>
              <w:pStyle w:val="Compact"/>
              <w:jc w:val="left"/>
            </w:pPr>
            <w:r>
              <w:t xml:space="preserve">TGFBR1</w:t>
            </w:r>
          </w:p>
        </w:tc>
        <w:tc>
          <w:tcPr/>
          <w:p>
            <w:pPr>
              <w:pStyle w:val="Compact"/>
              <w:jc w:val="left"/>
            </w:pPr>
            <w:r>
              <w:t xml:space="preserve">KLHL6</w:t>
            </w:r>
          </w:p>
        </w:tc>
        <w:tc>
          <w:tcPr/>
          <w:p>
            <w:pPr>
              <w:pStyle w:val="Compact"/>
              <w:jc w:val="left"/>
            </w:pPr>
            <w:r>
              <w:t xml:space="preserve">ZNF83</w:t>
            </w:r>
          </w:p>
        </w:tc>
      </w:tr>
      <w:tr>
        <w:tc>
          <w:tcPr/>
          <w:p>
            <w:pPr>
              <w:pStyle w:val="Compact"/>
              <w:jc w:val="left"/>
            </w:pPr>
            <w:r>
              <w:t xml:space="preserve">INHBA</w:t>
            </w:r>
          </w:p>
        </w:tc>
        <w:tc>
          <w:tcPr/>
          <w:p>
            <w:pPr>
              <w:pStyle w:val="Compact"/>
              <w:jc w:val="left"/>
            </w:pPr>
            <w:r>
              <w:t xml:space="preserve">COL11A1</w:t>
            </w:r>
          </w:p>
        </w:tc>
        <w:tc>
          <w:tcPr/>
          <w:p>
            <w:pPr>
              <w:pStyle w:val="Compact"/>
              <w:jc w:val="left"/>
            </w:pPr>
            <w:r>
              <w:t xml:space="preserve">IGF1</w:t>
            </w:r>
          </w:p>
        </w:tc>
        <w:tc>
          <w:tcPr/>
          <w:p>
            <w:pPr>
              <w:pStyle w:val="Compact"/>
              <w:jc w:val="left"/>
            </w:pPr>
            <w:r>
              <w:t xml:space="preserve">SYNPO2</w:t>
            </w:r>
          </w:p>
        </w:tc>
        <w:tc>
          <w:tcPr/>
          <w:p>
            <w:pPr>
              <w:pStyle w:val="Compact"/>
              <w:jc w:val="left"/>
            </w:pPr>
            <w:r>
              <w:t xml:space="preserve">C1QTNF3</w:t>
            </w:r>
          </w:p>
        </w:tc>
        <w:tc>
          <w:tcPr/>
          <w:p>
            <w:pPr>
              <w:pStyle w:val="Compact"/>
              <w:jc w:val="left"/>
            </w:pPr>
            <w:r>
              <w:t xml:space="preserve">CYTIP</w:t>
            </w:r>
          </w:p>
        </w:tc>
      </w:tr>
      <w:tr>
        <w:tc>
          <w:tcPr/>
          <w:p>
            <w:pPr>
              <w:pStyle w:val="Compact"/>
              <w:jc w:val="left"/>
            </w:pPr>
            <w:r>
              <w:t xml:space="preserve">DYNC2H1</w:t>
            </w:r>
          </w:p>
        </w:tc>
        <w:tc>
          <w:tcPr/>
          <w:p>
            <w:pPr>
              <w:pStyle w:val="Compact"/>
              <w:jc w:val="left"/>
            </w:pPr>
            <w:r>
              <w:t xml:space="preserve">NFIB</w:t>
            </w:r>
          </w:p>
        </w:tc>
        <w:tc>
          <w:tcPr/>
          <w:p>
            <w:pPr>
              <w:pStyle w:val="Compact"/>
              <w:jc w:val="left"/>
            </w:pPr>
            <w:r>
              <w:t xml:space="preserve">TACC1</w:t>
            </w:r>
          </w:p>
        </w:tc>
        <w:tc>
          <w:tcPr/>
          <w:p>
            <w:pPr>
              <w:pStyle w:val="Compact"/>
              <w:jc w:val="left"/>
            </w:pPr>
            <w:r>
              <w:t xml:space="preserve">PDE4B</w:t>
            </w:r>
          </w:p>
        </w:tc>
        <w:tc>
          <w:tcPr/>
          <w:p>
            <w:pPr>
              <w:pStyle w:val="Compact"/>
              <w:jc w:val="left"/>
            </w:pPr>
            <w:r>
              <w:t xml:space="preserve">PCLO</w:t>
            </w:r>
          </w:p>
        </w:tc>
        <w:tc>
          <w:tcPr/>
          <w:p>
            <w:pPr>
              <w:pStyle w:val="Compact"/>
              <w:jc w:val="left"/>
            </w:pPr>
            <w:r>
              <w:t xml:space="preserve">SRPX2</w:t>
            </w:r>
          </w:p>
        </w:tc>
      </w:tr>
      <w:tr>
        <w:tc>
          <w:tcPr/>
          <w:p>
            <w:pPr>
              <w:pStyle w:val="Compact"/>
              <w:jc w:val="left"/>
            </w:pPr>
            <w:r>
              <w:t xml:space="preserve">ZDHHC20</w:t>
            </w:r>
          </w:p>
        </w:tc>
        <w:tc>
          <w:tcPr/>
          <w:p>
            <w:pPr>
              <w:pStyle w:val="Compact"/>
              <w:jc w:val="left"/>
            </w:pPr>
            <w:r>
              <w:t xml:space="preserve">PTPN13</w:t>
            </w:r>
          </w:p>
        </w:tc>
        <w:tc>
          <w:tcPr/>
          <w:p>
            <w:pPr>
              <w:pStyle w:val="Compact"/>
              <w:jc w:val="left"/>
            </w:pPr>
            <w:r>
              <w:t xml:space="preserve">CFH</w:t>
            </w:r>
          </w:p>
        </w:tc>
        <w:tc>
          <w:tcPr/>
          <w:p>
            <w:pPr>
              <w:pStyle w:val="Compact"/>
              <w:jc w:val="left"/>
            </w:pPr>
            <w:r>
              <w:t xml:space="preserve">SGCD</w:t>
            </w:r>
          </w:p>
        </w:tc>
        <w:tc>
          <w:tcPr/>
          <w:p>
            <w:pPr>
              <w:pStyle w:val="Compact"/>
              <w:jc w:val="left"/>
            </w:pPr>
            <w:r>
              <w:t xml:space="preserve">ITGA2</w:t>
            </w:r>
          </w:p>
        </w:tc>
        <w:tc>
          <w:tcPr/>
          <w:p>
            <w:pPr>
              <w:pStyle w:val="Compact"/>
              <w:jc w:val="left"/>
            </w:pPr>
            <w:r>
              <w:t xml:space="preserve">LY75</w:t>
            </w:r>
          </w:p>
        </w:tc>
      </w:tr>
      <w:tr>
        <w:tc>
          <w:tcPr/>
          <w:p>
            <w:pPr>
              <w:pStyle w:val="Compact"/>
              <w:jc w:val="left"/>
            </w:pPr>
            <w:r>
              <w:t xml:space="preserve">ITPR2</w:t>
            </w:r>
          </w:p>
        </w:tc>
        <w:tc>
          <w:tcPr/>
          <w:p>
            <w:pPr>
              <w:pStyle w:val="Compact"/>
              <w:jc w:val="left"/>
            </w:pPr>
            <w:r>
              <w:t xml:space="preserve">PDE3A</w:t>
            </w:r>
          </w:p>
        </w:tc>
        <w:tc>
          <w:tcPr/>
          <w:p>
            <w:pPr>
              <w:pStyle w:val="Compact"/>
              <w:jc w:val="left"/>
            </w:pPr>
            <w:r>
              <w:t xml:space="preserve">DMD</w:t>
            </w:r>
          </w:p>
        </w:tc>
        <w:tc>
          <w:tcPr/>
          <w:p>
            <w:pPr>
              <w:pStyle w:val="Compact"/>
              <w:jc w:val="left"/>
            </w:pPr>
            <w:r>
              <w:t xml:space="preserve">STK17B</w:t>
            </w:r>
          </w:p>
        </w:tc>
        <w:tc>
          <w:tcPr/>
          <w:p>
            <w:pPr>
              <w:pStyle w:val="Compact"/>
              <w:jc w:val="left"/>
            </w:pPr>
            <w:r>
              <w:t xml:space="preserve">LRIG3</w:t>
            </w:r>
          </w:p>
        </w:tc>
        <w:tc>
          <w:tcPr/>
          <w:p>
            <w:pPr>
              <w:pStyle w:val="Compact"/>
              <w:jc w:val="left"/>
            </w:pPr>
            <w:r>
              <w:t xml:space="preserve">HLA-DOA</w:t>
            </w:r>
          </w:p>
        </w:tc>
      </w:tr>
      <w:tr>
        <w:tc>
          <w:tcPr/>
          <w:p>
            <w:pPr>
              <w:pStyle w:val="Compact"/>
              <w:jc w:val="left"/>
            </w:pPr>
            <w:r>
              <w:t xml:space="preserve">HMCN1</w:t>
            </w:r>
          </w:p>
        </w:tc>
        <w:tc>
          <w:tcPr/>
          <w:p>
            <w:pPr>
              <w:pStyle w:val="Compact"/>
              <w:jc w:val="left"/>
            </w:pPr>
            <w:r>
              <w:t xml:space="preserve">TRIM22</w:t>
            </w:r>
          </w:p>
        </w:tc>
        <w:tc>
          <w:tcPr/>
          <w:p>
            <w:pPr>
              <w:pStyle w:val="Compact"/>
              <w:jc w:val="left"/>
            </w:pPr>
            <w:r>
              <w:t xml:space="preserve">PCDH7</w:t>
            </w:r>
          </w:p>
        </w:tc>
        <w:tc>
          <w:tcPr/>
          <w:p>
            <w:pPr>
              <w:pStyle w:val="Compact"/>
              <w:jc w:val="left"/>
            </w:pPr>
            <w:r>
              <w:t xml:space="preserve">NUAK1</w:t>
            </w:r>
          </w:p>
        </w:tc>
        <w:tc>
          <w:tcPr/>
          <w:p>
            <w:pPr>
              <w:pStyle w:val="Compact"/>
              <w:jc w:val="left"/>
            </w:pPr>
            <w:r>
              <w:t xml:space="preserve">SSPN</w:t>
            </w:r>
          </w:p>
        </w:tc>
        <w:tc>
          <w:tcPr/>
          <w:p>
            <w:pPr>
              <w:pStyle w:val="Compact"/>
              <w:jc w:val="left"/>
            </w:pPr>
            <w:r>
              <w:t xml:space="preserve">STK38L</w:t>
            </w:r>
          </w:p>
        </w:tc>
      </w:tr>
      <w:tr>
        <w:tc>
          <w:tcPr/>
          <w:p>
            <w:pPr>
              <w:pStyle w:val="Compact"/>
              <w:jc w:val="left"/>
            </w:pPr>
            <w:r>
              <w:t xml:space="preserve">LAMA2</w:t>
            </w:r>
          </w:p>
        </w:tc>
        <w:tc>
          <w:tcPr/>
          <w:p>
            <w:pPr>
              <w:pStyle w:val="Compact"/>
              <w:jc w:val="left"/>
            </w:pPr>
            <w:r>
              <w:t xml:space="preserve">DPYD</w:t>
            </w:r>
          </w:p>
        </w:tc>
        <w:tc>
          <w:tcPr/>
          <w:p>
            <w:pPr>
              <w:pStyle w:val="Compact"/>
              <w:jc w:val="left"/>
            </w:pPr>
            <w:r>
              <w:t xml:space="preserve">MALAT1</w:t>
            </w:r>
          </w:p>
        </w:tc>
        <w:tc>
          <w:tcPr/>
          <w:p>
            <w:pPr>
              <w:pStyle w:val="Compact"/>
              <w:jc w:val="left"/>
            </w:pPr>
            <w:r>
              <w:t xml:space="preserve">FCGR3A</w:t>
            </w:r>
          </w:p>
        </w:tc>
        <w:tc>
          <w:tcPr/>
          <w:p>
            <w:pPr>
              <w:pStyle w:val="Compact"/>
              <w:jc w:val="left"/>
            </w:pPr>
            <w:r>
              <w:t xml:space="preserve">F2R</w:t>
            </w:r>
          </w:p>
        </w:tc>
        <w:tc>
          <w:tcPr/>
          <w:p>
            <w:pPr>
              <w:pStyle w:val="Compact"/>
              <w:jc w:val="left"/>
            </w:pPr>
            <w:r>
              <w:t xml:space="preserve">RSAD2</w:t>
            </w:r>
          </w:p>
        </w:tc>
      </w:tr>
      <w:tr>
        <w:tc>
          <w:tcPr/>
          <w:p>
            <w:pPr>
              <w:pStyle w:val="Compact"/>
              <w:jc w:val="left"/>
            </w:pPr>
            <w:r>
              <w:t xml:space="preserve">SLFN5</w:t>
            </w:r>
          </w:p>
        </w:tc>
        <w:tc>
          <w:tcPr/>
          <w:p>
            <w:pPr>
              <w:pStyle w:val="Compact"/>
              <w:jc w:val="left"/>
            </w:pPr>
            <w:r>
              <w:t xml:space="preserve">COL14A1</w:t>
            </w:r>
          </w:p>
        </w:tc>
        <w:tc>
          <w:tcPr/>
          <w:p>
            <w:pPr>
              <w:pStyle w:val="Compact"/>
              <w:jc w:val="left"/>
            </w:pPr>
            <w:r>
              <w:t xml:space="preserve">NOTCH2</w:t>
            </w:r>
          </w:p>
        </w:tc>
        <w:tc>
          <w:tcPr/>
          <w:p>
            <w:pPr>
              <w:pStyle w:val="Compact"/>
              <w:jc w:val="left"/>
            </w:pPr>
            <w:r>
              <w:t xml:space="preserve">GPNMB</w:t>
            </w:r>
          </w:p>
        </w:tc>
        <w:tc>
          <w:tcPr/>
          <w:p>
            <w:pPr>
              <w:pStyle w:val="Compact"/>
              <w:jc w:val="left"/>
            </w:pPr>
            <w:r>
              <w:t xml:space="preserve">PDGFC</w:t>
            </w:r>
          </w:p>
        </w:tc>
        <w:tc>
          <w:tcPr/>
          <w:p>
            <w:pPr>
              <w:pStyle w:val="Compact"/>
              <w:jc w:val="left"/>
            </w:pPr>
            <w:r>
              <w:t xml:space="preserve">HBB</w:t>
            </w:r>
          </w:p>
        </w:tc>
      </w:tr>
      <w:tr>
        <w:tc>
          <w:tcPr/>
          <w:p>
            <w:pPr>
              <w:pStyle w:val="Compact"/>
              <w:jc w:val="left"/>
            </w:pPr>
            <w:r>
              <w:t xml:space="preserve">PLXNC1</w:t>
            </w:r>
          </w:p>
        </w:tc>
        <w:tc>
          <w:tcPr/>
          <w:p>
            <w:pPr>
              <w:pStyle w:val="Compact"/>
              <w:jc w:val="left"/>
            </w:pPr>
            <w:r>
              <w:t xml:space="preserve">CNTN1</w:t>
            </w:r>
          </w:p>
        </w:tc>
        <w:tc>
          <w:tcPr/>
          <w:p>
            <w:pPr>
              <w:pStyle w:val="Compact"/>
              <w:jc w:val="left"/>
            </w:pPr>
            <w:r>
              <w:t xml:space="preserve">CDK6</w:t>
            </w:r>
          </w:p>
        </w:tc>
        <w:tc>
          <w:tcPr/>
          <w:p>
            <w:pPr>
              <w:pStyle w:val="Compact"/>
              <w:jc w:val="left"/>
            </w:pPr>
            <w:r>
              <w:t xml:space="preserve">VCAM1</w:t>
            </w:r>
          </w:p>
        </w:tc>
        <w:tc>
          <w:tcPr/>
          <w:p>
            <w:pPr>
              <w:pStyle w:val="Compact"/>
              <w:jc w:val="left"/>
            </w:pPr>
            <w:r>
              <w:t xml:space="preserve">CD109</w:t>
            </w:r>
          </w:p>
        </w:tc>
        <w:tc>
          <w:tcPr/>
          <w:p>
            <w:pPr>
              <w:pStyle w:val="Compact"/>
              <w:jc w:val="left"/>
            </w:pPr>
            <w:r>
              <w:t xml:space="preserve">HERC2P2</w:t>
            </w:r>
          </w:p>
        </w:tc>
      </w:tr>
      <w:tr>
        <w:tc>
          <w:tcPr/>
          <w:p>
            <w:pPr>
              <w:pStyle w:val="Compact"/>
              <w:jc w:val="left"/>
            </w:pPr>
            <w:r>
              <w:t xml:space="preserve">SVEP1</w:t>
            </w:r>
          </w:p>
        </w:tc>
        <w:tc>
          <w:tcPr/>
          <w:p>
            <w:pPr>
              <w:pStyle w:val="Compact"/>
              <w:jc w:val="left"/>
            </w:pPr>
            <w:r>
              <w:t xml:space="preserve">NCKAP1L</w:t>
            </w:r>
          </w:p>
        </w:tc>
        <w:tc>
          <w:tcPr/>
          <w:p>
            <w:pPr>
              <w:pStyle w:val="Compact"/>
              <w:jc w:val="left"/>
            </w:pPr>
            <w:r>
              <w:t xml:space="preserve">FBN1</w:t>
            </w:r>
          </w:p>
        </w:tc>
        <w:tc>
          <w:tcPr/>
          <w:p>
            <w:pPr>
              <w:pStyle w:val="Compact"/>
              <w:jc w:val="left"/>
            </w:pPr>
            <w:r>
              <w:t xml:space="preserve">ADAMTS9</w:t>
            </w:r>
          </w:p>
        </w:tc>
        <w:tc>
          <w:tcPr/>
          <w:p>
            <w:pPr>
              <w:pStyle w:val="Compact"/>
              <w:jc w:val="left"/>
            </w:pPr>
            <w:r>
              <w:t xml:space="preserve">CLIC4</w:t>
            </w:r>
          </w:p>
        </w:tc>
        <w:tc>
          <w:tcPr/>
          <w:p>
            <w:pPr>
              <w:pStyle w:val="Compact"/>
              <w:jc w:val="left"/>
            </w:pPr>
            <w:r>
              <w:t xml:space="preserve">AOX1</w:t>
            </w:r>
          </w:p>
        </w:tc>
      </w:tr>
      <w:tr>
        <w:tc>
          <w:tcPr/>
          <w:p>
            <w:pPr>
              <w:pStyle w:val="Compact"/>
              <w:jc w:val="left"/>
            </w:pPr>
            <w:r>
              <w:t xml:space="preserve">CYBB</w:t>
            </w:r>
          </w:p>
        </w:tc>
        <w:tc>
          <w:tcPr/>
          <w:p>
            <w:pPr>
              <w:pStyle w:val="Compact"/>
              <w:jc w:val="left"/>
            </w:pPr>
            <w:r>
              <w:t xml:space="preserve">PHLDB2</w:t>
            </w:r>
          </w:p>
        </w:tc>
        <w:tc>
          <w:tcPr/>
          <w:p>
            <w:pPr>
              <w:pStyle w:val="Compact"/>
              <w:jc w:val="left"/>
            </w:pPr>
            <w:r>
              <w:t xml:space="preserve">SYNE2</w:t>
            </w:r>
          </w:p>
        </w:tc>
        <w:tc>
          <w:tcPr/>
          <w:p>
            <w:pPr>
              <w:pStyle w:val="Compact"/>
              <w:jc w:val="left"/>
            </w:pPr>
            <w:r>
              <w:t xml:space="preserve">ITGB8</w:t>
            </w:r>
          </w:p>
        </w:tc>
        <w:tc>
          <w:tcPr/>
          <w:p>
            <w:pPr>
              <w:pStyle w:val="Compact"/>
              <w:jc w:val="left"/>
            </w:pPr>
            <w:r>
              <w:t xml:space="preserve">SORL1</w:t>
            </w:r>
          </w:p>
        </w:tc>
        <w:tc>
          <w:tcPr/>
          <w:p>
            <w:pPr>
              <w:pStyle w:val="Compact"/>
              <w:jc w:val="left"/>
            </w:pPr>
            <w:r>
              <w:t xml:space="preserve">PLIN2</w:t>
            </w:r>
          </w:p>
        </w:tc>
      </w:tr>
      <w:tr>
        <w:tc>
          <w:tcPr/>
          <w:p>
            <w:pPr>
              <w:pStyle w:val="Compact"/>
              <w:jc w:val="left"/>
            </w:pPr>
            <w:r>
              <w:t xml:space="preserve">SYNE1</w:t>
            </w:r>
          </w:p>
        </w:tc>
        <w:tc>
          <w:tcPr/>
          <w:p>
            <w:pPr>
              <w:pStyle w:val="Compact"/>
              <w:jc w:val="left"/>
            </w:pPr>
            <w:r>
              <w:t xml:space="preserve">ITGA4</w:t>
            </w:r>
          </w:p>
        </w:tc>
        <w:tc>
          <w:tcPr/>
          <w:p>
            <w:pPr>
              <w:pStyle w:val="Compact"/>
              <w:jc w:val="left"/>
            </w:pPr>
            <w:r>
              <w:t xml:space="preserve">RHOBTB3</w:t>
            </w:r>
          </w:p>
        </w:tc>
        <w:tc>
          <w:tcPr/>
          <w:p>
            <w:pPr>
              <w:pStyle w:val="Compact"/>
              <w:jc w:val="left"/>
            </w:pPr>
            <w:r>
              <w:t xml:space="preserve">CR1</w:t>
            </w:r>
          </w:p>
        </w:tc>
        <w:tc>
          <w:tcPr/>
          <w:p>
            <w:pPr>
              <w:pStyle w:val="Compact"/>
              <w:jc w:val="left"/>
            </w:pPr>
            <w:r>
              <w:t xml:space="preserve">AOAH</w:t>
            </w:r>
          </w:p>
        </w:tc>
        <w:tc>
          <w:tcPr/>
          <w:p>
            <w:pPr>
              <w:pStyle w:val="Compact"/>
              <w:jc w:val="left"/>
            </w:pPr>
            <w:r>
              <w:t xml:space="preserve">PFKFB2</w:t>
            </w:r>
          </w:p>
        </w:tc>
      </w:tr>
      <w:tr>
        <w:tc>
          <w:tcPr/>
          <w:p>
            <w:pPr>
              <w:pStyle w:val="Compact"/>
              <w:jc w:val="left"/>
            </w:pPr>
            <w:r>
              <w:t xml:space="preserve">SAMHD1</w:t>
            </w:r>
          </w:p>
        </w:tc>
        <w:tc>
          <w:tcPr/>
          <w:p>
            <w:pPr>
              <w:pStyle w:val="Compact"/>
              <w:jc w:val="left"/>
            </w:pPr>
            <w:r>
              <w:t xml:space="preserve">MACC1</w:t>
            </w:r>
          </w:p>
        </w:tc>
        <w:tc>
          <w:tcPr/>
          <w:p>
            <w:pPr>
              <w:pStyle w:val="Compact"/>
              <w:jc w:val="left"/>
            </w:pPr>
            <w:r>
              <w:t xml:space="preserve">CALCRL</w:t>
            </w:r>
          </w:p>
        </w:tc>
        <w:tc>
          <w:tcPr/>
          <w:p>
            <w:pPr>
              <w:pStyle w:val="Compact"/>
              <w:jc w:val="left"/>
            </w:pPr>
            <w:r>
              <w:t xml:space="preserve">SEPT11</w:t>
            </w:r>
          </w:p>
        </w:tc>
        <w:tc>
          <w:tcPr/>
          <w:p>
            <w:pPr>
              <w:pStyle w:val="Compact"/>
              <w:jc w:val="left"/>
            </w:pPr>
            <w:r>
              <w:t xml:space="preserve">FMO2</w:t>
            </w:r>
          </w:p>
        </w:tc>
        <w:tc>
          <w:tcPr/>
          <w:p>
            <w:pPr>
              <w:pStyle w:val="Compact"/>
              <w:jc w:val="left"/>
            </w:pPr>
            <w:r>
              <w:t xml:space="preserve">OGN</w:t>
            </w:r>
          </w:p>
        </w:tc>
      </w:tr>
      <w:tr>
        <w:tc>
          <w:tcPr/>
          <w:p>
            <w:pPr>
              <w:pStyle w:val="Compact"/>
              <w:jc w:val="left"/>
            </w:pPr>
            <w:r>
              <w:t xml:space="preserve">SKIL</w:t>
            </w:r>
          </w:p>
        </w:tc>
        <w:tc>
          <w:tcPr/>
          <w:p>
            <w:pPr>
              <w:pStyle w:val="Compact"/>
              <w:jc w:val="left"/>
            </w:pPr>
            <w:r>
              <w:t xml:space="preserve">SEMA5A</w:t>
            </w:r>
          </w:p>
        </w:tc>
        <w:tc>
          <w:tcPr/>
          <w:p>
            <w:pPr>
              <w:pStyle w:val="Compact"/>
              <w:jc w:val="left"/>
            </w:pPr>
            <w:r>
              <w:t xml:space="preserve">NRP1</w:t>
            </w:r>
          </w:p>
        </w:tc>
        <w:tc>
          <w:tcPr/>
          <w:p>
            <w:pPr>
              <w:pStyle w:val="Compact"/>
              <w:jc w:val="left"/>
            </w:pPr>
            <w:r>
              <w:t xml:space="preserve">IFI44L</w:t>
            </w:r>
          </w:p>
        </w:tc>
        <w:tc>
          <w:tcPr/>
          <w:p>
            <w:pPr>
              <w:pStyle w:val="Compact"/>
              <w:jc w:val="left"/>
            </w:pPr>
            <w:r>
              <w:t xml:space="preserve">RDX</w:t>
            </w:r>
          </w:p>
        </w:tc>
        <w:tc>
          <w:tcPr/>
          <w:p>
            <w:pPr>
              <w:pStyle w:val="Compact"/>
              <w:jc w:val="left"/>
            </w:pPr>
            <w:r>
              <w:t xml:space="preserve">DOCK10</w:t>
            </w:r>
          </w:p>
        </w:tc>
      </w:tr>
      <w:tr>
        <w:tc>
          <w:tcPr/>
          <w:p>
            <w:pPr>
              <w:pStyle w:val="Compact"/>
              <w:jc w:val="left"/>
            </w:pPr>
            <w:r>
              <w:t xml:space="preserve">ADAMTS12</w:t>
            </w:r>
          </w:p>
        </w:tc>
        <w:tc>
          <w:tcPr/>
          <w:p>
            <w:pPr>
              <w:pStyle w:val="Compact"/>
              <w:jc w:val="left"/>
            </w:pPr>
            <w:r>
              <w:t xml:space="preserve">MRC1</w:t>
            </w:r>
          </w:p>
        </w:tc>
        <w:tc>
          <w:tcPr/>
          <w:p>
            <w:pPr>
              <w:pStyle w:val="Compact"/>
              <w:jc w:val="left"/>
            </w:pPr>
            <w:r>
              <w:t xml:space="preserve">LIFR</w:t>
            </w:r>
          </w:p>
        </w:tc>
        <w:tc>
          <w:tcPr/>
          <w:p>
            <w:pPr>
              <w:pStyle w:val="Compact"/>
              <w:jc w:val="left"/>
            </w:pPr>
            <w:r>
              <w:t xml:space="preserve">ELL2</w:t>
            </w:r>
          </w:p>
        </w:tc>
        <w:tc>
          <w:tcPr/>
          <w:p>
            <w:pPr>
              <w:pStyle w:val="Compact"/>
              <w:jc w:val="left"/>
            </w:pPr>
            <w:r>
              <w:t xml:space="preserve">IL1RAP</w:t>
            </w:r>
          </w:p>
        </w:tc>
        <w:tc>
          <w:tcPr/>
          <w:p>
            <w:pPr>
              <w:pStyle w:val="Compact"/>
              <w:jc w:val="left"/>
            </w:pPr>
            <w:r>
              <w:t xml:space="preserve">RGS4</w:t>
            </w:r>
          </w:p>
        </w:tc>
      </w:tr>
      <w:tr>
        <w:tc>
          <w:tcPr/>
          <w:p>
            <w:pPr>
              <w:pStyle w:val="Compact"/>
              <w:jc w:val="left"/>
            </w:pPr>
            <w:r>
              <w:t xml:space="preserve">BICC1</w:t>
            </w:r>
          </w:p>
        </w:tc>
        <w:tc>
          <w:tcPr/>
          <w:p>
            <w:pPr>
              <w:pStyle w:val="Compact"/>
              <w:jc w:val="left"/>
            </w:pPr>
            <w:r>
              <w:t xml:space="preserve">SLIT2</w:t>
            </w:r>
          </w:p>
        </w:tc>
        <w:tc>
          <w:tcPr/>
          <w:p>
            <w:pPr>
              <w:pStyle w:val="Compact"/>
              <w:jc w:val="left"/>
            </w:pPr>
            <w:r>
              <w:t xml:space="preserve">STAB1</w:t>
            </w:r>
          </w:p>
        </w:tc>
        <w:tc>
          <w:tcPr/>
          <w:p>
            <w:pPr>
              <w:pStyle w:val="Compact"/>
              <w:jc w:val="left"/>
            </w:pPr>
            <w:r>
              <w:t xml:space="preserve">GPR183</w:t>
            </w:r>
          </w:p>
        </w:tc>
        <w:tc>
          <w:tcPr/>
          <w:p>
            <w:pPr>
              <w:pStyle w:val="Compact"/>
              <w:jc w:val="left"/>
            </w:pPr>
            <w:r>
              <w:t xml:space="preserve">GBP1</w:t>
            </w:r>
          </w:p>
        </w:tc>
        <w:tc>
          <w:tcPr/>
          <w:p>
            <w:pPr>
              <w:pStyle w:val="Compact"/>
              <w:jc w:val="left"/>
            </w:pPr>
            <w:r>
              <w:t xml:space="preserve">AXL</w:t>
            </w:r>
          </w:p>
        </w:tc>
      </w:tr>
      <w:tr>
        <w:tc>
          <w:tcPr/>
          <w:p>
            <w:pPr>
              <w:pStyle w:val="Compact"/>
              <w:jc w:val="left"/>
            </w:pPr>
            <w:r>
              <w:t xml:space="preserve">ITGA1</w:t>
            </w:r>
          </w:p>
        </w:tc>
        <w:tc>
          <w:tcPr/>
          <w:p>
            <w:pPr>
              <w:pStyle w:val="Compact"/>
              <w:jc w:val="left"/>
            </w:pPr>
            <w:r>
              <w:t xml:space="preserve">ZEB2</w:t>
            </w:r>
          </w:p>
        </w:tc>
        <w:tc>
          <w:tcPr/>
          <w:p>
            <w:pPr>
              <w:pStyle w:val="Compact"/>
              <w:jc w:val="left"/>
            </w:pPr>
            <w:r>
              <w:t xml:space="preserve">FLRT2</w:t>
            </w:r>
          </w:p>
        </w:tc>
        <w:tc>
          <w:tcPr/>
          <w:p>
            <w:pPr>
              <w:pStyle w:val="Compact"/>
              <w:jc w:val="left"/>
            </w:pPr>
            <w:r>
              <w:t xml:space="preserve">ZBTB16</w:t>
            </w:r>
          </w:p>
        </w:tc>
        <w:tc>
          <w:tcPr/>
          <w:p>
            <w:pPr>
              <w:pStyle w:val="Compact"/>
              <w:jc w:val="left"/>
            </w:pPr>
            <w:r>
              <w:t xml:space="preserve">CXCR4</w:t>
            </w:r>
          </w:p>
        </w:tc>
        <w:tc>
          <w:tcPr/>
          <w:p>
            <w:pPr>
              <w:pStyle w:val="Compact"/>
              <w:jc w:val="left"/>
            </w:pPr>
            <w:r>
              <w:t xml:space="preserve">FGD6</w:t>
            </w:r>
          </w:p>
        </w:tc>
      </w:tr>
      <w:tr>
        <w:tc>
          <w:tcPr/>
          <w:p>
            <w:pPr>
              <w:pStyle w:val="Compact"/>
              <w:jc w:val="left"/>
            </w:pPr>
            <w:r>
              <w:t xml:space="preserve">COL8A1</w:t>
            </w:r>
          </w:p>
        </w:tc>
        <w:tc>
          <w:tcPr/>
          <w:p>
            <w:pPr>
              <w:pStyle w:val="Compact"/>
              <w:jc w:val="left"/>
            </w:pPr>
            <w:r>
              <w:t xml:space="preserve">ADAM10</w:t>
            </w:r>
          </w:p>
        </w:tc>
        <w:tc>
          <w:tcPr/>
          <w:p>
            <w:pPr>
              <w:pStyle w:val="Compact"/>
              <w:jc w:val="left"/>
            </w:pPr>
            <w:r>
              <w:t xml:space="preserve">RNF144A</w:t>
            </w:r>
          </w:p>
        </w:tc>
        <w:tc>
          <w:tcPr/>
          <w:p>
            <w:pPr>
              <w:pStyle w:val="Compact"/>
              <w:jc w:val="left"/>
            </w:pPr>
            <w:r>
              <w:t xml:space="preserve">FRMD6</w:t>
            </w:r>
          </w:p>
        </w:tc>
        <w:tc>
          <w:tcPr/>
          <w:p>
            <w:pPr>
              <w:pStyle w:val="Compact"/>
              <w:jc w:val="left"/>
            </w:pPr>
            <w:r>
              <w:t xml:space="preserve">WNK1</w:t>
            </w:r>
          </w:p>
        </w:tc>
        <w:tc>
          <w:tcPr/>
          <w:p>
            <w:pPr>
              <w:pStyle w:val="Compact"/>
              <w:jc w:val="left"/>
            </w:pPr>
            <w:r>
              <w:t xml:space="preserve">CDC42BPA</w:t>
            </w:r>
          </w:p>
        </w:tc>
      </w:tr>
      <w:tr>
        <w:tc>
          <w:tcPr/>
          <w:p>
            <w:pPr>
              <w:pStyle w:val="Compact"/>
              <w:jc w:val="left"/>
            </w:pPr>
            <w:r>
              <w:t xml:space="preserve">PDGFRA</w:t>
            </w:r>
          </w:p>
        </w:tc>
        <w:tc>
          <w:tcPr/>
          <w:p>
            <w:pPr>
              <w:pStyle w:val="Compact"/>
              <w:jc w:val="left"/>
            </w:pPr>
            <w:r>
              <w:t xml:space="preserve">SAMD9</w:t>
            </w:r>
          </w:p>
        </w:tc>
        <w:tc>
          <w:tcPr/>
          <w:p>
            <w:pPr>
              <w:pStyle w:val="Compact"/>
              <w:jc w:val="left"/>
            </w:pPr>
            <w:r>
              <w:t xml:space="preserve">BCAT1</w:t>
            </w:r>
          </w:p>
        </w:tc>
        <w:tc>
          <w:tcPr/>
          <w:p>
            <w:pPr>
              <w:pStyle w:val="Compact"/>
              <w:jc w:val="left"/>
            </w:pPr>
            <w:r>
              <w:t xml:space="preserve">PDE5A</w:t>
            </w:r>
          </w:p>
        </w:tc>
        <w:tc>
          <w:tcPr/>
          <w:p>
            <w:pPr>
              <w:pStyle w:val="Compact"/>
              <w:jc w:val="left"/>
            </w:pPr>
            <w:r>
              <w:t xml:space="preserve">MFAP5</w:t>
            </w:r>
          </w:p>
        </w:tc>
        <w:tc>
          <w:tcPr/>
          <w:p>
            <w:pPr>
              <w:pStyle w:val="Compact"/>
              <w:jc w:val="left"/>
            </w:pPr>
            <w:r>
              <w:t xml:space="preserve">SLC6A6</w:t>
            </w:r>
          </w:p>
        </w:tc>
      </w:tr>
      <w:tr>
        <w:tc>
          <w:tcPr/>
          <w:p>
            <w:pPr>
              <w:pStyle w:val="Compact"/>
              <w:jc w:val="left"/>
            </w:pPr>
            <w:r>
              <w:t xml:space="preserve">ABCA1</w:t>
            </w:r>
          </w:p>
        </w:tc>
        <w:tc>
          <w:tcPr/>
          <w:p>
            <w:pPr>
              <w:pStyle w:val="Compact"/>
              <w:jc w:val="left"/>
            </w:pPr>
            <w:r>
              <w:t xml:space="preserve">MS4A7</w:t>
            </w:r>
          </w:p>
        </w:tc>
        <w:tc>
          <w:tcPr/>
          <w:p>
            <w:pPr>
              <w:pStyle w:val="Compact"/>
              <w:jc w:val="left"/>
            </w:pPr>
            <w:r>
              <w:t xml:space="preserve">CILP</w:t>
            </w:r>
          </w:p>
        </w:tc>
        <w:tc>
          <w:tcPr/>
          <w:p>
            <w:pPr>
              <w:pStyle w:val="Compact"/>
              <w:jc w:val="left"/>
            </w:pPr>
            <w:r>
              <w:t xml:space="preserve">CSF1R</w:t>
            </w:r>
          </w:p>
        </w:tc>
        <w:tc>
          <w:tcPr/>
          <w:p>
            <w:pPr>
              <w:pStyle w:val="Compact"/>
              <w:jc w:val="left"/>
            </w:pPr>
            <w:r>
              <w:t xml:space="preserve">ALDH1A3</w:t>
            </w:r>
          </w:p>
        </w:tc>
        <w:tc>
          <w:tcPr/>
          <w:p>
            <w:pPr>
              <w:pStyle w:val="Compact"/>
              <w:jc w:val="left"/>
            </w:pPr>
            <w:r>
              <w:t xml:space="preserve">RGS1</w:t>
            </w:r>
          </w:p>
        </w:tc>
      </w:tr>
      <w:tr>
        <w:tc>
          <w:tcPr/>
          <w:p>
            <w:pPr>
              <w:pStyle w:val="Compact"/>
              <w:jc w:val="left"/>
            </w:pPr>
            <w:r>
              <w:t xml:space="preserve">TCF4</w:t>
            </w:r>
          </w:p>
        </w:tc>
        <w:tc>
          <w:tcPr/>
          <w:p>
            <w:pPr>
              <w:pStyle w:val="Compact"/>
              <w:jc w:val="left"/>
            </w:pPr>
            <w:r>
              <w:t xml:space="preserve">EFEMP1</w:t>
            </w:r>
          </w:p>
        </w:tc>
        <w:tc>
          <w:tcPr/>
          <w:p>
            <w:pPr>
              <w:pStyle w:val="Compact"/>
              <w:jc w:val="left"/>
            </w:pPr>
            <w:r>
              <w:t xml:space="preserve">CCDC80</w:t>
            </w:r>
          </w:p>
        </w:tc>
        <w:tc>
          <w:tcPr/>
          <w:p>
            <w:pPr>
              <w:pStyle w:val="Compact"/>
              <w:jc w:val="left"/>
            </w:pPr>
            <w:r>
              <w:t xml:space="preserve">PLEK</w:t>
            </w:r>
          </w:p>
        </w:tc>
        <w:tc>
          <w:tcPr/>
          <w:p>
            <w:pPr>
              <w:pStyle w:val="Compact"/>
              <w:jc w:val="left"/>
            </w:pPr>
            <w:r>
              <w:t xml:space="preserve">CD53</w:t>
            </w:r>
          </w:p>
        </w:tc>
        <w:tc>
          <w:tcPr/>
          <w:p>
            <w:pPr>
              <w:pStyle w:val="Compact"/>
              <w:jc w:val="left"/>
            </w:pPr>
            <w:r>
              <w:t xml:space="preserve">KIAA1324L</w:t>
            </w:r>
          </w:p>
        </w:tc>
      </w:tr>
      <w:tr>
        <w:tc>
          <w:tcPr/>
          <w:p>
            <w:pPr>
              <w:pStyle w:val="Compact"/>
              <w:jc w:val="left"/>
            </w:pPr>
            <w:r>
              <w:t xml:space="preserve">CEP170</w:t>
            </w:r>
          </w:p>
        </w:tc>
        <w:tc>
          <w:tcPr/>
          <w:p>
            <w:pPr>
              <w:pStyle w:val="Compact"/>
              <w:jc w:val="left"/>
            </w:pPr>
            <w:r>
              <w:t xml:space="preserve">BIRC3</w:t>
            </w:r>
          </w:p>
        </w:tc>
        <w:tc>
          <w:tcPr/>
          <w:p>
            <w:pPr>
              <w:pStyle w:val="Compact"/>
              <w:jc w:val="left"/>
            </w:pPr>
            <w:r>
              <w:t xml:space="preserve">FAT4</w:t>
            </w:r>
          </w:p>
        </w:tc>
        <w:tc>
          <w:tcPr/>
          <w:p>
            <w:pPr>
              <w:pStyle w:val="Compact"/>
              <w:jc w:val="left"/>
            </w:pPr>
            <w:r>
              <w:t xml:space="preserve">SLK</w:t>
            </w:r>
          </w:p>
        </w:tc>
        <w:tc>
          <w:tcPr/>
          <w:p>
            <w:pPr>
              <w:pStyle w:val="Compact"/>
              <w:jc w:val="left"/>
            </w:pPr>
            <w:r>
              <w:t xml:space="preserve">OMD</w:t>
            </w:r>
          </w:p>
        </w:tc>
        <w:tc>
          <w:tcPr/>
          <w:p>
            <w:pPr>
              <w:pStyle w:val="Compact"/>
              <w:jc w:val="left"/>
            </w:pPr>
            <w:r>
              <w:t xml:space="preserve">CPA3</w:t>
            </w:r>
          </w:p>
        </w:tc>
      </w:tr>
      <w:tr>
        <w:tc>
          <w:tcPr/>
          <w:p>
            <w:pPr>
              <w:pStyle w:val="Compact"/>
              <w:jc w:val="left"/>
            </w:pPr>
            <w:r>
              <w:t xml:space="preserve">CD163</w:t>
            </w:r>
          </w:p>
        </w:tc>
        <w:tc>
          <w:tcPr/>
          <w:p>
            <w:pPr>
              <w:pStyle w:val="Compact"/>
              <w:jc w:val="left"/>
            </w:pPr>
            <w:r>
              <w:t xml:space="preserve">WISP1</w:t>
            </w:r>
          </w:p>
        </w:tc>
        <w:tc>
          <w:tcPr/>
          <w:p>
            <w:pPr>
              <w:pStyle w:val="Compact"/>
              <w:jc w:val="left"/>
            </w:pPr>
            <w:r>
              <w:t xml:space="preserve">BNC2</w:t>
            </w:r>
          </w:p>
        </w:tc>
        <w:tc>
          <w:tcPr/>
          <w:p>
            <w:pPr>
              <w:pStyle w:val="Compact"/>
              <w:jc w:val="left"/>
            </w:pPr>
            <w:r>
              <w:t xml:space="preserve">SLC7A2</w:t>
            </w:r>
          </w:p>
        </w:tc>
        <w:tc>
          <w:tcPr/>
          <w:p>
            <w:pPr>
              <w:pStyle w:val="Compact"/>
              <w:jc w:val="left"/>
            </w:pPr>
            <w:r>
              <w:t xml:space="preserve">PLOD2</w:t>
            </w:r>
          </w:p>
        </w:tc>
        <w:tc>
          <w:tcPr/>
          <w:p>
            <w:pPr>
              <w:pStyle w:val="Compact"/>
              <w:jc w:val="left"/>
            </w:pPr>
            <w:r>
              <w:t xml:space="preserve">CHL1</w:t>
            </w:r>
          </w:p>
        </w:tc>
      </w:tr>
      <w:tr>
        <w:tc>
          <w:tcPr/>
          <w:p>
            <w:pPr>
              <w:pStyle w:val="Compact"/>
              <w:jc w:val="left"/>
            </w:pPr>
            <w:r>
              <w:t xml:space="preserve">MAN1A1</w:t>
            </w:r>
          </w:p>
        </w:tc>
        <w:tc>
          <w:tcPr/>
          <w:p>
            <w:pPr>
              <w:pStyle w:val="Compact"/>
              <w:jc w:val="left"/>
            </w:pPr>
            <w:r>
              <w:t xml:space="preserve">LAMA4</w:t>
            </w:r>
          </w:p>
        </w:tc>
        <w:tc>
          <w:tcPr/>
          <w:p>
            <w:pPr>
              <w:pStyle w:val="Compact"/>
              <w:jc w:val="left"/>
            </w:pPr>
            <w:r>
              <w:t xml:space="preserve">LTBP1</w:t>
            </w:r>
          </w:p>
        </w:tc>
        <w:tc>
          <w:tcPr/>
          <w:p>
            <w:pPr>
              <w:pStyle w:val="Compact"/>
              <w:jc w:val="left"/>
            </w:pPr>
            <w:r>
              <w:t xml:space="preserve">HEG1</w:t>
            </w:r>
          </w:p>
        </w:tc>
        <w:tc>
          <w:tcPr/>
          <w:p>
            <w:pPr>
              <w:pStyle w:val="Compact"/>
              <w:jc w:val="left"/>
            </w:pPr>
            <w:r>
              <w:t xml:space="preserve">ITGAV</w:t>
            </w:r>
          </w:p>
        </w:tc>
        <w:tc>
          <w:tcPr/>
          <w:p>
            <w:pPr>
              <w:pStyle w:val="Compact"/>
              <w:jc w:val="left"/>
            </w:pPr>
            <w:r>
              <w:t xml:space="preserve">SLC7A11</w:t>
            </w:r>
          </w:p>
        </w:tc>
      </w:tr>
      <w:tr>
        <w:tc>
          <w:tcPr/>
          <w:p>
            <w:pPr>
              <w:pStyle w:val="Compact"/>
              <w:jc w:val="left"/>
            </w:pPr>
            <w:r>
              <w:t xml:space="preserve">MSR1</w:t>
            </w:r>
          </w:p>
        </w:tc>
        <w:tc>
          <w:tcPr/>
          <w:p>
            <w:pPr>
              <w:pStyle w:val="Compact"/>
              <w:jc w:val="left"/>
            </w:pPr>
            <w:r>
              <w:t xml:space="preserve">FAM198B</w:t>
            </w:r>
          </w:p>
        </w:tc>
        <w:tc>
          <w:tcPr/>
          <w:p>
            <w:pPr>
              <w:pStyle w:val="Compact"/>
              <w:jc w:val="left"/>
            </w:pPr>
            <w:r>
              <w:t xml:space="preserve">COL12A1</w:t>
            </w:r>
          </w:p>
        </w:tc>
        <w:tc>
          <w:tcPr/>
          <w:p>
            <w:pPr>
              <w:pStyle w:val="Compact"/>
              <w:jc w:val="left"/>
            </w:pPr>
            <w:r>
              <w:t xml:space="preserve">GREM1</w:t>
            </w:r>
          </w:p>
        </w:tc>
        <w:tc>
          <w:tcPr/>
          <w:p>
            <w:pPr>
              <w:pStyle w:val="Compact"/>
              <w:jc w:val="left"/>
            </w:pPr>
            <w:r>
              <w:t xml:space="preserve">MACF1</w:t>
            </w:r>
          </w:p>
        </w:tc>
        <w:tc>
          <w:tcPr/>
          <w:p>
            <w:pPr>
              <w:pStyle w:val="Compact"/>
              <w:jc w:val="left"/>
            </w:pPr>
            <w:r>
              <w:t xml:space="preserve">GFPT2</w:t>
            </w:r>
          </w:p>
        </w:tc>
      </w:tr>
      <w:tr>
        <w:tc>
          <w:tcPr/>
          <w:p>
            <w:pPr>
              <w:pStyle w:val="Compact"/>
              <w:jc w:val="left"/>
            </w:pPr>
            <w:r>
              <w:t xml:space="preserve">CCDC88A</w:t>
            </w:r>
          </w:p>
        </w:tc>
        <w:tc>
          <w:tcPr/>
          <w:p>
            <w:pPr>
              <w:pStyle w:val="Compact"/>
              <w:jc w:val="left"/>
            </w:pPr>
            <w:r>
              <w:t xml:space="preserve">PTPRC</w:t>
            </w:r>
          </w:p>
        </w:tc>
        <w:tc>
          <w:tcPr/>
          <w:p>
            <w:pPr>
              <w:pStyle w:val="Compact"/>
              <w:jc w:val="left"/>
            </w:pPr>
            <w:r>
              <w:t xml:space="preserve">IL1R1</w:t>
            </w:r>
          </w:p>
        </w:tc>
        <w:tc>
          <w:tcPr/>
          <w:p>
            <w:pPr>
              <w:pStyle w:val="Compact"/>
              <w:jc w:val="left"/>
            </w:pPr>
            <w:r>
              <w:t xml:space="preserve">VGLL3</w:t>
            </w:r>
          </w:p>
        </w:tc>
        <w:tc>
          <w:tcPr/>
          <w:p>
            <w:pPr>
              <w:pStyle w:val="Compact"/>
              <w:jc w:val="left"/>
            </w:pPr>
            <w:r>
              <w:t xml:space="preserve">NID2</w:t>
            </w:r>
          </w:p>
        </w:tc>
        <w:tc>
          <w:tcPr/>
          <w:p>
            <w:pPr>
              <w:pStyle w:val="Compact"/>
              <w:jc w:val="left"/>
            </w:pPr>
            <w:r>
              <w:t xml:space="preserve">RAI14</w:t>
            </w:r>
          </w:p>
        </w:tc>
      </w:tr>
      <w:tr>
        <w:tc>
          <w:tcPr/>
          <w:p>
            <w:pPr>
              <w:pStyle w:val="Compact"/>
              <w:jc w:val="left"/>
            </w:pPr>
            <w:r>
              <w:t xml:space="preserve">F13A1</w:t>
            </w:r>
          </w:p>
        </w:tc>
        <w:tc>
          <w:tcPr/>
          <w:p>
            <w:pPr>
              <w:pStyle w:val="Compact"/>
              <w:jc w:val="left"/>
            </w:pPr>
            <w:r>
              <w:t xml:space="preserve">FAP</w:t>
            </w:r>
          </w:p>
        </w:tc>
        <w:tc>
          <w:tcPr/>
          <w:p>
            <w:pPr>
              <w:pStyle w:val="Compact"/>
              <w:jc w:val="left"/>
            </w:pPr>
            <w:r>
              <w:t xml:space="preserve">SLA</w:t>
            </w:r>
          </w:p>
        </w:tc>
        <w:tc>
          <w:tcPr/>
          <w:p>
            <w:pPr>
              <w:pStyle w:val="Compact"/>
              <w:jc w:val="left"/>
            </w:pPr>
            <w:r>
              <w:t xml:space="preserve">GBP5</w:t>
            </w:r>
          </w:p>
        </w:tc>
        <w:tc>
          <w:tcPr/>
          <w:p>
            <w:pPr>
              <w:pStyle w:val="Compact"/>
              <w:jc w:val="left"/>
            </w:pPr>
            <w:r>
              <w:t xml:space="preserve">NAMPT</w:t>
            </w:r>
          </w:p>
        </w:tc>
        <w:tc>
          <w:tcPr/>
          <w:p>
            <w:pPr>
              <w:pStyle w:val="Compact"/>
              <w:jc w:val="left"/>
            </w:pPr>
            <w:r>
              <w:t xml:space="preserve">LMAN1</w:t>
            </w:r>
          </w:p>
        </w:tc>
      </w:tr>
      <w:tr>
        <w:tc>
          <w:tcPr/>
          <w:p>
            <w:pPr>
              <w:pStyle w:val="Compact"/>
              <w:jc w:val="left"/>
            </w:pPr>
            <w:r>
              <w:t xml:space="preserve">RPS28</w:t>
            </w:r>
          </w:p>
        </w:tc>
        <w:tc>
          <w:tcPr/>
          <w:p>
            <w:pPr>
              <w:pStyle w:val="Compact"/>
              <w:jc w:val="left"/>
            </w:pPr>
            <w:r>
              <w:t xml:space="preserve">ARRDC3</w:t>
            </w:r>
          </w:p>
        </w:tc>
        <w:tc>
          <w:tcPr/>
          <w:p>
            <w:pPr>
              <w:pStyle w:val="Compact"/>
              <w:jc w:val="left"/>
            </w:pPr>
            <w:r>
              <w:t xml:space="preserve">MBOAT2</w:t>
            </w:r>
          </w:p>
        </w:tc>
        <w:tc>
          <w:tcPr/>
          <w:p>
            <w:pPr>
              <w:pStyle w:val="Compact"/>
              <w:jc w:val="left"/>
            </w:pPr>
            <w:r>
              <w:t xml:space="preserve">SLC1A3</w:t>
            </w:r>
          </w:p>
        </w:tc>
        <w:tc>
          <w:tcPr/>
          <w:p>
            <w:pPr>
              <w:pStyle w:val="Compact"/>
              <w:jc w:val="left"/>
            </w:pPr>
            <w:r>
              <w:t xml:space="preserve">ADAM28</w:t>
            </w:r>
          </w:p>
        </w:tc>
        <w:tc>
          <w:tcPr/>
          <w:p>
            <w:pPr>
              <w:pStyle w:val="Compact"/>
              <w:jc w:val="left"/>
            </w:pPr>
            <w:r>
              <w:t xml:space="preserve">MECOM</w:t>
            </w:r>
          </w:p>
        </w:tc>
      </w:tr>
      <w:tr>
        <w:tc>
          <w:tcPr/>
          <w:p>
            <w:pPr>
              <w:pStyle w:val="Compact"/>
              <w:jc w:val="left"/>
            </w:pPr>
            <w:r>
              <w:t xml:space="preserve">RALGAPA2</w:t>
            </w:r>
          </w:p>
        </w:tc>
        <w:tc>
          <w:tcPr/>
          <w:p>
            <w:pPr>
              <w:pStyle w:val="Compact"/>
              <w:jc w:val="left"/>
            </w:pPr>
            <w:r>
              <w:t xml:space="preserve">MYH10</w:t>
            </w:r>
          </w:p>
        </w:tc>
        <w:tc>
          <w:tcPr/>
          <w:p>
            <w:pPr>
              <w:pStyle w:val="Compact"/>
              <w:jc w:val="left"/>
            </w:pPr>
            <w:r>
              <w:t xml:space="preserve">FNDC3B</w:t>
            </w:r>
          </w:p>
        </w:tc>
        <w:tc>
          <w:tcPr/>
          <w:p>
            <w:pPr>
              <w:pStyle w:val="Compact"/>
              <w:jc w:val="left"/>
            </w:pPr>
            <w:r>
              <w:t xml:space="preserve">FGF7</w:t>
            </w:r>
          </w:p>
        </w:tc>
        <w:tc>
          <w:tcPr/>
          <w:p>
            <w:pPr>
              <w:pStyle w:val="Compact"/>
              <w:jc w:val="left"/>
            </w:pPr>
            <w:r>
              <w:t xml:space="preserve">GNE</w:t>
            </w:r>
          </w:p>
        </w:tc>
        <w:tc>
          <w:tcPr/>
          <w:p>
            <w:pPr>
              <w:pStyle w:val="Compact"/>
              <w:jc w:val="left"/>
            </w:pPr>
            <w:r>
              <w:t xml:space="preserve">FPR1</w:t>
            </w:r>
          </w:p>
        </w:tc>
      </w:tr>
      <w:tr>
        <w:tc>
          <w:tcPr/>
          <w:p>
            <w:pPr>
              <w:pStyle w:val="Compact"/>
              <w:jc w:val="left"/>
            </w:pPr>
            <w:r>
              <w:t xml:space="preserve">ZEB1</w:t>
            </w:r>
          </w:p>
        </w:tc>
        <w:tc>
          <w:tcPr/>
          <w:p>
            <w:pPr>
              <w:pStyle w:val="Compact"/>
              <w:jc w:val="left"/>
            </w:pPr>
            <w:r>
              <w:t xml:space="preserve">FCGR2A</w:t>
            </w:r>
          </w:p>
        </w:tc>
        <w:tc>
          <w:tcPr/>
          <w:p>
            <w:pPr>
              <w:pStyle w:val="Compact"/>
              <w:jc w:val="left"/>
            </w:pPr>
            <w:r>
              <w:t xml:space="preserve">PRRX1</w:t>
            </w:r>
          </w:p>
        </w:tc>
        <w:tc>
          <w:tcPr/>
          <w:p>
            <w:pPr>
              <w:pStyle w:val="Compact"/>
              <w:jc w:val="left"/>
            </w:pPr>
            <w:r>
              <w:t xml:space="preserve">ABCA8</w:t>
            </w:r>
          </w:p>
        </w:tc>
        <w:tc>
          <w:tcPr/>
          <w:p>
            <w:pPr>
              <w:pStyle w:val="Compact"/>
              <w:jc w:val="left"/>
            </w:pPr>
            <w:r>
              <w:t xml:space="preserve">ENAH</w:t>
            </w:r>
          </w:p>
        </w:tc>
        <w:tc>
          <w:tcPr/>
          <w:p>
            <w:pPr>
              <w:pStyle w:val="Compact"/>
              <w:jc w:val="left"/>
            </w:pPr>
            <w:r>
              <w:t xml:space="preserve">EDEM3</w:t>
            </w:r>
          </w:p>
        </w:tc>
      </w:tr>
      <w:tr>
        <w:tc>
          <w:tcPr/>
          <w:p>
            <w:pPr>
              <w:pStyle w:val="Compact"/>
              <w:jc w:val="left"/>
            </w:pPr>
            <w:r>
              <w:t xml:space="preserve">FBXO32</w:t>
            </w:r>
          </w:p>
        </w:tc>
        <w:tc>
          <w:tcPr/>
          <w:p>
            <w:pPr>
              <w:pStyle w:val="Compact"/>
              <w:jc w:val="left"/>
            </w:pPr>
            <w:r>
              <w:t xml:space="preserve">PARP14</w:t>
            </w:r>
          </w:p>
        </w:tc>
        <w:tc>
          <w:tcPr/>
          <w:p>
            <w:pPr>
              <w:pStyle w:val="Compact"/>
              <w:jc w:val="left"/>
            </w:pPr>
            <w:r>
              <w:t xml:space="preserve">COL10A1</w:t>
            </w:r>
          </w:p>
        </w:tc>
        <w:tc>
          <w:tcPr/>
          <w:p>
            <w:pPr>
              <w:pStyle w:val="Compact"/>
              <w:jc w:val="left"/>
            </w:pPr>
            <w:r>
              <w:t xml:space="preserve">ADAM12</w:t>
            </w:r>
          </w:p>
        </w:tc>
        <w:tc>
          <w:tcPr/>
          <w:p>
            <w:pPr>
              <w:pStyle w:val="Compact"/>
              <w:jc w:val="left"/>
            </w:pPr>
            <w:r>
              <w:t xml:space="preserve">FAM129A</w:t>
            </w:r>
          </w:p>
        </w:tc>
        <w:tc>
          <w:tcPr/>
          <w:p>
            <w:pPr>
              <w:pStyle w:val="Compact"/>
              <w:jc w:val="left"/>
            </w:pPr>
            <w:r>
              <w:t xml:space="preserve">RASSF6</w:t>
            </w:r>
          </w:p>
        </w:tc>
      </w:tr>
      <w:tr>
        <w:tc>
          <w:tcPr/>
          <w:p>
            <w:pPr>
              <w:pStyle w:val="Compact"/>
              <w:jc w:val="left"/>
            </w:pPr>
            <w:r>
              <w:t xml:space="preserve">INPP4B</w:t>
            </w:r>
          </w:p>
        </w:tc>
        <w:tc>
          <w:tcPr/>
          <w:p>
            <w:pPr>
              <w:pStyle w:val="Compact"/>
              <w:jc w:val="left"/>
            </w:pPr>
            <w:r>
              <w:t xml:space="preserve">DSE</w:t>
            </w:r>
          </w:p>
        </w:tc>
        <w:tc>
          <w:tcPr/>
          <w:p>
            <w:pPr>
              <w:pStyle w:val="Compact"/>
              <w:jc w:val="left"/>
            </w:pPr>
            <w:r>
              <w:t xml:space="preserve">DDX60</w:t>
            </w:r>
          </w:p>
        </w:tc>
        <w:tc>
          <w:tcPr/>
          <w:p>
            <w:pPr>
              <w:pStyle w:val="Compact"/>
              <w:jc w:val="left"/>
            </w:pPr>
            <w:r>
              <w:t xml:space="preserve">CYBRD1</w:t>
            </w:r>
          </w:p>
        </w:tc>
        <w:tc>
          <w:tcPr/>
          <w:p>
            <w:pPr>
              <w:pStyle w:val="Compact"/>
              <w:jc w:val="left"/>
            </w:pPr>
            <w:r>
              <w:t xml:space="preserve">ECM2</w:t>
            </w:r>
          </w:p>
        </w:tc>
        <w:tc>
          <w:tcPr/>
          <w:p>
            <w:pPr>
              <w:pStyle w:val="Compact"/>
              <w:jc w:val="left"/>
            </w:pPr>
            <w:r>
              <w:t xml:space="preserve">IQGAP2</w:t>
            </w:r>
          </w:p>
        </w:tc>
      </w:tr>
      <w:tr>
        <w:tc>
          <w:tcPr/>
          <w:p>
            <w:pPr>
              <w:pStyle w:val="Compact"/>
              <w:jc w:val="left"/>
            </w:pPr>
            <w:r>
              <w:t xml:space="preserve">CDH11</w:t>
            </w:r>
          </w:p>
        </w:tc>
        <w:tc>
          <w:tcPr/>
          <w:p>
            <w:pPr>
              <w:pStyle w:val="Compact"/>
              <w:jc w:val="left"/>
            </w:pPr>
            <w:r>
              <w:t xml:space="preserve">EHF</w:t>
            </w:r>
          </w:p>
        </w:tc>
        <w:tc>
          <w:tcPr/>
          <w:p>
            <w:pPr>
              <w:pStyle w:val="Compact"/>
              <w:jc w:val="left"/>
            </w:pPr>
            <w:r>
              <w:t xml:space="preserve">DOCK9</w:t>
            </w:r>
          </w:p>
        </w:tc>
        <w:tc>
          <w:tcPr/>
          <w:p>
            <w:pPr>
              <w:pStyle w:val="Compact"/>
              <w:jc w:val="left"/>
            </w:pPr>
            <w:r>
              <w:t xml:space="preserve">TFRC</w:t>
            </w:r>
          </w:p>
        </w:tc>
        <w:tc>
          <w:tcPr/>
          <w:p>
            <w:pPr>
              <w:pStyle w:val="Compact"/>
              <w:jc w:val="left"/>
            </w:pPr>
            <w:r>
              <w:t xml:space="preserve">VSIG4</w:t>
            </w:r>
          </w:p>
        </w:tc>
        <w:tc>
          <w:tcPr/>
          <w:p>
            <w:pPr>
              <w:pStyle w:val="Compact"/>
              <w:jc w:val="left"/>
            </w:pPr>
            <w:r>
              <w:t xml:space="preserve">MIAT</w:t>
            </w:r>
          </w:p>
        </w:tc>
      </w:tr>
      <w:tr>
        <w:tc>
          <w:tcPr/>
          <w:p>
            <w:pPr>
              <w:pStyle w:val="Compact"/>
              <w:jc w:val="left"/>
            </w:pPr>
            <w:r>
              <w:t xml:space="preserve">PKHD1</w:t>
            </w:r>
          </w:p>
        </w:tc>
        <w:tc>
          <w:tcPr/>
          <w:p>
            <w:pPr>
              <w:pStyle w:val="Compact"/>
              <w:jc w:val="left"/>
            </w:pPr>
            <w:r>
              <w:t xml:space="preserve">OSMR</w:t>
            </w:r>
          </w:p>
        </w:tc>
        <w:tc>
          <w:tcPr/>
          <w:p>
            <w:pPr>
              <w:pStyle w:val="Compact"/>
              <w:jc w:val="left"/>
            </w:pPr>
            <w:r>
              <w:t xml:space="preserve">SRGN</w:t>
            </w:r>
          </w:p>
        </w:tc>
        <w:tc>
          <w:tcPr/>
          <w:p>
            <w:pPr>
              <w:pStyle w:val="Compact"/>
              <w:jc w:val="left"/>
            </w:pPr>
            <w:r>
              <w:t xml:space="preserve">CTSK</w:t>
            </w:r>
          </w:p>
        </w:tc>
        <w:tc>
          <w:tcPr/>
          <w:p>
            <w:pPr>
              <w:pStyle w:val="Compact"/>
              <w:jc w:val="left"/>
            </w:pPr>
            <w:r>
              <w:t xml:space="preserve">MTAP</w:t>
            </w:r>
          </w:p>
        </w:tc>
        <w:tc>
          <w:tcPr/>
          <w:p>
            <w:pPr>
              <w:pStyle w:val="Compact"/>
              <w:jc w:val="left"/>
            </w:pPr>
            <w:r>
              <w:t xml:space="preserve">PRICKLE1</w:t>
            </w:r>
          </w:p>
        </w:tc>
      </w:tr>
      <w:tr>
        <w:tc>
          <w:tcPr/>
          <w:p>
            <w:pPr>
              <w:pStyle w:val="Compact"/>
              <w:jc w:val="left"/>
            </w:pPr>
            <w:r>
              <w:t xml:space="preserve">AKAP2</w:t>
            </w:r>
          </w:p>
        </w:tc>
        <w:tc>
          <w:tcPr/>
          <w:p>
            <w:pPr>
              <w:pStyle w:val="Compact"/>
              <w:jc w:val="left"/>
            </w:pPr>
            <w:r>
              <w:t xml:space="preserve">ARID5B</w:t>
            </w:r>
          </w:p>
        </w:tc>
        <w:tc>
          <w:tcPr/>
          <w:p>
            <w:pPr>
              <w:pStyle w:val="Compact"/>
              <w:jc w:val="left"/>
            </w:pPr>
            <w:r>
              <w:t xml:space="preserve">FOXO1</w:t>
            </w:r>
          </w:p>
        </w:tc>
        <w:tc>
          <w:tcPr/>
          <w:p>
            <w:pPr>
              <w:pStyle w:val="Compact"/>
              <w:jc w:val="left"/>
            </w:pPr>
            <w:r>
              <w:t xml:space="preserve">COLEC12</w:t>
            </w:r>
          </w:p>
        </w:tc>
        <w:tc>
          <w:tcPr/>
          <w:p>
            <w:pPr>
              <w:pStyle w:val="Compact"/>
              <w:jc w:val="left"/>
            </w:pPr>
            <w:r>
              <w:t xml:space="preserve">INMT</w:t>
            </w:r>
          </w:p>
        </w:tc>
        <w:tc>
          <w:tcPr/>
          <w:p>
            <w:pPr>
              <w:pStyle w:val="Compact"/>
              <w:jc w:val="left"/>
            </w:pPr>
            <w:r>
              <w:t xml:space="preserve">CHST15</w:t>
            </w:r>
          </w:p>
        </w:tc>
      </w:tr>
      <w:tr>
        <w:tc>
          <w:tcPr/>
          <w:p>
            <w:pPr>
              <w:pStyle w:val="Compact"/>
              <w:jc w:val="left"/>
            </w:pPr>
            <w:r>
              <w:t xml:space="preserve">CYP1B1</w:t>
            </w:r>
          </w:p>
        </w:tc>
        <w:tc>
          <w:tcPr/>
          <w:p>
            <w:pPr>
              <w:pStyle w:val="Compact"/>
              <w:jc w:val="left"/>
            </w:pPr>
            <w:r>
              <w:t xml:space="preserve">ASPN</w:t>
            </w:r>
          </w:p>
        </w:tc>
        <w:tc>
          <w:tcPr/>
          <w:p>
            <w:pPr>
              <w:pStyle w:val="Compact"/>
              <w:jc w:val="left"/>
            </w:pPr>
            <w:r>
              <w:t xml:space="preserve">MS4A6A</w:t>
            </w:r>
          </w:p>
        </w:tc>
        <w:tc>
          <w:tcPr/>
          <w:p>
            <w:pPr>
              <w:pStyle w:val="Compact"/>
              <w:jc w:val="left"/>
            </w:pPr>
            <w:r>
              <w:t xml:space="preserve">ALDH1L2</w:t>
            </w:r>
          </w:p>
        </w:tc>
        <w:tc>
          <w:tcPr/>
          <w:p>
            <w:pPr>
              <w:pStyle w:val="Compact"/>
              <w:jc w:val="left"/>
            </w:pPr>
            <w:r>
              <w:t xml:space="preserve">SGMS2</w:t>
            </w:r>
          </w:p>
        </w:tc>
        <w:tc>
          <w:tcPr/>
          <w:p>
            <w:pPr>
              <w:pStyle w:val="Compact"/>
              <w:jc w:val="left"/>
            </w:pPr>
            <w:r>
              <w:t xml:space="preserve">GEM</w:t>
            </w:r>
          </w:p>
        </w:tc>
      </w:tr>
      <w:tr>
        <w:tc>
          <w:tcPr/>
          <w:p>
            <w:pPr>
              <w:pStyle w:val="Compact"/>
              <w:jc w:val="left"/>
            </w:pPr>
            <w:r>
              <w:t xml:space="preserve">CCL5</w:t>
            </w:r>
          </w:p>
        </w:tc>
        <w:tc>
          <w:tcPr/>
          <w:p>
            <w:pPr>
              <w:pStyle w:val="Compact"/>
              <w:jc w:val="left"/>
            </w:pPr>
            <w:r>
              <w:t xml:space="preserve">SLCO2B1</w:t>
            </w:r>
          </w:p>
        </w:tc>
        <w:tc>
          <w:tcPr/>
          <w:p>
            <w:pPr>
              <w:pStyle w:val="Compact"/>
              <w:jc w:val="left"/>
            </w:pPr>
            <w:r>
              <w:t xml:space="preserve">ADAMTS2</w:t>
            </w:r>
          </w:p>
        </w:tc>
        <w:tc>
          <w:tcPr/>
          <w:p>
            <w:pPr>
              <w:pStyle w:val="Compact"/>
              <w:jc w:val="left"/>
            </w:pPr>
            <w:r>
              <w:t xml:space="preserve">PGM2L1</w:t>
            </w:r>
          </w:p>
        </w:tc>
        <w:tc>
          <w:tcPr/>
          <w:p>
            <w:pPr>
              <w:pStyle w:val="Compact"/>
              <w:jc w:val="left"/>
            </w:pPr>
            <w:r>
              <w:t xml:space="preserve">COL4A4</w:t>
            </w:r>
          </w:p>
        </w:tc>
        <w:tc>
          <w:tcPr/>
          <w:p>
            <w:pPr>
              <w:pStyle w:val="Compact"/>
              <w:jc w:val="left"/>
            </w:pPr>
            <w:r>
              <w:t xml:space="preserve">CHRDL1</w:t>
            </w:r>
          </w:p>
        </w:tc>
      </w:tr>
      <w:tr>
        <w:tc>
          <w:tcPr/>
          <w:p>
            <w:pPr>
              <w:pStyle w:val="Compact"/>
              <w:jc w:val="left"/>
            </w:pPr>
            <w:r>
              <w:t xml:space="preserve">FGL2</w:t>
            </w:r>
          </w:p>
        </w:tc>
        <w:tc>
          <w:tcPr/>
          <w:p>
            <w:pPr>
              <w:pStyle w:val="Compact"/>
              <w:jc w:val="left"/>
            </w:pPr>
            <w:r>
              <w:t xml:space="preserve">FPR3</w:t>
            </w:r>
          </w:p>
        </w:tc>
        <w:tc>
          <w:tcPr/>
          <w:p>
            <w:pPr>
              <w:pStyle w:val="Compact"/>
              <w:jc w:val="left"/>
            </w:pPr>
            <w:r>
              <w:t xml:space="preserve">CPVL</w:t>
            </w:r>
          </w:p>
        </w:tc>
        <w:tc>
          <w:tcPr/>
          <w:p>
            <w:pPr>
              <w:pStyle w:val="Compact"/>
              <w:jc w:val="left"/>
            </w:pPr>
            <w:r>
              <w:t xml:space="preserve">FAM135A</w:t>
            </w:r>
          </w:p>
        </w:tc>
        <w:tc>
          <w:tcPr/>
          <w:p>
            <w:pPr>
              <w:pStyle w:val="Compact"/>
              <w:jc w:val="left"/>
            </w:pPr>
            <w:r>
              <w:t xml:space="preserve">CAPRIN2</w:t>
            </w:r>
          </w:p>
        </w:tc>
        <w:tc>
          <w:tcPr/>
          <w:p>
            <w:pPr>
              <w:pStyle w:val="Compact"/>
              <w:jc w:val="left"/>
            </w:pPr>
            <w:r>
              <w:t xml:space="preserve">DSC2</w:t>
            </w:r>
          </w:p>
        </w:tc>
      </w:tr>
      <w:tr>
        <w:tc>
          <w:tcPr/>
          <w:p>
            <w:pPr>
              <w:pStyle w:val="Compact"/>
              <w:jc w:val="left"/>
            </w:pPr>
            <w:r>
              <w:t xml:space="preserve">MAP1B</w:t>
            </w:r>
          </w:p>
        </w:tc>
        <w:tc>
          <w:tcPr/>
          <w:p>
            <w:pPr>
              <w:pStyle w:val="Compact"/>
              <w:jc w:val="left"/>
            </w:pPr>
            <w:r>
              <w:t xml:space="preserve">DOCK8</w:t>
            </w:r>
          </w:p>
        </w:tc>
        <w:tc>
          <w:tcPr/>
          <w:p>
            <w:pPr>
              <w:pStyle w:val="Compact"/>
              <w:jc w:val="left"/>
            </w:pPr>
            <w:r>
              <w:t xml:space="preserve">CD93</w:t>
            </w:r>
          </w:p>
        </w:tc>
        <w:tc>
          <w:tcPr/>
          <w:p>
            <w:pPr>
              <w:pStyle w:val="Compact"/>
              <w:jc w:val="left"/>
            </w:pPr>
            <w:r>
              <w:t xml:space="preserve">DOCK11</w:t>
            </w:r>
          </w:p>
        </w:tc>
        <w:tc>
          <w:tcPr/>
          <w:p>
            <w:pPr>
              <w:pStyle w:val="Compact"/>
              <w:jc w:val="left"/>
            </w:pPr>
            <w:r>
              <w:t xml:space="preserve">CENPF</w:t>
            </w:r>
          </w:p>
        </w:tc>
        <w:tc>
          <w:tcPr/>
          <w:p>
            <w:pPr>
              <w:pStyle w:val="Compact"/>
              <w:jc w:val="left"/>
            </w:pPr>
            <w:r>
              <w:t xml:space="preserve">RAB31</w:t>
            </w:r>
          </w:p>
        </w:tc>
      </w:tr>
      <w:tr>
        <w:tc>
          <w:tcPr/>
          <w:p>
            <w:pPr>
              <w:pStyle w:val="Compact"/>
              <w:jc w:val="left"/>
            </w:pPr>
            <w:r>
              <w:t xml:space="preserve">PLXDC2</w:t>
            </w:r>
          </w:p>
        </w:tc>
        <w:tc>
          <w:tcPr/>
          <w:p>
            <w:pPr>
              <w:pStyle w:val="Compact"/>
              <w:jc w:val="left"/>
            </w:pPr>
            <w:r>
              <w:t xml:space="preserve">SLFN11</w:t>
            </w:r>
          </w:p>
        </w:tc>
        <w:tc>
          <w:tcPr/>
          <w:p>
            <w:pPr>
              <w:pStyle w:val="Compact"/>
              <w:jc w:val="left"/>
            </w:pPr>
            <w:r>
              <w:t xml:space="preserve">DST</w:t>
            </w:r>
          </w:p>
        </w:tc>
        <w:tc>
          <w:tcPr/>
          <w:p>
            <w:pPr>
              <w:pStyle w:val="Compact"/>
              <w:jc w:val="left"/>
            </w:pPr>
            <w:r>
              <w:t xml:space="preserve">EPHA3</w:t>
            </w:r>
          </w:p>
        </w:tc>
        <w:tc>
          <w:tcPr/>
          <w:p>
            <w:pPr>
              <w:pStyle w:val="Compact"/>
              <w:jc w:val="left"/>
            </w:pPr>
            <w:r>
              <w:t xml:space="preserve">DCLK1</w:t>
            </w:r>
          </w:p>
        </w:tc>
        <w:tc>
          <w:tcPr/>
          <w:p>
            <w:pPr>
              <w:pStyle w:val="Compact"/>
              <w:jc w:val="left"/>
            </w:pPr>
            <w:r>
              <w:t xml:space="preserve">SLC38A1</w:t>
            </w:r>
          </w:p>
        </w:tc>
      </w:tr>
      <w:tr>
        <w:tc>
          <w:tcPr/>
          <w:p>
            <w:pPr>
              <w:pStyle w:val="Compact"/>
              <w:jc w:val="left"/>
            </w:pPr>
            <w:r>
              <w:t xml:space="preserve">LRRK2</w:t>
            </w:r>
          </w:p>
        </w:tc>
        <w:tc>
          <w:tcPr/>
          <w:p>
            <w:pPr>
              <w:pStyle w:val="Compact"/>
              <w:jc w:val="left"/>
            </w:pPr>
            <w:r>
              <w:t xml:space="preserve">ZNF532</w:t>
            </w:r>
          </w:p>
        </w:tc>
        <w:tc>
          <w:tcPr/>
          <w:p>
            <w:pPr>
              <w:pStyle w:val="Compact"/>
              <w:jc w:val="left"/>
            </w:pPr>
            <w:r>
              <w:t xml:space="preserve">CDK14</w:t>
            </w:r>
          </w:p>
        </w:tc>
        <w:tc>
          <w:tcPr/>
          <w:p>
            <w:pPr>
              <w:pStyle w:val="Compact"/>
              <w:jc w:val="left"/>
            </w:pPr>
            <w:r>
              <w:t xml:space="preserve">PAPPA</w:t>
            </w:r>
          </w:p>
        </w:tc>
        <w:tc>
          <w:tcPr/>
          <w:p>
            <w:pPr>
              <w:pStyle w:val="Compact"/>
              <w:jc w:val="left"/>
            </w:pPr>
            <w:r>
              <w:t xml:space="preserve">EDNRA</w:t>
            </w:r>
          </w:p>
        </w:tc>
        <w:tc>
          <w:tcPr/>
          <w:p>
            <w:pPr>
              <w:pStyle w:val="Compact"/>
              <w:jc w:val="left"/>
            </w:pPr>
            <w:r>
              <w:t xml:space="preserve">CNN3</w:t>
            </w:r>
          </w:p>
        </w:tc>
      </w:tr>
      <w:tr>
        <w:tc>
          <w:tcPr/>
          <w:p>
            <w:pPr>
              <w:pStyle w:val="Compact"/>
              <w:jc w:val="left"/>
            </w:pPr>
            <w:r>
              <w:t xml:space="preserve">KIAA0754</w:t>
            </w:r>
          </w:p>
        </w:tc>
        <w:tc>
          <w:tcPr/>
          <w:p>
            <w:pPr>
              <w:pStyle w:val="Compact"/>
              <w:jc w:val="left"/>
            </w:pPr>
            <w:r>
              <w:t xml:space="preserve">SPON1</w:t>
            </w:r>
          </w:p>
        </w:tc>
        <w:tc>
          <w:tcPr/>
          <w:p>
            <w:pPr>
              <w:pStyle w:val="Compact"/>
              <w:jc w:val="left"/>
            </w:pPr>
            <w:r>
              <w:t xml:space="preserve">MSRB3</w:t>
            </w:r>
          </w:p>
        </w:tc>
        <w:tc>
          <w:tcPr/>
          <w:p>
            <w:pPr>
              <w:pStyle w:val="Compact"/>
              <w:jc w:val="left"/>
            </w:pPr>
            <w:r>
              <w:t xml:space="preserve">EGFR</w:t>
            </w:r>
          </w:p>
        </w:tc>
        <w:tc>
          <w:tcPr/>
          <w:p>
            <w:pPr>
              <w:pStyle w:val="Compact"/>
              <w:jc w:val="left"/>
            </w:pPr>
            <w:r>
              <w:t xml:space="preserve">WNT5A</w:t>
            </w:r>
          </w:p>
        </w:tc>
        <w:tc>
          <w:tcPr/>
          <w:p>
            <w:pPr>
              <w:pStyle w:val="Compact"/>
              <w:jc w:val="left"/>
            </w:pPr>
            <w:r>
              <w:t xml:space="preserve">FLT1</w:t>
            </w:r>
          </w:p>
        </w:tc>
      </w:tr>
      <w:tr>
        <w:tc>
          <w:tcPr/>
          <w:p>
            <w:pPr>
              <w:pStyle w:val="Compact"/>
              <w:jc w:val="left"/>
            </w:pPr>
            <w:r>
              <w:t xml:space="preserve">EDIL3</w:t>
            </w:r>
          </w:p>
        </w:tc>
        <w:tc>
          <w:tcPr/>
          <w:p>
            <w:pPr>
              <w:pStyle w:val="Compact"/>
              <w:jc w:val="left"/>
            </w:pPr>
            <w:r>
              <w:t xml:space="preserve">SEMA3C</w:t>
            </w:r>
          </w:p>
        </w:tc>
        <w:tc>
          <w:tcPr/>
          <w:p>
            <w:pPr>
              <w:pStyle w:val="Compact"/>
              <w:jc w:val="left"/>
            </w:pPr>
            <w:r>
              <w:t xml:space="preserve">RNF213</w:t>
            </w:r>
          </w:p>
        </w:tc>
        <w:tc>
          <w:tcPr/>
          <w:p>
            <w:pPr>
              <w:pStyle w:val="Compact"/>
              <w:jc w:val="left"/>
            </w:pPr>
            <w:r>
              <w:t xml:space="preserve">RASA1</w:t>
            </w:r>
          </w:p>
        </w:tc>
        <w:tc>
          <w:tcPr/>
          <w:p>
            <w:pPr>
              <w:pStyle w:val="Compact"/>
              <w:jc w:val="left"/>
            </w:pPr>
            <w:r>
              <w:t xml:space="preserve">GALNT5</w:t>
            </w:r>
          </w:p>
        </w:tc>
        <w:tc>
          <w:tcPr/>
          <w:p>
            <w:pPr>
              <w:pStyle w:val="Compact"/>
              <w:jc w:val="left"/>
            </w:pPr>
            <w:r>
              <w:t xml:space="preserve">TMEM200A</w:t>
            </w:r>
          </w:p>
        </w:tc>
      </w:tr>
      <w:tr>
        <w:tc>
          <w:tcPr/>
          <w:p>
            <w:pPr>
              <w:pStyle w:val="Compact"/>
              <w:jc w:val="left"/>
            </w:pPr>
            <w:r>
              <w:t xml:space="preserve">ITGBL1</w:t>
            </w:r>
          </w:p>
        </w:tc>
        <w:tc>
          <w:tcPr/>
          <w:p>
            <w:pPr>
              <w:pStyle w:val="Compact"/>
              <w:jc w:val="left"/>
            </w:pPr>
            <w:r>
              <w:t xml:space="preserve">FERMT2</w:t>
            </w:r>
          </w:p>
        </w:tc>
        <w:tc>
          <w:tcPr/>
          <w:p>
            <w:pPr>
              <w:pStyle w:val="Compact"/>
              <w:jc w:val="left"/>
            </w:pPr>
            <w:r>
              <w:t xml:space="preserve">SEL1L</w:t>
            </w:r>
          </w:p>
        </w:tc>
        <w:tc>
          <w:tcPr/>
          <w:p>
            <w:pPr>
              <w:pStyle w:val="Compact"/>
              <w:jc w:val="left"/>
            </w:pPr>
            <w:r>
              <w:t xml:space="preserve">AHR</w:t>
            </w:r>
          </w:p>
        </w:tc>
        <w:tc>
          <w:tcPr/>
          <w:p>
            <w:pPr>
              <w:pStyle w:val="Compact"/>
              <w:jc w:val="left"/>
            </w:pPr>
            <w:r>
              <w:t xml:space="preserve">SLC38A2</w:t>
            </w:r>
          </w:p>
        </w:tc>
        <w:tc>
          <w:tcPr/>
          <w:p>
            <w:pPr>
              <w:pStyle w:val="Compact"/>
              <w:jc w:val="left"/>
            </w:pPr>
            <w:r>
              <w:t xml:space="preserve">SLC2A3</w:t>
            </w:r>
          </w:p>
        </w:tc>
      </w:tr>
    </w:tbl>
    <w:p>
      <w:pPr>
        <w:pStyle w:val="BodyText"/>
      </w:pPr>
      <w:r>
        <w:rPr>
          <w:iCs/>
          <w:i/>
        </w:rPr>
        <w:t xml:space="preserve">Top 270 genes for DeSurv factor D2, proCAF-like stroma, ranked by factor specificity score</w:t>
      </w:r>
      <w:r>
        <w:rPr>
          <w:iCs/>
          <w:i/>
        </w:rPr>
        <w:t xml:space="preserve"> </w:t>
      </w:r>
      <m:oMath>
        <m:sSub>
          <m:e>
            <m:r>
              <m:t>s</m:t>
            </m:r>
          </m:e>
          <m:sub>
            <m:r>
              <m:t>i</m:t>
            </m:r>
            <m:r>
              <m:t>j</m:t>
            </m:r>
          </m:sub>
        </m:sSub>
      </m:oMath>
      <w:r>
        <w:rPr>
          <w:iCs/>
          <w:i/>
        </w:rPr>
        <w:t xml:space="preserve">.</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rPr>
                <w:bCs/>
                <w:b/>
              </w:rPr>
              <w:t xml:space="preserve">Factor D3 (basal-like tumor)</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1–45</w:t>
            </w:r>
          </w:p>
        </w:tc>
        <w:tc>
          <w:tcPr/>
          <w:p>
            <w:pPr>
              <w:pStyle w:val="Compact"/>
              <w:jc w:val="left"/>
            </w:pPr>
            <w:r>
              <w:t xml:space="preserve">46–90</w:t>
            </w:r>
          </w:p>
        </w:tc>
        <w:tc>
          <w:tcPr/>
          <w:p>
            <w:pPr>
              <w:pStyle w:val="Compact"/>
              <w:jc w:val="left"/>
            </w:pPr>
            <w:r>
              <w:t xml:space="preserve">91–135</w:t>
            </w:r>
          </w:p>
        </w:tc>
        <w:tc>
          <w:tcPr/>
          <w:p>
            <w:pPr>
              <w:pStyle w:val="Compact"/>
              <w:jc w:val="left"/>
            </w:pPr>
            <w:r>
              <w:t xml:space="preserve">136–180</w:t>
            </w:r>
          </w:p>
        </w:tc>
        <w:tc>
          <w:tcPr/>
          <w:p>
            <w:pPr>
              <w:pStyle w:val="Compact"/>
              <w:jc w:val="left"/>
            </w:pPr>
            <w:r>
              <w:t xml:space="preserve">181–225</w:t>
            </w:r>
          </w:p>
        </w:tc>
        <w:tc>
          <w:tcPr/>
          <w:p>
            <w:pPr>
              <w:pStyle w:val="Compact"/>
              <w:jc w:val="left"/>
            </w:pPr>
            <w:r>
              <w:t xml:space="preserve">226–270</w:t>
            </w:r>
          </w:p>
        </w:tc>
      </w:tr>
      <w:tr>
        <w:tc>
          <w:tcPr/>
          <w:p>
            <w:pPr>
              <w:pStyle w:val="Compact"/>
              <w:jc w:val="left"/>
            </w:pPr>
            <w:r>
              <w:t xml:space="preserve">HSPB1</w:t>
            </w:r>
          </w:p>
        </w:tc>
        <w:tc>
          <w:tcPr/>
          <w:p>
            <w:pPr>
              <w:pStyle w:val="Compact"/>
              <w:jc w:val="left"/>
            </w:pPr>
            <w:r>
              <w:t xml:space="preserve">HLA-H</w:t>
            </w:r>
          </w:p>
        </w:tc>
        <w:tc>
          <w:tcPr/>
          <w:p>
            <w:pPr>
              <w:pStyle w:val="Compact"/>
              <w:jc w:val="left"/>
            </w:pPr>
            <w:r>
              <w:t xml:space="preserve">LAMB3</w:t>
            </w:r>
          </w:p>
        </w:tc>
        <w:tc>
          <w:tcPr/>
          <w:p>
            <w:pPr>
              <w:pStyle w:val="Compact"/>
              <w:jc w:val="left"/>
            </w:pPr>
            <w:r>
              <w:t xml:space="preserve">MYL9</w:t>
            </w:r>
          </w:p>
        </w:tc>
        <w:tc>
          <w:tcPr/>
          <w:p>
            <w:pPr>
              <w:pStyle w:val="Compact"/>
              <w:jc w:val="left"/>
            </w:pPr>
            <w:r>
              <w:t xml:space="preserve">IL1RN</w:t>
            </w:r>
          </w:p>
        </w:tc>
        <w:tc>
          <w:tcPr/>
          <w:p>
            <w:pPr>
              <w:pStyle w:val="Compact"/>
              <w:jc w:val="left"/>
            </w:pPr>
            <w:r>
              <w:t xml:space="preserve">SDC1</w:t>
            </w:r>
          </w:p>
        </w:tc>
      </w:tr>
      <w:tr>
        <w:tc>
          <w:tcPr/>
          <w:p>
            <w:pPr>
              <w:pStyle w:val="Compact"/>
              <w:jc w:val="left"/>
            </w:pPr>
            <w:r>
              <w:t xml:space="preserve">KRT7</w:t>
            </w:r>
          </w:p>
        </w:tc>
        <w:tc>
          <w:tcPr/>
          <w:p>
            <w:pPr>
              <w:pStyle w:val="Compact"/>
              <w:jc w:val="left"/>
            </w:pPr>
            <w:r>
              <w:t xml:space="preserve">HSPA1A</w:t>
            </w:r>
          </w:p>
        </w:tc>
        <w:tc>
          <w:tcPr/>
          <w:p>
            <w:pPr>
              <w:pStyle w:val="Compact"/>
              <w:jc w:val="left"/>
            </w:pPr>
            <w:r>
              <w:t xml:space="preserve">FSCN1</w:t>
            </w:r>
          </w:p>
        </w:tc>
        <w:tc>
          <w:tcPr/>
          <w:p>
            <w:pPr>
              <w:pStyle w:val="Compact"/>
              <w:jc w:val="left"/>
            </w:pPr>
            <w:r>
              <w:t xml:space="preserve">COL17A1</w:t>
            </w:r>
          </w:p>
        </w:tc>
        <w:tc>
          <w:tcPr/>
          <w:p>
            <w:pPr>
              <w:pStyle w:val="Compact"/>
              <w:jc w:val="left"/>
            </w:pPr>
            <w:r>
              <w:t xml:space="preserve">TST</w:t>
            </w:r>
          </w:p>
        </w:tc>
        <w:tc>
          <w:tcPr/>
          <w:p>
            <w:pPr>
              <w:pStyle w:val="Compact"/>
              <w:jc w:val="left"/>
            </w:pPr>
            <w:r>
              <w:t xml:space="preserve">KLK11</w:t>
            </w:r>
          </w:p>
        </w:tc>
      </w:tr>
      <w:tr>
        <w:tc>
          <w:tcPr/>
          <w:p>
            <w:pPr>
              <w:pStyle w:val="Compact"/>
              <w:jc w:val="left"/>
            </w:pPr>
            <w:r>
              <w:t xml:space="preserve">MSLN</w:t>
            </w:r>
          </w:p>
        </w:tc>
        <w:tc>
          <w:tcPr/>
          <w:p>
            <w:pPr>
              <w:pStyle w:val="Compact"/>
              <w:jc w:val="left"/>
            </w:pPr>
            <w:r>
              <w:t xml:space="preserve">LGALS3</w:t>
            </w:r>
          </w:p>
        </w:tc>
        <w:tc>
          <w:tcPr/>
          <w:p>
            <w:pPr>
              <w:pStyle w:val="Compact"/>
              <w:jc w:val="left"/>
            </w:pPr>
            <w:r>
              <w:t xml:space="preserve">TSPAN13</w:t>
            </w:r>
          </w:p>
        </w:tc>
        <w:tc>
          <w:tcPr/>
          <w:p>
            <w:pPr>
              <w:pStyle w:val="Compact"/>
              <w:jc w:val="left"/>
            </w:pPr>
            <w:r>
              <w:t xml:space="preserve">EPS8L1</w:t>
            </w:r>
          </w:p>
        </w:tc>
        <w:tc>
          <w:tcPr/>
          <w:p>
            <w:pPr>
              <w:pStyle w:val="Compact"/>
              <w:jc w:val="left"/>
            </w:pPr>
            <w:r>
              <w:t xml:space="preserve">RAPGEFL1</w:t>
            </w:r>
          </w:p>
        </w:tc>
        <w:tc>
          <w:tcPr/>
          <w:p>
            <w:pPr>
              <w:pStyle w:val="Compact"/>
              <w:jc w:val="left"/>
            </w:pPr>
            <w:r>
              <w:t xml:space="preserve">PERP</w:t>
            </w:r>
          </w:p>
        </w:tc>
      </w:tr>
      <w:tr>
        <w:tc>
          <w:tcPr/>
          <w:p>
            <w:pPr>
              <w:pStyle w:val="Compact"/>
              <w:jc w:val="left"/>
            </w:pPr>
            <w:r>
              <w:t xml:space="preserve">RPSAP58</w:t>
            </w:r>
          </w:p>
        </w:tc>
        <w:tc>
          <w:tcPr/>
          <w:p>
            <w:pPr>
              <w:pStyle w:val="Compact"/>
              <w:jc w:val="left"/>
            </w:pPr>
            <w:r>
              <w:t xml:space="preserve">FAM83H</w:t>
            </w:r>
          </w:p>
        </w:tc>
        <w:tc>
          <w:tcPr/>
          <w:p>
            <w:pPr>
              <w:pStyle w:val="Compact"/>
              <w:jc w:val="left"/>
            </w:pPr>
            <w:r>
              <w:t xml:space="preserve">TSPAN8</w:t>
            </w:r>
          </w:p>
        </w:tc>
        <w:tc>
          <w:tcPr/>
          <w:p>
            <w:pPr>
              <w:pStyle w:val="Compact"/>
              <w:jc w:val="left"/>
            </w:pPr>
            <w:r>
              <w:t xml:space="preserve">CDH3</w:t>
            </w:r>
          </w:p>
        </w:tc>
        <w:tc>
          <w:tcPr/>
          <w:p>
            <w:pPr>
              <w:pStyle w:val="Compact"/>
              <w:jc w:val="left"/>
            </w:pPr>
            <w:r>
              <w:t xml:space="preserve">C15orf48</w:t>
            </w:r>
          </w:p>
        </w:tc>
        <w:tc>
          <w:tcPr/>
          <w:p>
            <w:pPr>
              <w:pStyle w:val="Compact"/>
              <w:jc w:val="left"/>
            </w:pPr>
            <w:r>
              <w:t xml:space="preserve">ARHGAP23</w:t>
            </w:r>
          </w:p>
        </w:tc>
      </w:tr>
      <w:tr>
        <w:tc>
          <w:tcPr/>
          <w:p>
            <w:pPr>
              <w:pStyle w:val="Compact"/>
              <w:jc w:val="left"/>
            </w:pPr>
            <w:r>
              <w:t xml:space="preserve">S100P</w:t>
            </w:r>
          </w:p>
        </w:tc>
        <w:tc>
          <w:tcPr/>
          <w:p>
            <w:pPr>
              <w:pStyle w:val="Compact"/>
              <w:jc w:val="left"/>
            </w:pPr>
            <w:r>
              <w:t xml:space="preserve">EPB41L1</w:t>
            </w:r>
          </w:p>
        </w:tc>
        <w:tc>
          <w:tcPr/>
          <w:p>
            <w:pPr>
              <w:pStyle w:val="Compact"/>
              <w:jc w:val="left"/>
            </w:pPr>
            <w:r>
              <w:t xml:space="preserve">ALDH3B1</w:t>
            </w:r>
          </w:p>
        </w:tc>
        <w:tc>
          <w:tcPr/>
          <w:p>
            <w:pPr>
              <w:pStyle w:val="Compact"/>
              <w:jc w:val="left"/>
            </w:pPr>
            <w:r>
              <w:t xml:space="preserve">RNASET2</w:t>
            </w:r>
          </w:p>
        </w:tc>
        <w:tc>
          <w:tcPr/>
          <w:p>
            <w:pPr>
              <w:pStyle w:val="Compact"/>
              <w:jc w:val="left"/>
            </w:pPr>
            <w:r>
              <w:t xml:space="preserve">PFKP</w:t>
            </w:r>
          </w:p>
        </w:tc>
        <w:tc>
          <w:tcPr/>
          <w:p>
            <w:pPr>
              <w:pStyle w:val="Compact"/>
              <w:jc w:val="left"/>
            </w:pPr>
            <w:r>
              <w:t xml:space="preserve">HPGD</w:t>
            </w:r>
          </w:p>
        </w:tc>
      </w:tr>
      <w:tr>
        <w:tc>
          <w:tcPr/>
          <w:p>
            <w:pPr>
              <w:pStyle w:val="Compact"/>
              <w:jc w:val="left"/>
            </w:pPr>
            <w:r>
              <w:t xml:space="preserve">RPS16</w:t>
            </w:r>
          </w:p>
        </w:tc>
        <w:tc>
          <w:tcPr/>
          <w:p>
            <w:pPr>
              <w:pStyle w:val="Compact"/>
              <w:jc w:val="left"/>
            </w:pPr>
            <w:r>
              <w:t xml:space="preserve">EFNA1</w:t>
            </w:r>
          </w:p>
        </w:tc>
        <w:tc>
          <w:tcPr/>
          <w:p>
            <w:pPr>
              <w:pStyle w:val="Compact"/>
              <w:jc w:val="left"/>
            </w:pPr>
            <w:r>
              <w:t xml:space="preserve">ANPEP</w:t>
            </w:r>
          </w:p>
        </w:tc>
        <w:tc>
          <w:tcPr/>
          <w:p>
            <w:pPr>
              <w:pStyle w:val="Compact"/>
              <w:jc w:val="left"/>
            </w:pPr>
            <w:r>
              <w:t xml:space="preserve">TUBA1C</w:t>
            </w:r>
          </w:p>
        </w:tc>
        <w:tc>
          <w:tcPr/>
          <w:p>
            <w:pPr>
              <w:pStyle w:val="Compact"/>
              <w:jc w:val="left"/>
            </w:pPr>
            <w:r>
              <w:t xml:space="preserve">STARD10</w:t>
            </w:r>
          </w:p>
        </w:tc>
        <w:tc>
          <w:tcPr/>
          <w:p>
            <w:pPr>
              <w:pStyle w:val="Compact"/>
              <w:jc w:val="left"/>
            </w:pPr>
            <w:r>
              <w:t xml:space="preserve">AKR1C3</w:t>
            </w:r>
          </w:p>
        </w:tc>
      </w:tr>
      <w:tr>
        <w:tc>
          <w:tcPr/>
          <w:p>
            <w:pPr>
              <w:pStyle w:val="Compact"/>
              <w:jc w:val="left"/>
            </w:pPr>
            <w:r>
              <w:t xml:space="preserve">IL32</w:t>
            </w:r>
          </w:p>
        </w:tc>
        <w:tc>
          <w:tcPr/>
          <w:p>
            <w:pPr>
              <w:pStyle w:val="Compact"/>
              <w:jc w:val="left"/>
            </w:pPr>
            <w:r>
              <w:t xml:space="preserve">TKT</w:t>
            </w:r>
          </w:p>
        </w:tc>
        <w:tc>
          <w:tcPr/>
          <w:p>
            <w:pPr>
              <w:pStyle w:val="Compact"/>
              <w:jc w:val="left"/>
            </w:pPr>
            <w:r>
              <w:t xml:space="preserve">GSTP1</w:t>
            </w:r>
          </w:p>
        </w:tc>
        <w:tc>
          <w:tcPr/>
          <w:p>
            <w:pPr>
              <w:pStyle w:val="Compact"/>
              <w:jc w:val="left"/>
            </w:pPr>
            <w:r>
              <w:t xml:space="preserve">RAP1GAP</w:t>
            </w:r>
          </w:p>
        </w:tc>
        <w:tc>
          <w:tcPr/>
          <w:p>
            <w:pPr>
              <w:pStyle w:val="Compact"/>
              <w:jc w:val="left"/>
            </w:pPr>
            <w:r>
              <w:t xml:space="preserve">FOXQ1</w:t>
            </w:r>
          </w:p>
        </w:tc>
        <w:tc>
          <w:tcPr/>
          <w:p>
            <w:pPr>
              <w:pStyle w:val="Compact"/>
              <w:jc w:val="left"/>
            </w:pPr>
            <w:r>
              <w:t xml:space="preserve">CRABP2</w:t>
            </w:r>
          </w:p>
        </w:tc>
      </w:tr>
      <w:tr>
        <w:tc>
          <w:tcPr/>
          <w:p>
            <w:pPr>
              <w:pStyle w:val="Compact"/>
              <w:jc w:val="left"/>
            </w:pPr>
            <w:r>
              <w:t xml:space="preserve">SH3BGRL3</w:t>
            </w:r>
          </w:p>
        </w:tc>
        <w:tc>
          <w:tcPr/>
          <w:p>
            <w:pPr>
              <w:pStyle w:val="Compact"/>
              <w:jc w:val="left"/>
            </w:pPr>
            <w:r>
              <w:t xml:space="preserve">SLC2A1</w:t>
            </w:r>
          </w:p>
        </w:tc>
        <w:tc>
          <w:tcPr/>
          <w:p>
            <w:pPr>
              <w:pStyle w:val="Compact"/>
              <w:jc w:val="left"/>
            </w:pPr>
            <w:r>
              <w:t xml:space="preserve">KLK10</w:t>
            </w:r>
          </w:p>
        </w:tc>
        <w:tc>
          <w:tcPr/>
          <w:p>
            <w:pPr>
              <w:pStyle w:val="Compact"/>
              <w:jc w:val="left"/>
            </w:pPr>
            <w:r>
              <w:t xml:space="preserve">H19</w:t>
            </w:r>
          </w:p>
        </w:tc>
        <w:tc>
          <w:tcPr/>
          <w:p>
            <w:pPr>
              <w:pStyle w:val="Compact"/>
              <w:jc w:val="left"/>
            </w:pPr>
            <w:r>
              <w:t xml:space="preserve">REG4</w:t>
            </w:r>
          </w:p>
        </w:tc>
        <w:tc>
          <w:tcPr/>
          <w:p>
            <w:pPr>
              <w:pStyle w:val="Compact"/>
              <w:jc w:val="left"/>
            </w:pPr>
            <w:r>
              <w:t xml:space="preserve">GRB7</w:t>
            </w:r>
          </w:p>
        </w:tc>
      </w:tr>
      <w:tr>
        <w:tc>
          <w:tcPr/>
          <w:p>
            <w:pPr>
              <w:pStyle w:val="Compact"/>
              <w:jc w:val="left"/>
            </w:pPr>
            <w:r>
              <w:t xml:space="preserve">IFITM2</w:t>
            </w:r>
          </w:p>
        </w:tc>
        <w:tc>
          <w:tcPr/>
          <w:p>
            <w:pPr>
              <w:pStyle w:val="Compact"/>
              <w:jc w:val="left"/>
            </w:pPr>
            <w:r>
              <w:t xml:space="preserve">PLOD1</w:t>
            </w:r>
          </w:p>
        </w:tc>
        <w:tc>
          <w:tcPr/>
          <w:p>
            <w:pPr>
              <w:pStyle w:val="Compact"/>
              <w:jc w:val="left"/>
            </w:pPr>
            <w:r>
              <w:t xml:space="preserve">B4GALT1</w:t>
            </w:r>
          </w:p>
        </w:tc>
        <w:tc>
          <w:tcPr/>
          <w:p>
            <w:pPr>
              <w:pStyle w:val="Compact"/>
              <w:jc w:val="left"/>
            </w:pPr>
            <w:r>
              <w:t xml:space="preserve">LTBP3</w:t>
            </w:r>
          </w:p>
        </w:tc>
        <w:tc>
          <w:tcPr/>
          <w:p>
            <w:pPr>
              <w:pStyle w:val="Compact"/>
              <w:jc w:val="left"/>
            </w:pPr>
            <w:r>
              <w:t xml:space="preserve">GJB1</w:t>
            </w:r>
          </w:p>
        </w:tc>
        <w:tc>
          <w:tcPr/>
          <w:p>
            <w:pPr>
              <w:pStyle w:val="Compact"/>
              <w:jc w:val="left"/>
            </w:pPr>
            <w:r>
              <w:t xml:space="preserve">SERPINA4</w:t>
            </w:r>
          </w:p>
        </w:tc>
      </w:tr>
      <w:tr>
        <w:tc>
          <w:tcPr/>
          <w:p>
            <w:pPr>
              <w:pStyle w:val="Compact"/>
              <w:jc w:val="left"/>
            </w:pPr>
            <w:r>
              <w:t xml:space="preserve">RPS21</w:t>
            </w:r>
          </w:p>
        </w:tc>
        <w:tc>
          <w:tcPr/>
          <w:p>
            <w:pPr>
              <w:pStyle w:val="Compact"/>
              <w:jc w:val="left"/>
            </w:pPr>
            <w:r>
              <w:t xml:space="preserve">IER3</w:t>
            </w:r>
          </w:p>
        </w:tc>
        <w:tc>
          <w:tcPr/>
          <w:p>
            <w:pPr>
              <w:pStyle w:val="Compact"/>
              <w:jc w:val="left"/>
            </w:pPr>
            <w:r>
              <w:t xml:space="preserve">GAS6</w:t>
            </w:r>
          </w:p>
        </w:tc>
        <w:tc>
          <w:tcPr/>
          <w:p>
            <w:pPr>
              <w:pStyle w:val="Compact"/>
              <w:jc w:val="left"/>
            </w:pPr>
            <w:r>
              <w:t xml:space="preserve">AQP3</w:t>
            </w:r>
          </w:p>
        </w:tc>
        <w:tc>
          <w:tcPr/>
          <w:p>
            <w:pPr>
              <w:pStyle w:val="Compact"/>
              <w:jc w:val="left"/>
            </w:pPr>
            <w:r>
              <w:t xml:space="preserve">SLC29A1</w:t>
            </w:r>
          </w:p>
        </w:tc>
        <w:tc>
          <w:tcPr/>
          <w:p>
            <w:pPr>
              <w:pStyle w:val="Compact"/>
              <w:jc w:val="left"/>
            </w:pPr>
            <w:r>
              <w:t xml:space="preserve">SLC39A4</w:t>
            </w:r>
          </w:p>
        </w:tc>
      </w:tr>
      <w:tr>
        <w:tc>
          <w:tcPr/>
          <w:p>
            <w:pPr>
              <w:pStyle w:val="Compact"/>
              <w:jc w:val="left"/>
            </w:pPr>
            <w:r>
              <w:t xml:space="preserve">SEMA4B</w:t>
            </w:r>
          </w:p>
        </w:tc>
        <w:tc>
          <w:tcPr/>
          <w:p>
            <w:pPr>
              <w:pStyle w:val="Compact"/>
              <w:jc w:val="left"/>
            </w:pPr>
            <w:r>
              <w:t xml:space="preserve">B3GNT3</w:t>
            </w:r>
          </w:p>
        </w:tc>
        <w:tc>
          <w:tcPr/>
          <w:p>
            <w:pPr>
              <w:pStyle w:val="Compact"/>
              <w:jc w:val="left"/>
            </w:pPr>
            <w:r>
              <w:t xml:space="preserve">ABCC3</w:t>
            </w:r>
          </w:p>
        </w:tc>
        <w:tc>
          <w:tcPr/>
          <w:p>
            <w:pPr>
              <w:pStyle w:val="Compact"/>
              <w:jc w:val="left"/>
            </w:pPr>
            <w:r>
              <w:t xml:space="preserve">MPZL2</w:t>
            </w:r>
          </w:p>
        </w:tc>
        <w:tc>
          <w:tcPr/>
          <w:p>
            <w:pPr>
              <w:pStyle w:val="Compact"/>
              <w:jc w:val="left"/>
            </w:pPr>
            <w:r>
              <w:t xml:space="preserve">NOTCH3</w:t>
            </w:r>
          </w:p>
        </w:tc>
        <w:tc>
          <w:tcPr/>
          <w:p>
            <w:pPr>
              <w:pStyle w:val="Compact"/>
              <w:jc w:val="left"/>
            </w:pPr>
            <w:r>
              <w:t xml:space="preserve">FA2H</w:t>
            </w:r>
          </w:p>
        </w:tc>
      </w:tr>
      <w:tr>
        <w:tc>
          <w:tcPr/>
          <w:p>
            <w:pPr>
              <w:pStyle w:val="Compact"/>
              <w:jc w:val="left"/>
            </w:pPr>
            <w:r>
              <w:t xml:space="preserve">APOL1</w:t>
            </w:r>
          </w:p>
        </w:tc>
        <w:tc>
          <w:tcPr/>
          <w:p>
            <w:pPr>
              <w:pStyle w:val="Compact"/>
              <w:jc w:val="left"/>
            </w:pPr>
            <w:r>
              <w:t xml:space="preserve">PRSS3</w:t>
            </w:r>
          </w:p>
        </w:tc>
        <w:tc>
          <w:tcPr/>
          <w:p>
            <w:pPr>
              <w:pStyle w:val="Compact"/>
              <w:jc w:val="left"/>
            </w:pPr>
            <w:r>
              <w:t xml:space="preserve">CLDN2</w:t>
            </w:r>
          </w:p>
        </w:tc>
        <w:tc>
          <w:tcPr/>
          <w:p>
            <w:pPr>
              <w:pStyle w:val="Compact"/>
              <w:jc w:val="left"/>
            </w:pPr>
            <w:r>
              <w:t xml:space="preserve">ID1</w:t>
            </w:r>
          </w:p>
        </w:tc>
        <w:tc>
          <w:tcPr/>
          <w:p>
            <w:pPr>
              <w:pStyle w:val="Compact"/>
              <w:jc w:val="left"/>
            </w:pPr>
            <w:r>
              <w:t xml:space="preserve">TRIM16</w:t>
            </w:r>
          </w:p>
        </w:tc>
        <w:tc>
          <w:tcPr/>
          <w:p>
            <w:pPr>
              <w:pStyle w:val="Compact"/>
              <w:jc w:val="left"/>
            </w:pPr>
            <w:r>
              <w:t xml:space="preserve">RPL8</w:t>
            </w:r>
          </w:p>
        </w:tc>
      </w:tr>
      <w:tr>
        <w:tc>
          <w:tcPr/>
          <w:p>
            <w:pPr>
              <w:pStyle w:val="Compact"/>
              <w:jc w:val="left"/>
            </w:pPr>
            <w:r>
              <w:t xml:space="preserve">S100A16</w:t>
            </w:r>
          </w:p>
        </w:tc>
        <w:tc>
          <w:tcPr/>
          <w:p>
            <w:pPr>
              <w:pStyle w:val="Compact"/>
              <w:jc w:val="left"/>
            </w:pPr>
            <w:r>
              <w:t xml:space="preserve">TOB1</w:t>
            </w:r>
          </w:p>
        </w:tc>
        <w:tc>
          <w:tcPr/>
          <w:p>
            <w:pPr>
              <w:pStyle w:val="Compact"/>
              <w:jc w:val="left"/>
            </w:pPr>
            <w:r>
              <w:t xml:space="preserve">CEACAM6</w:t>
            </w:r>
          </w:p>
        </w:tc>
        <w:tc>
          <w:tcPr/>
          <w:p>
            <w:pPr>
              <w:pStyle w:val="Compact"/>
              <w:jc w:val="left"/>
            </w:pPr>
            <w:r>
              <w:t xml:space="preserve">RARRES2</w:t>
            </w:r>
          </w:p>
        </w:tc>
        <w:tc>
          <w:tcPr/>
          <w:p>
            <w:pPr>
              <w:pStyle w:val="Compact"/>
              <w:jc w:val="left"/>
            </w:pPr>
            <w:r>
              <w:t xml:space="preserve">TAP2</w:t>
            </w:r>
          </w:p>
        </w:tc>
        <w:tc>
          <w:tcPr/>
          <w:p>
            <w:pPr>
              <w:pStyle w:val="Compact"/>
              <w:jc w:val="left"/>
            </w:pPr>
            <w:r>
              <w:t xml:space="preserve">MT1X</w:t>
            </w:r>
          </w:p>
        </w:tc>
      </w:tr>
      <w:tr>
        <w:tc>
          <w:tcPr/>
          <w:p>
            <w:pPr>
              <w:pStyle w:val="Compact"/>
              <w:jc w:val="left"/>
            </w:pPr>
            <w:r>
              <w:t xml:space="preserve">DNAJB1</w:t>
            </w:r>
          </w:p>
        </w:tc>
        <w:tc>
          <w:tcPr/>
          <w:p>
            <w:pPr>
              <w:pStyle w:val="Compact"/>
              <w:jc w:val="left"/>
            </w:pPr>
            <w:r>
              <w:t xml:space="preserve">EGR1</w:t>
            </w:r>
          </w:p>
        </w:tc>
        <w:tc>
          <w:tcPr/>
          <w:p>
            <w:pPr>
              <w:pStyle w:val="Compact"/>
              <w:jc w:val="left"/>
            </w:pPr>
            <w:r>
              <w:t xml:space="preserve">CREB3L1</w:t>
            </w:r>
          </w:p>
        </w:tc>
        <w:tc>
          <w:tcPr/>
          <w:p>
            <w:pPr>
              <w:pStyle w:val="Compact"/>
              <w:jc w:val="left"/>
            </w:pPr>
            <w:r>
              <w:t xml:space="preserve">SLC25A6</w:t>
            </w:r>
          </w:p>
        </w:tc>
        <w:tc>
          <w:tcPr/>
          <w:p>
            <w:pPr>
              <w:pStyle w:val="Compact"/>
              <w:jc w:val="left"/>
            </w:pPr>
            <w:r>
              <w:t xml:space="preserve">KRT19</w:t>
            </w:r>
          </w:p>
        </w:tc>
        <w:tc>
          <w:tcPr/>
          <w:p>
            <w:pPr>
              <w:pStyle w:val="Compact"/>
              <w:jc w:val="left"/>
            </w:pPr>
            <w:r>
              <w:t xml:space="preserve">TCN1</w:t>
            </w:r>
          </w:p>
        </w:tc>
      </w:tr>
      <w:tr>
        <w:tc>
          <w:tcPr/>
          <w:p>
            <w:pPr>
              <w:pStyle w:val="Compact"/>
              <w:jc w:val="left"/>
            </w:pPr>
            <w:r>
              <w:t xml:space="preserve">MT2A</w:t>
            </w:r>
          </w:p>
        </w:tc>
        <w:tc>
          <w:tcPr/>
          <w:p>
            <w:pPr>
              <w:pStyle w:val="Compact"/>
              <w:jc w:val="left"/>
            </w:pPr>
            <w:r>
              <w:t xml:space="preserve">PLA2G16</w:t>
            </w:r>
          </w:p>
        </w:tc>
        <w:tc>
          <w:tcPr/>
          <w:p>
            <w:pPr>
              <w:pStyle w:val="Compact"/>
              <w:jc w:val="left"/>
            </w:pPr>
            <w:r>
              <w:t xml:space="preserve">MST1R</w:t>
            </w:r>
          </w:p>
        </w:tc>
        <w:tc>
          <w:tcPr/>
          <w:p>
            <w:pPr>
              <w:pStyle w:val="Compact"/>
              <w:jc w:val="left"/>
            </w:pPr>
            <w:r>
              <w:t xml:space="preserve">RBP1</w:t>
            </w:r>
          </w:p>
        </w:tc>
        <w:tc>
          <w:tcPr/>
          <w:p>
            <w:pPr>
              <w:pStyle w:val="Compact"/>
              <w:jc w:val="left"/>
            </w:pPr>
            <w:r>
              <w:t xml:space="preserve">CRP</w:t>
            </w:r>
          </w:p>
        </w:tc>
        <w:tc>
          <w:tcPr/>
          <w:p>
            <w:pPr>
              <w:pStyle w:val="Compact"/>
              <w:jc w:val="left"/>
            </w:pPr>
            <w:r>
              <w:t xml:space="preserve">AKAP1</w:t>
            </w:r>
          </w:p>
        </w:tc>
      </w:tr>
      <w:tr>
        <w:tc>
          <w:tcPr/>
          <w:p>
            <w:pPr>
              <w:pStyle w:val="Compact"/>
              <w:jc w:val="left"/>
            </w:pPr>
            <w:r>
              <w:t xml:space="preserve">TNFRSF21</w:t>
            </w:r>
          </w:p>
        </w:tc>
        <w:tc>
          <w:tcPr/>
          <w:p>
            <w:pPr>
              <w:pStyle w:val="Compact"/>
              <w:jc w:val="left"/>
            </w:pPr>
            <w:r>
              <w:t xml:space="preserve">OCIAD2</w:t>
            </w:r>
          </w:p>
        </w:tc>
        <w:tc>
          <w:tcPr/>
          <w:p>
            <w:pPr>
              <w:pStyle w:val="Compact"/>
              <w:jc w:val="left"/>
            </w:pPr>
            <w:r>
              <w:t xml:space="preserve">CEBPB</w:t>
            </w:r>
          </w:p>
        </w:tc>
        <w:tc>
          <w:tcPr/>
          <w:p>
            <w:pPr>
              <w:pStyle w:val="Compact"/>
              <w:jc w:val="left"/>
            </w:pPr>
            <w:r>
              <w:t xml:space="preserve">HSPA5</w:t>
            </w:r>
          </w:p>
        </w:tc>
        <w:tc>
          <w:tcPr/>
          <w:p>
            <w:pPr>
              <w:pStyle w:val="Compact"/>
              <w:jc w:val="left"/>
            </w:pPr>
            <w:r>
              <w:t xml:space="preserve">SNHG5</w:t>
            </w:r>
          </w:p>
        </w:tc>
        <w:tc>
          <w:tcPr/>
          <w:p>
            <w:pPr>
              <w:pStyle w:val="Compact"/>
              <w:jc w:val="left"/>
            </w:pPr>
            <w:r>
              <w:t xml:space="preserve">GJB3</w:t>
            </w:r>
          </w:p>
        </w:tc>
      </w:tr>
      <w:tr>
        <w:tc>
          <w:tcPr/>
          <w:p>
            <w:pPr>
              <w:pStyle w:val="Compact"/>
              <w:jc w:val="left"/>
            </w:pPr>
            <w:r>
              <w:t xml:space="preserve">RPL28</w:t>
            </w:r>
          </w:p>
        </w:tc>
        <w:tc>
          <w:tcPr/>
          <w:p>
            <w:pPr>
              <w:pStyle w:val="Compact"/>
              <w:jc w:val="left"/>
            </w:pPr>
            <w:r>
              <w:t xml:space="preserve">LPCAT4</w:t>
            </w:r>
          </w:p>
        </w:tc>
        <w:tc>
          <w:tcPr/>
          <w:p>
            <w:pPr>
              <w:pStyle w:val="Compact"/>
              <w:jc w:val="left"/>
            </w:pPr>
            <w:r>
              <w:t xml:space="preserve">TXN</w:t>
            </w:r>
          </w:p>
        </w:tc>
        <w:tc>
          <w:tcPr/>
          <w:p>
            <w:pPr>
              <w:pStyle w:val="Compact"/>
              <w:jc w:val="left"/>
            </w:pPr>
            <w:r>
              <w:t xml:space="preserve">PER1</w:t>
            </w:r>
          </w:p>
        </w:tc>
        <w:tc>
          <w:tcPr/>
          <w:p>
            <w:pPr>
              <w:pStyle w:val="Compact"/>
              <w:jc w:val="left"/>
            </w:pPr>
            <w:r>
              <w:t xml:space="preserve">KRT18</w:t>
            </w:r>
          </w:p>
        </w:tc>
        <w:tc>
          <w:tcPr/>
          <w:p>
            <w:pPr>
              <w:pStyle w:val="Compact"/>
              <w:jc w:val="left"/>
            </w:pPr>
            <w:r>
              <w:t xml:space="preserve">DUOXA2</w:t>
            </w:r>
          </w:p>
        </w:tc>
      </w:tr>
      <w:tr>
        <w:tc>
          <w:tcPr/>
          <w:p>
            <w:pPr>
              <w:pStyle w:val="Compact"/>
              <w:jc w:val="left"/>
            </w:pPr>
            <w:r>
              <w:t xml:space="preserve">FXYD3</w:t>
            </w:r>
          </w:p>
        </w:tc>
        <w:tc>
          <w:tcPr/>
          <w:p>
            <w:pPr>
              <w:pStyle w:val="Compact"/>
              <w:jc w:val="left"/>
            </w:pPr>
            <w:r>
              <w:t xml:space="preserve">BST2</w:t>
            </w:r>
          </w:p>
        </w:tc>
        <w:tc>
          <w:tcPr/>
          <w:p>
            <w:pPr>
              <w:pStyle w:val="Compact"/>
              <w:jc w:val="left"/>
            </w:pPr>
            <w:r>
              <w:t xml:space="preserve">NR4A1</w:t>
            </w:r>
          </w:p>
        </w:tc>
        <w:tc>
          <w:tcPr/>
          <w:p>
            <w:pPr>
              <w:pStyle w:val="Compact"/>
              <w:jc w:val="left"/>
            </w:pPr>
            <w:r>
              <w:t xml:space="preserve">ADAP1</w:t>
            </w:r>
          </w:p>
        </w:tc>
        <w:tc>
          <w:tcPr/>
          <w:p>
            <w:pPr>
              <w:pStyle w:val="Compact"/>
              <w:jc w:val="left"/>
            </w:pPr>
            <w:r>
              <w:t xml:space="preserve">CA12</w:t>
            </w:r>
          </w:p>
        </w:tc>
        <w:tc>
          <w:tcPr/>
          <w:p>
            <w:pPr>
              <w:pStyle w:val="Compact"/>
              <w:jc w:val="left"/>
            </w:pPr>
            <w:r>
              <w:t xml:space="preserve">HLA-DRB5</w:t>
            </w:r>
          </w:p>
        </w:tc>
      </w:tr>
      <w:tr>
        <w:tc>
          <w:tcPr/>
          <w:p>
            <w:pPr>
              <w:pStyle w:val="Compact"/>
              <w:jc w:val="left"/>
            </w:pPr>
            <w:r>
              <w:t xml:space="preserve">SERPING1</w:t>
            </w:r>
          </w:p>
        </w:tc>
        <w:tc>
          <w:tcPr/>
          <w:p>
            <w:pPr>
              <w:pStyle w:val="Compact"/>
              <w:jc w:val="left"/>
            </w:pPr>
            <w:r>
              <w:t xml:space="preserve">EPHA2</w:t>
            </w:r>
          </w:p>
        </w:tc>
        <w:tc>
          <w:tcPr/>
          <w:p>
            <w:pPr>
              <w:pStyle w:val="Compact"/>
              <w:jc w:val="left"/>
            </w:pPr>
            <w:r>
              <w:t xml:space="preserve">AP1M2</w:t>
            </w:r>
          </w:p>
        </w:tc>
        <w:tc>
          <w:tcPr/>
          <w:p>
            <w:pPr>
              <w:pStyle w:val="Compact"/>
              <w:jc w:val="left"/>
            </w:pPr>
            <w:r>
              <w:t xml:space="preserve">TMC4</w:t>
            </w:r>
          </w:p>
        </w:tc>
        <w:tc>
          <w:tcPr/>
          <w:p>
            <w:pPr>
              <w:pStyle w:val="Compact"/>
              <w:jc w:val="left"/>
            </w:pPr>
            <w:r>
              <w:t xml:space="preserve">MYEOV</w:t>
            </w:r>
          </w:p>
        </w:tc>
        <w:tc>
          <w:tcPr/>
          <w:p>
            <w:pPr>
              <w:pStyle w:val="Compact"/>
              <w:jc w:val="left"/>
            </w:pPr>
            <w:r>
              <w:t xml:space="preserve">ARRDC2</w:t>
            </w:r>
          </w:p>
        </w:tc>
      </w:tr>
      <w:tr>
        <w:tc>
          <w:tcPr/>
          <w:p>
            <w:pPr>
              <w:pStyle w:val="Compact"/>
              <w:jc w:val="left"/>
            </w:pPr>
            <w:r>
              <w:t xml:space="preserve">HMGA1</w:t>
            </w:r>
          </w:p>
        </w:tc>
        <w:tc>
          <w:tcPr/>
          <w:p>
            <w:pPr>
              <w:pStyle w:val="Compact"/>
              <w:jc w:val="left"/>
            </w:pPr>
            <w:r>
              <w:t xml:space="preserve">MUC5B</w:t>
            </w:r>
          </w:p>
        </w:tc>
        <w:tc>
          <w:tcPr/>
          <w:p>
            <w:pPr>
              <w:pStyle w:val="Compact"/>
              <w:jc w:val="left"/>
            </w:pPr>
            <w:r>
              <w:t xml:space="preserve">SYNPO</w:t>
            </w:r>
          </w:p>
        </w:tc>
        <w:tc>
          <w:tcPr/>
          <w:p>
            <w:pPr>
              <w:pStyle w:val="Compact"/>
              <w:jc w:val="left"/>
            </w:pPr>
            <w:r>
              <w:t xml:space="preserve">HSD17B2</w:t>
            </w:r>
          </w:p>
        </w:tc>
        <w:tc>
          <w:tcPr/>
          <w:p>
            <w:pPr>
              <w:pStyle w:val="Compact"/>
              <w:jc w:val="left"/>
            </w:pPr>
            <w:r>
              <w:t xml:space="preserve">P4HB</w:t>
            </w:r>
          </w:p>
        </w:tc>
        <w:tc>
          <w:tcPr/>
          <w:p>
            <w:pPr>
              <w:pStyle w:val="Compact"/>
              <w:jc w:val="left"/>
            </w:pPr>
            <w:r>
              <w:t xml:space="preserve">OAS1</w:t>
            </w:r>
          </w:p>
        </w:tc>
      </w:tr>
      <w:tr>
        <w:tc>
          <w:tcPr/>
          <w:p>
            <w:pPr>
              <w:pStyle w:val="Compact"/>
              <w:jc w:val="left"/>
            </w:pPr>
            <w:r>
              <w:t xml:space="preserve">S100A14</w:t>
            </w:r>
          </w:p>
        </w:tc>
        <w:tc>
          <w:tcPr/>
          <w:p>
            <w:pPr>
              <w:pStyle w:val="Compact"/>
              <w:jc w:val="left"/>
            </w:pPr>
            <w:r>
              <w:t xml:space="preserve">KCNN4</w:t>
            </w:r>
          </w:p>
        </w:tc>
        <w:tc>
          <w:tcPr/>
          <w:p>
            <w:pPr>
              <w:pStyle w:val="Compact"/>
              <w:jc w:val="left"/>
            </w:pPr>
            <w:r>
              <w:t xml:space="preserve">ANO1</w:t>
            </w:r>
          </w:p>
        </w:tc>
        <w:tc>
          <w:tcPr/>
          <w:p>
            <w:pPr>
              <w:pStyle w:val="Compact"/>
              <w:jc w:val="left"/>
            </w:pPr>
            <w:r>
              <w:t xml:space="preserve">PTP4A1</w:t>
            </w:r>
          </w:p>
        </w:tc>
        <w:tc>
          <w:tcPr/>
          <w:p>
            <w:pPr>
              <w:pStyle w:val="Compact"/>
              <w:jc w:val="left"/>
            </w:pPr>
            <w:r>
              <w:t xml:space="preserve">VILL</w:t>
            </w:r>
          </w:p>
        </w:tc>
        <w:tc>
          <w:tcPr/>
          <w:p>
            <w:pPr>
              <w:pStyle w:val="Compact"/>
              <w:jc w:val="left"/>
            </w:pPr>
            <w:r>
              <w:t xml:space="preserve">ADRA2A</w:t>
            </w:r>
          </w:p>
        </w:tc>
      </w:tr>
      <w:tr>
        <w:tc>
          <w:tcPr/>
          <w:p>
            <w:pPr>
              <w:pStyle w:val="Compact"/>
              <w:jc w:val="left"/>
            </w:pPr>
            <w:r>
              <w:t xml:space="preserve">H1F0</w:t>
            </w:r>
          </w:p>
        </w:tc>
        <w:tc>
          <w:tcPr/>
          <w:p>
            <w:pPr>
              <w:pStyle w:val="Compact"/>
              <w:jc w:val="left"/>
            </w:pPr>
            <w:r>
              <w:t xml:space="preserve">ITGA3</w:t>
            </w:r>
          </w:p>
        </w:tc>
        <w:tc>
          <w:tcPr/>
          <w:p>
            <w:pPr>
              <w:pStyle w:val="Compact"/>
              <w:jc w:val="left"/>
            </w:pPr>
            <w:r>
              <w:t xml:space="preserve">SIK1</w:t>
            </w:r>
          </w:p>
        </w:tc>
        <w:tc>
          <w:tcPr/>
          <w:p>
            <w:pPr>
              <w:pStyle w:val="Compact"/>
              <w:jc w:val="left"/>
            </w:pPr>
            <w:r>
              <w:t xml:space="preserve">PLAUR</w:t>
            </w:r>
          </w:p>
        </w:tc>
        <w:tc>
          <w:tcPr/>
          <w:p>
            <w:pPr>
              <w:pStyle w:val="Compact"/>
              <w:jc w:val="left"/>
            </w:pPr>
            <w:r>
              <w:t xml:space="preserve">HKDC1</w:t>
            </w:r>
          </w:p>
        </w:tc>
        <w:tc>
          <w:tcPr/>
          <w:p>
            <w:pPr>
              <w:pStyle w:val="Compact"/>
              <w:jc w:val="left"/>
            </w:pPr>
            <w:r>
              <w:t xml:space="preserve">NQO1</w:t>
            </w:r>
          </w:p>
        </w:tc>
      </w:tr>
      <w:tr>
        <w:tc>
          <w:tcPr/>
          <w:p>
            <w:pPr>
              <w:pStyle w:val="Compact"/>
              <w:jc w:val="left"/>
            </w:pPr>
            <w:r>
              <w:t xml:space="preserve">KRT17</w:t>
            </w:r>
          </w:p>
        </w:tc>
        <w:tc>
          <w:tcPr/>
          <w:p>
            <w:pPr>
              <w:pStyle w:val="Compact"/>
              <w:jc w:val="left"/>
            </w:pPr>
            <w:r>
              <w:t xml:space="preserve">TSTA3</w:t>
            </w:r>
          </w:p>
        </w:tc>
        <w:tc>
          <w:tcPr/>
          <w:p>
            <w:pPr>
              <w:pStyle w:val="Compact"/>
              <w:jc w:val="left"/>
            </w:pPr>
            <w:r>
              <w:t xml:space="preserve">EFNB2</w:t>
            </w:r>
          </w:p>
        </w:tc>
        <w:tc>
          <w:tcPr/>
          <w:p>
            <w:pPr>
              <w:pStyle w:val="Compact"/>
              <w:jc w:val="left"/>
            </w:pPr>
            <w:r>
              <w:t xml:space="preserve">ANXA10</w:t>
            </w:r>
          </w:p>
        </w:tc>
        <w:tc>
          <w:tcPr/>
          <w:p>
            <w:pPr>
              <w:pStyle w:val="Compact"/>
              <w:jc w:val="left"/>
            </w:pPr>
            <w:r>
              <w:t xml:space="preserve">STEAP3</w:t>
            </w:r>
          </w:p>
        </w:tc>
        <w:tc>
          <w:tcPr/>
          <w:p>
            <w:pPr>
              <w:pStyle w:val="Compact"/>
              <w:jc w:val="left"/>
            </w:pPr>
            <w:r>
              <w:t xml:space="preserve">LRG1</w:t>
            </w:r>
          </w:p>
        </w:tc>
      </w:tr>
      <w:tr>
        <w:tc>
          <w:tcPr/>
          <w:p>
            <w:pPr>
              <w:pStyle w:val="Compact"/>
              <w:jc w:val="left"/>
            </w:pPr>
            <w:r>
              <w:t xml:space="preserve">CSTB</w:t>
            </w:r>
          </w:p>
        </w:tc>
        <w:tc>
          <w:tcPr/>
          <w:p>
            <w:pPr>
              <w:pStyle w:val="Compact"/>
              <w:jc w:val="left"/>
            </w:pPr>
            <w:r>
              <w:t xml:space="preserve">IFI27</w:t>
            </w:r>
          </w:p>
        </w:tc>
        <w:tc>
          <w:tcPr/>
          <w:p>
            <w:pPr>
              <w:pStyle w:val="Compact"/>
              <w:jc w:val="left"/>
            </w:pPr>
            <w:r>
              <w:t xml:space="preserve">CDKN1A</w:t>
            </w:r>
          </w:p>
        </w:tc>
        <w:tc>
          <w:tcPr/>
          <w:p>
            <w:pPr>
              <w:pStyle w:val="Compact"/>
              <w:jc w:val="left"/>
            </w:pPr>
            <w:r>
              <w:t xml:space="preserve">PYGB</w:t>
            </w:r>
          </w:p>
        </w:tc>
        <w:tc>
          <w:tcPr/>
          <w:p>
            <w:pPr>
              <w:pStyle w:val="Compact"/>
              <w:jc w:val="left"/>
            </w:pPr>
            <w:r>
              <w:t xml:space="preserve">PLEK2</w:t>
            </w:r>
          </w:p>
        </w:tc>
        <w:tc>
          <w:tcPr/>
          <w:p>
            <w:pPr>
              <w:pStyle w:val="Compact"/>
              <w:jc w:val="left"/>
            </w:pPr>
            <w:r>
              <w:t xml:space="preserve">SERPINH1</w:t>
            </w:r>
          </w:p>
        </w:tc>
      </w:tr>
      <w:tr>
        <w:tc>
          <w:tcPr/>
          <w:p>
            <w:pPr>
              <w:pStyle w:val="Compact"/>
              <w:jc w:val="left"/>
            </w:pPr>
            <w:r>
              <w:t xml:space="preserve">ASS1</w:t>
            </w:r>
          </w:p>
        </w:tc>
        <w:tc>
          <w:tcPr/>
          <w:p>
            <w:pPr>
              <w:pStyle w:val="Compact"/>
              <w:jc w:val="left"/>
            </w:pPr>
            <w:r>
              <w:t xml:space="preserve">MMP1</w:t>
            </w:r>
          </w:p>
        </w:tc>
        <w:tc>
          <w:tcPr/>
          <w:p>
            <w:pPr>
              <w:pStyle w:val="Compact"/>
              <w:jc w:val="left"/>
            </w:pPr>
            <w:r>
              <w:t xml:space="preserve">S100A10</w:t>
            </w:r>
          </w:p>
        </w:tc>
        <w:tc>
          <w:tcPr/>
          <w:p>
            <w:pPr>
              <w:pStyle w:val="Compact"/>
              <w:jc w:val="left"/>
            </w:pPr>
            <w:r>
              <w:t xml:space="preserve">CYP2S1</w:t>
            </w:r>
          </w:p>
        </w:tc>
        <w:tc>
          <w:tcPr/>
          <w:p>
            <w:pPr>
              <w:pStyle w:val="Compact"/>
              <w:jc w:val="left"/>
            </w:pPr>
            <w:r>
              <w:t xml:space="preserve">CD68</w:t>
            </w:r>
          </w:p>
        </w:tc>
        <w:tc>
          <w:tcPr/>
          <w:p>
            <w:pPr>
              <w:pStyle w:val="Compact"/>
              <w:jc w:val="left"/>
            </w:pPr>
            <w:r>
              <w:t xml:space="preserve">COL18A1</w:t>
            </w:r>
          </w:p>
        </w:tc>
      </w:tr>
      <w:tr>
        <w:tc>
          <w:tcPr/>
          <w:p>
            <w:pPr>
              <w:pStyle w:val="Compact"/>
              <w:jc w:val="left"/>
            </w:pPr>
            <w:r>
              <w:t xml:space="preserve">EFNB1</w:t>
            </w:r>
          </w:p>
        </w:tc>
        <w:tc>
          <w:tcPr/>
          <w:p>
            <w:pPr>
              <w:pStyle w:val="Compact"/>
              <w:jc w:val="left"/>
            </w:pPr>
            <w:r>
              <w:t xml:space="preserve">SLPI</w:t>
            </w:r>
          </w:p>
        </w:tc>
        <w:tc>
          <w:tcPr/>
          <w:p>
            <w:pPr>
              <w:pStyle w:val="Compact"/>
              <w:jc w:val="left"/>
            </w:pPr>
            <w:r>
              <w:t xml:space="preserve">PKP3</w:t>
            </w:r>
          </w:p>
        </w:tc>
        <w:tc>
          <w:tcPr/>
          <w:p>
            <w:pPr>
              <w:pStyle w:val="Compact"/>
              <w:jc w:val="left"/>
            </w:pPr>
            <w:r>
              <w:t xml:space="preserve">ALDOA</w:t>
            </w:r>
          </w:p>
        </w:tc>
        <w:tc>
          <w:tcPr/>
          <w:p>
            <w:pPr>
              <w:pStyle w:val="Compact"/>
              <w:jc w:val="left"/>
            </w:pPr>
            <w:r>
              <w:t xml:space="preserve">MAFF</w:t>
            </w:r>
          </w:p>
        </w:tc>
        <w:tc>
          <w:tcPr/>
          <w:p>
            <w:pPr>
              <w:pStyle w:val="Compact"/>
              <w:jc w:val="left"/>
            </w:pPr>
            <w:r>
              <w:t xml:space="preserve">CERCAM</w:t>
            </w:r>
          </w:p>
        </w:tc>
      </w:tr>
      <w:tr>
        <w:tc>
          <w:tcPr/>
          <w:p>
            <w:pPr>
              <w:pStyle w:val="Compact"/>
              <w:jc w:val="left"/>
            </w:pPr>
            <w:r>
              <w:t xml:space="preserve">MDK</w:t>
            </w:r>
          </w:p>
        </w:tc>
        <w:tc>
          <w:tcPr/>
          <w:p>
            <w:pPr>
              <w:pStyle w:val="Compact"/>
              <w:jc w:val="left"/>
            </w:pPr>
            <w:r>
              <w:t xml:space="preserve">CLTB</w:t>
            </w:r>
          </w:p>
        </w:tc>
        <w:tc>
          <w:tcPr/>
          <w:p>
            <w:pPr>
              <w:pStyle w:val="Compact"/>
              <w:jc w:val="left"/>
            </w:pPr>
            <w:r>
              <w:t xml:space="preserve">MCM7</w:t>
            </w:r>
          </w:p>
        </w:tc>
        <w:tc>
          <w:tcPr/>
          <w:p>
            <w:pPr>
              <w:pStyle w:val="Compact"/>
              <w:jc w:val="left"/>
            </w:pPr>
            <w:r>
              <w:t xml:space="preserve">CDCP1</w:t>
            </w:r>
          </w:p>
        </w:tc>
        <w:tc>
          <w:tcPr/>
          <w:p>
            <w:pPr>
              <w:pStyle w:val="Compact"/>
              <w:jc w:val="left"/>
            </w:pPr>
            <w:r>
              <w:t xml:space="preserve">CD9</w:t>
            </w:r>
          </w:p>
        </w:tc>
        <w:tc>
          <w:tcPr/>
          <w:p>
            <w:pPr>
              <w:pStyle w:val="Compact"/>
              <w:jc w:val="left"/>
            </w:pPr>
            <w:r>
              <w:t xml:space="preserve">CA9</w:t>
            </w:r>
          </w:p>
        </w:tc>
      </w:tr>
      <w:tr>
        <w:tc>
          <w:tcPr/>
          <w:p>
            <w:pPr>
              <w:pStyle w:val="Compact"/>
              <w:jc w:val="left"/>
            </w:pPr>
            <w:r>
              <w:t xml:space="preserve">LY6E</w:t>
            </w:r>
          </w:p>
        </w:tc>
        <w:tc>
          <w:tcPr/>
          <w:p>
            <w:pPr>
              <w:pStyle w:val="Compact"/>
              <w:jc w:val="left"/>
            </w:pPr>
            <w:r>
              <w:t xml:space="preserve">SPINK1</w:t>
            </w:r>
          </w:p>
        </w:tc>
        <w:tc>
          <w:tcPr/>
          <w:p>
            <w:pPr>
              <w:pStyle w:val="Compact"/>
              <w:jc w:val="left"/>
            </w:pPr>
            <w:r>
              <w:t xml:space="preserve">RARRES3</w:t>
            </w:r>
          </w:p>
        </w:tc>
        <w:tc>
          <w:tcPr/>
          <w:p>
            <w:pPr>
              <w:pStyle w:val="Compact"/>
              <w:jc w:val="left"/>
            </w:pPr>
            <w:r>
              <w:t xml:space="preserve">IFITM3</w:t>
            </w:r>
          </w:p>
        </w:tc>
        <w:tc>
          <w:tcPr/>
          <w:p>
            <w:pPr>
              <w:pStyle w:val="Compact"/>
              <w:jc w:val="left"/>
            </w:pPr>
            <w:r>
              <w:t xml:space="preserve">PLLP</w:t>
            </w:r>
          </w:p>
        </w:tc>
        <w:tc>
          <w:tcPr/>
          <w:p>
            <w:pPr>
              <w:pStyle w:val="Compact"/>
              <w:jc w:val="left"/>
            </w:pPr>
            <w:r>
              <w:t xml:space="preserve">CDHR2</w:t>
            </w:r>
          </w:p>
        </w:tc>
      </w:tr>
      <w:tr>
        <w:tc>
          <w:tcPr/>
          <w:p>
            <w:pPr>
              <w:pStyle w:val="Compact"/>
              <w:jc w:val="left"/>
            </w:pPr>
            <w:r>
              <w:t xml:space="preserve">CAMK2N1</w:t>
            </w:r>
          </w:p>
        </w:tc>
        <w:tc>
          <w:tcPr/>
          <w:p>
            <w:pPr>
              <w:pStyle w:val="Compact"/>
              <w:jc w:val="left"/>
            </w:pPr>
            <w:r>
              <w:t xml:space="preserve">JUP</w:t>
            </w:r>
          </w:p>
        </w:tc>
        <w:tc>
          <w:tcPr/>
          <w:p>
            <w:pPr>
              <w:pStyle w:val="Compact"/>
              <w:jc w:val="left"/>
            </w:pPr>
            <w:r>
              <w:t xml:space="preserve">CEACAM1</w:t>
            </w:r>
          </w:p>
        </w:tc>
        <w:tc>
          <w:tcPr/>
          <w:p>
            <w:pPr>
              <w:pStyle w:val="Compact"/>
              <w:jc w:val="left"/>
            </w:pPr>
            <w:r>
              <w:t xml:space="preserve">BAIAP2L1</w:t>
            </w:r>
          </w:p>
        </w:tc>
        <w:tc>
          <w:tcPr/>
          <w:p>
            <w:pPr>
              <w:pStyle w:val="Compact"/>
              <w:jc w:val="left"/>
            </w:pPr>
            <w:r>
              <w:t xml:space="preserve">EPHB4</w:t>
            </w:r>
          </w:p>
        </w:tc>
        <w:tc>
          <w:tcPr/>
          <w:p>
            <w:pPr>
              <w:pStyle w:val="Compact"/>
              <w:jc w:val="left"/>
            </w:pPr>
            <w:r>
              <w:t xml:space="preserve">ESRP1</w:t>
            </w:r>
          </w:p>
        </w:tc>
      </w:tr>
      <w:tr>
        <w:tc>
          <w:tcPr/>
          <w:p>
            <w:pPr>
              <w:pStyle w:val="Compact"/>
              <w:jc w:val="left"/>
            </w:pPr>
            <w:r>
              <w:t xml:space="preserve">MGLL</w:t>
            </w:r>
          </w:p>
        </w:tc>
        <w:tc>
          <w:tcPr/>
          <w:p>
            <w:pPr>
              <w:pStyle w:val="Compact"/>
              <w:jc w:val="left"/>
            </w:pPr>
            <w:r>
              <w:t xml:space="preserve">PPP1R15A</w:t>
            </w:r>
          </w:p>
        </w:tc>
        <w:tc>
          <w:tcPr/>
          <w:p>
            <w:pPr>
              <w:pStyle w:val="Compact"/>
              <w:jc w:val="left"/>
            </w:pPr>
            <w:r>
              <w:t xml:space="preserve">ALDH2</w:t>
            </w:r>
          </w:p>
        </w:tc>
        <w:tc>
          <w:tcPr/>
          <w:p>
            <w:pPr>
              <w:pStyle w:val="Compact"/>
              <w:jc w:val="left"/>
            </w:pPr>
            <w:r>
              <w:t xml:space="preserve">MGST1</w:t>
            </w:r>
          </w:p>
        </w:tc>
        <w:tc>
          <w:tcPr/>
          <w:p>
            <w:pPr>
              <w:pStyle w:val="Compact"/>
              <w:jc w:val="left"/>
            </w:pPr>
            <w:r>
              <w:t xml:space="preserve">KRT16</w:t>
            </w:r>
          </w:p>
        </w:tc>
        <w:tc>
          <w:tcPr/>
          <w:p>
            <w:pPr>
              <w:pStyle w:val="Compact"/>
              <w:jc w:val="left"/>
            </w:pPr>
            <w:r>
              <w:t xml:space="preserve">CRYZ</w:t>
            </w:r>
          </w:p>
        </w:tc>
      </w:tr>
      <w:tr>
        <w:tc>
          <w:tcPr/>
          <w:p>
            <w:pPr>
              <w:pStyle w:val="Compact"/>
              <w:jc w:val="left"/>
            </w:pPr>
            <w:r>
              <w:t xml:space="preserve">PDZK1IP1</w:t>
            </w:r>
          </w:p>
        </w:tc>
        <w:tc>
          <w:tcPr/>
          <w:p>
            <w:pPr>
              <w:pStyle w:val="Compact"/>
              <w:jc w:val="left"/>
            </w:pPr>
            <w:r>
              <w:t xml:space="preserve">TRIM29</w:t>
            </w:r>
          </w:p>
        </w:tc>
        <w:tc>
          <w:tcPr/>
          <w:p>
            <w:pPr>
              <w:pStyle w:val="Compact"/>
              <w:jc w:val="left"/>
            </w:pPr>
            <w:r>
              <w:t xml:space="preserve">CES2</w:t>
            </w:r>
          </w:p>
        </w:tc>
        <w:tc>
          <w:tcPr/>
          <w:p>
            <w:pPr>
              <w:pStyle w:val="Compact"/>
              <w:jc w:val="left"/>
            </w:pPr>
            <w:r>
              <w:t xml:space="preserve">TFF1</w:t>
            </w:r>
          </w:p>
        </w:tc>
        <w:tc>
          <w:tcPr/>
          <w:p>
            <w:pPr>
              <w:pStyle w:val="Compact"/>
              <w:jc w:val="left"/>
            </w:pPr>
            <w:r>
              <w:t xml:space="preserve">ABLIM3</w:t>
            </w:r>
          </w:p>
        </w:tc>
        <w:tc>
          <w:tcPr/>
          <w:p>
            <w:pPr>
              <w:pStyle w:val="Compact"/>
              <w:jc w:val="left"/>
            </w:pPr>
            <w:r>
              <w:t xml:space="preserve">TAGLN2</w:t>
            </w:r>
          </w:p>
        </w:tc>
      </w:tr>
      <w:tr>
        <w:tc>
          <w:tcPr/>
          <w:p>
            <w:pPr>
              <w:pStyle w:val="Compact"/>
              <w:jc w:val="left"/>
            </w:pPr>
            <w:r>
              <w:t xml:space="preserve">BCL2L1</w:t>
            </w:r>
          </w:p>
        </w:tc>
        <w:tc>
          <w:tcPr/>
          <w:p>
            <w:pPr>
              <w:pStyle w:val="Compact"/>
              <w:jc w:val="left"/>
            </w:pPr>
            <w:r>
              <w:t xml:space="preserve">PPP1R1B</w:t>
            </w:r>
          </w:p>
        </w:tc>
        <w:tc>
          <w:tcPr/>
          <w:p>
            <w:pPr>
              <w:pStyle w:val="Compact"/>
              <w:jc w:val="left"/>
            </w:pPr>
            <w:r>
              <w:t xml:space="preserve">SLC6A8</w:t>
            </w:r>
          </w:p>
        </w:tc>
        <w:tc>
          <w:tcPr/>
          <w:p>
            <w:pPr>
              <w:pStyle w:val="Compact"/>
              <w:jc w:val="left"/>
            </w:pPr>
            <w:r>
              <w:t xml:space="preserve">MUC4</w:t>
            </w:r>
          </w:p>
        </w:tc>
        <w:tc>
          <w:tcPr/>
          <w:p>
            <w:pPr>
              <w:pStyle w:val="Compact"/>
              <w:jc w:val="left"/>
            </w:pPr>
            <w:r>
              <w:t xml:space="preserve">PTPRU</w:t>
            </w:r>
          </w:p>
        </w:tc>
        <w:tc>
          <w:tcPr/>
          <w:p>
            <w:pPr>
              <w:pStyle w:val="Compact"/>
              <w:jc w:val="left"/>
            </w:pPr>
            <w:r>
              <w:t xml:space="preserve">HNF1B</w:t>
            </w:r>
          </w:p>
        </w:tc>
      </w:tr>
      <w:tr>
        <w:tc>
          <w:tcPr/>
          <w:p>
            <w:pPr>
              <w:pStyle w:val="Compact"/>
              <w:jc w:val="left"/>
            </w:pPr>
            <w:r>
              <w:t xml:space="preserve">C19orf33</w:t>
            </w:r>
          </w:p>
        </w:tc>
        <w:tc>
          <w:tcPr/>
          <w:p>
            <w:pPr>
              <w:pStyle w:val="Compact"/>
              <w:jc w:val="left"/>
            </w:pPr>
            <w:r>
              <w:t xml:space="preserve">ARPC1A</w:t>
            </w:r>
          </w:p>
        </w:tc>
        <w:tc>
          <w:tcPr/>
          <w:p>
            <w:pPr>
              <w:pStyle w:val="Compact"/>
              <w:jc w:val="left"/>
            </w:pPr>
            <w:r>
              <w:t xml:space="preserve">PPL</w:t>
            </w:r>
          </w:p>
        </w:tc>
        <w:tc>
          <w:tcPr/>
          <w:p>
            <w:pPr>
              <w:pStyle w:val="Compact"/>
              <w:jc w:val="left"/>
            </w:pPr>
            <w:r>
              <w:t xml:space="preserve">MMP28</w:t>
            </w:r>
          </w:p>
        </w:tc>
        <w:tc>
          <w:tcPr/>
          <w:p>
            <w:pPr>
              <w:pStyle w:val="Compact"/>
              <w:jc w:val="left"/>
            </w:pPr>
            <w:r>
              <w:t xml:space="preserve">MUC6</w:t>
            </w:r>
          </w:p>
        </w:tc>
        <w:tc>
          <w:tcPr/>
          <w:p>
            <w:pPr>
              <w:pStyle w:val="Compact"/>
              <w:jc w:val="left"/>
            </w:pPr>
            <w:r>
              <w:t xml:space="preserve">BMP4</w:t>
            </w:r>
          </w:p>
        </w:tc>
      </w:tr>
      <w:tr>
        <w:tc>
          <w:tcPr/>
          <w:p>
            <w:pPr>
              <w:pStyle w:val="Compact"/>
              <w:jc w:val="left"/>
            </w:pPr>
            <w:r>
              <w:t xml:space="preserve">SFN</w:t>
            </w:r>
          </w:p>
        </w:tc>
        <w:tc>
          <w:tcPr/>
          <w:p>
            <w:pPr>
              <w:pStyle w:val="Compact"/>
              <w:jc w:val="left"/>
            </w:pPr>
            <w:r>
              <w:t xml:space="preserve">GPRC5A</w:t>
            </w:r>
          </w:p>
        </w:tc>
        <w:tc>
          <w:tcPr/>
          <w:p>
            <w:pPr>
              <w:pStyle w:val="Compact"/>
              <w:jc w:val="left"/>
            </w:pPr>
            <w:r>
              <w:t xml:space="preserve">NDRG1</w:t>
            </w:r>
          </w:p>
        </w:tc>
        <w:tc>
          <w:tcPr/>
          <w:p>
            <w:pPr>
              <w:pStyle w:val="Compact"/>
              <w:jc w:val="left"/>
            </w:pPr>
            <w:r>
              <w:t xml:space="preserve">CLDN1</w:t>
            </w:r>
          </w:p>
        </w:tc>
        <w:tc>
          <w:tcPr/>
          <w:p>
            <w:pPr>
              <w:pStyle w:val="Compact"/>
              <w:jc w:val="left"/>
            </w:pPr>
            <w:r>
              <w:t xml:space="preserve">FDFT1</w:t>
            </w:r>
          </w:p>
        </w:tc>
        <w:tc>
          <w:tcPr/>
          <w:p>
            <w:pPr>
              <w:pStyle w:val="Compact"/>
              <w:jc w:val="left"/>
            </w:pPr>
            <w:r>
              <w:t xml:space="preserve">MT1E</w:t>
            </w:r>
          </w:p>
        </w:tc>
      </w:tr>
      <w:tr>
        <w:tc>
          <w:tcPr/>
          <w:p>
            <w:pPr>
              <w:pStyle w:val="Compact"/>
              <w:jc w:val="left"/>
            </w:pPr>
            <w:r>
              <w:t xml:space="preserve">ITGB4</w:t>
            </w:r>
          </w:p>
        </w:tc>
        <w:tc>
          <w:tcPr/>
          <w:p>
            <w:pPr>
              <w:pStyle w:val="Compact"/>
              <w:jc w:val="left"/>
            </w:pPr>
            <w:r>
              <w:t xml:space="preserve">RAB25</w:t>
            </w:r>
          </w:p>
        </w:tc>
        <w:tc>
          <w:tcPr/>
          <w:p>
            <w:pPr>
              <w:pStyle w:val="Compact"/>
              <w:jc w:val="left"/>
            </w:pPr>
            <w:r>
              <w:t xml:space="preserve">AZGP1</w:t>
            </w:r>
          </w:p>
        </w:tc>
        <w:tc>
          <w:tcPr/>
          <w:p>
            <w:pPr>
              <w:pStyle w:val="Compact"/>
              <w:jc w:val="left"/>
            </w:pPr>
            <w:r>
              <w:t xml:space="preserve">TM4SF1</w:t>
            </w:r>
          </w:p>
        </w:tc>
        <w:tc>
          <w:tcPr/>
          <w:p>
            <w:pPr>
              <w:pStyle w:val="Compact"/>
              <w:jc w:val="left"/>
            </w:pPr>
            <w:r>
              <w:t xml:space="preserve">GAPDH</w:t>
            </w:r>
          </w:p>
        </w:tc>
        <w:tc>
          <w:tcPr/>
          <w:p>
            <w:pPr>
              <w:pStyle w:val="Compact"/>
              <w:jc w:val="left"/>
            </w:pPr>
            <w:r>
              <w:t xml:space="preserve">ANGPTL4</w:t>
            </w:r>
          </w:p>
        </w:tc>
      </w:tr>
      <w:tr>
        <w:tc>
          <w:tcPr/>
          <w:p>
            <w:pPr>
              <w:pStyle w:val="Compact"/>
              <w:jc w:val="left"/>
            </w:pPr>
            <w:r>
              <w:t xml:space="preserve">TSPAN1</w:t>
            </w:r>
          </w:p>
        </w:tc>
        <w:tc>
          <w:tcPr/>
          <w:p>
            <w:pPr>
              <w:pStyle w:val="Compact"/>
              <w:jc w:val="left"/>
            </w:pPr>
            <w:r>
              <w:t xml:space="preserve">ZFP36L2</w:t>
            </w:r>
          </w:p>
        </w:tc>
        <w:tc>
          <w:tcPr/>
          <w:p>
            <w:pPr>
              <w:pStyle w:val="Compact"/>
              <w:jc w:val="left"/>
            </w:pPr>
            <w:r>
              <w:t xml:space="preserve">S100A11</w:t>
            </w:r>
          </w:p>
        </w:tc>
        <w:tc>
          <w:tcPr/>
          <w:p>
            <w:pPr>
              <w:pStyle w:val="Compact"/>
              <w:jc w:val="left"/>
            </w:pPr>
            <w:r>
              <w:t xml:space="preserve">TFF3</w:t>
            </w:r>
          </w:p>
        </w:tc>
        <w:tc>
          <w:tcPr/>
          <w:p>
            <w:pPr>
              <w:pStyle w:val="Compact"/>
              <w:jc w:val="left"/>
            </w:pPr>
            <w:r>
              <w:t xml:space="preserve">EPS8L3</w:t>
            </w:r>
          </w:p>
        </w:tc>
        <w:tc>
          <w:tcPr/>
          <w:p>
            <w:pPr>
              <w:pStyle w:val="Compact"/>
              <w:jc w:val="left"/>
            </w:pPr>
            <w:r>
              <w:t xml:space="preserve">CFB</w:t>
            </w:r>
          </w:p>
        </w:tc>
      </w:tr>
      <w:tr>
        <w:tc>
          <w:tcPr/>
          <w:p>
            <w:pPr>
              <w:pStyle w:val="Compact"/>
              <w:jc w:val="left"/>
            </w:pPr>
            <w:r>
              <w:t xml:space="preserve">SLC16A3</w:t>
            </w:r>
          </w:p>
        </w:tc>
        <w:tc>
          <w:tcPr/>
          <w:p>
            <w:pPr>
              <w:pStyle w:val="Compact"/>
              <w:jc w:val="left"/>
            </w:pPr>
            <w:r>
              <w:t xml:space="preserve">CLDN7</w:t>
            </w:r>
          </w:p>
        </w:tc>
        <w:tc>
          <w:tcPr/>
          <w:p>
            <w:pPr>
              <w:pStyle w:val="Compact"/>
              <w:jc w:val="left"/>
            </w:pPr>
            <w:r>
              <w:t xml:space="preserve">SEMA3B</w:t>
            </w:r>
          </w:p>
        </w:tc>
        <w:tc>
          <w:tcPr/>
          <w:p>
            <w:pPr>
              <w:pStyle w:val="Compact"/>
              <w:jc w:val="left"/>
            </w:pPr>
            <w:r>
              <w:t xml:space="preserve">UNC13D</w:t>
            </w:r>
          </w:p>
        </w:tc>
        <w:tc>
          <w:tcPr/>
          <w:p>
            <w:pPr>
              <w:pStyle w:val="Compact"/>
              <w:jc w:val="left"/>
            </w:pPr>
            <w:r>
              <w:t xml:space="preserve">CLDN10</w:t>
            </w:r>
          </w:p>
        </w:tc>
        <w:tc>
          <w:tcPr/>
          <w:p>
            <w:pPr>
              <w:pStyle w:val="Compact"/>
              <w:jc w:val="left"/>
            </w:pPr>
            <w:r>
              <w:t xml:space="preserve">GDF15</w:t>
            </w:r>
          </w:p>
        </w:tc>
      </w:tr>
      <w:tr>
        <w:tc>
          <w:tcPr/>
          <w:p>
            <w:pPr>
              <w:pStyle w:val="Compact"/>
              <w:jc w:val="left"/>
            </w:pPr>
            <w:r>
              <w:t xml:space="preserve">C4A</w:t>
            </w:r>
          </w:p>
        </w:tc>
        <w:tc>
          <w:tcPr/>
          <w:p>
            <w:pPr>
              <w:pStyle w:val="Compact"/>
              <w:jc w:val="left"/>
            </w:pPr>
            <w:r>
              <w:t xml:space="preserve">DDIT4</w:t>
            </w:r>
          </w:p>
        </w:tc>
        <w:tc>
          <w:tcPr/>
          <w:p>
            <w:pPr>
              <w:pStyle w:val="Compact"/>
              <w:jc w:val="left"/>
            </w:pPr>
            <w:r>
              <w:t xml:space="preserve">TNFRSF12A</w:t>
            </w:r>
          </w:p>
        </w:tc>
        <w:tc>
          <w:tcPr/>
          <w:p>
            <w:pPr>
              <w:pStyle w:val="Compact"/>
              <w:jc w:val="left"/>
            </w:pPr>
            <w:r>
              <w:t xml:space="preserve">SERINC2</w:t>
            </w:r>
          </w:p>
        </w:tc>
        <w:tc>
          <w:tcPr/>
          <w:p>
            <w:pPr>
              <w:pStyle w:val="Compact"/>
              <w:jc w:val="left"/>
            </w:pPr>
            <w:r>
              <w:t xml:space="preserve">ITPKC</w:t>
            </w:r>
          </w:p>
        </w:tc>
        <w:tc>
          <w:tcPr/>
          <w:p>
            <w:pPr>
              <w:pStyle w:val="Compact"/>
              <w:jc w:val="left"/>
            </w:pPr>
            <w:r>
              <w:t xml:space="preserve">PADI1</w:t>
            </w:r>
          </w:p>
        </w:tc>
      </w:tr>
      <w:tr>
        <w:tc>
          <w:tcPr/>
          <w:p>
            <w:pPr>
              <w:pStyle w:val="Compact"/>
              <w:jc w:val="left"/>
            </w:pPr>
            <w:r>
              <w:t xml:space="preserve">KLF5</w:t>
            </w:r>
          </w:p>
        </w:tc>
        <w:tc>
          <w:tcPr/>
          <w:p>
            <w:pPr>
              <w:pStyle w:val="Compact"/>
              <w:jc w:val="left"/>
            </w:pPr>
            <w:r>
              <w:t xml:space="preserve">FKBP4</w:t>
            </w:r>
          </w:p>
        </w:tc>
        <w:tc>
          <w:tcPr/>
          <w:p>
            <w:pPr>
              <w:pStyle w:val="Compact"/>
              <w:jc w:val="left"/>
            </w:pPr>
            <w:r>
              <w:t xml:space="preserve">SOX9</w:t>
            </w:r>
          </w:p>
        </w:tc>
        <w:tc>
          <w:tcPr/>
          <w:p>
            <w:pPr>
              <w:pStyle w:val="Compact"/>
              <w:jc w:val="left"/>
            </w:pPr>
            <w:r>
              <w:t xml:space="preserve">SPNS2</w:t>
            </w:r>
          </w:p>
        </w:tc>
        <w:tc>
          <w:tcPr/>
          <w:p>
            <w:pPr>
              <w:pStyle w:val="Compact"/>
              <w:jc w:val="left"/>
            </w:pPr>
            <w:r>
              <w:t xml:space="preserve">LOXL2</w:t>
            </w:r>
          </w:p>
        </w:tc>
        <w:tc>
          <w:tcPr/>
          <w:p>
            <w:pPr>
              <w:pStyle w:val="Compact"/>
              <w:jc w:val="left"/>
            </w:pPr>
            <w:r>
              <w:t xml:space="preserve">TMSB10</w:t>
            </w:r>
          </w:p>
        </w:tc>
      </w:tr>
      <w:tr>
        <w:tc>
          <w:tcPr/>
          <w:p>
            <w:pPr>
              <w:pStyle w:val="Compact"/>
              <w:jc w:val="left"/>
            </w:pPr>
            <w:r>
              <w:t xml:space="preserve">IER2</w:t>
            </w:r>
          </w:p>
        </w:tc>
        <w:tc>
          <w:tcPr/>
          <w:p>
            <w:pPr>
              <w:pStyle w:val="Compact"/>
              <w:jc w:val="left"/>
            </w:pPr>
            <w:r>
              <w:t xml:space="preserve">LAPTM4B</w:t>
            </w:r>
          </w:p>
        </w:tc>
        <w:tc>
          <w:tcPr/>
          <w:p>
            <w:pPr>
              <w:pStyle w:val="Compact"/>
              <w:jc w:val="left"/>
            </w:pPr>
            <w:r>
              <w:t xml:space="preserve">PMEPA1</w:t>
            </w:r>
          </w:p>
        </w:tc>
        <w:tc>
          <w:tcPr/>
          <w:p>
            <w:pPr>
              <w:pStyle w:val="Compact"/>
              <w:jc w:val="left"/>
            </w:pPr>
            <w:r>
              <w:t xml:space="preserve">AQP5</w:t>
            </w:r>
          </w:p>
        </w:tc>
        <w:tc>
          <w:tcPr/>
          <w:p>
            <w:pPr>
              <w:pStyle w:val="Compact"/>
              <w:jc w:val="left"/>
            </w:pPr>
            <w:r>
              <w:t xml:space="preserve">AMIGO2</w:t>
            </w:r>
          </w:p>
        </w:tc>
        <w:tc>
          <w:tcPr/>
          <w:p>
            <w:pPr>
              <w:pStyle w:val="Compact"/>
              <w:jc w:val="left"/>
            </w:pPr>
            <w:r>
              <w:t xml:space="preserve">B2M</w:t>
            </w:r>
          </w:p>
        </w:tc>
      </w:tr>
      <w:tr>
        <w:tc>
          <w:tcPr/>
          <w:p>
            <w:pPr>
              <w:pStyle w:val="Compact"/>
              <w:jc w:val="left"/>
            </w:pPr>
            <w:r>
              <w:t xml:space="preserve">ZFP36L1</w:t>
            </w:r>
          </w:p>
        </w:tc>
        <w:tc>
          <w:tcPr/>
          <w:p>
            <w:pPr>
              <w:pStyle w:val="Compact"/>
              <w:jc w:val="left"/>
            </w:pPr>
            <w:r>
              <w:t xml:space="preserve">MUC13</w:t>
            </w:r>
          </w:p>
        </w:tc>
        <w:tc>
          <w:tcPr/>
          <w:p>
            <w:pPr>
              <w:pStyle w:val="Compact"/>
              <w:jc w:val="left"/>
            </w:pPr>
            <w:r>
              <w:t xml:space="preserve">CYR61</w:t>
            </w:r>
          </w:p>
        </w:tc>
        <w:tc>
          <w:tcPr/>
          <w:p>
            <w:pPr>
              <w:pStyle w:val="Compact"/>
              <w:jc w:val="left"/>
            </w:pPr>
            <w:r>
              <w:t xml:space="preserve">IGFBP4</w:t>
            </w:r>
          </w:p>
        </w:tc>
        <w:tc>
          <w:tcPr/>
          <w:p>
            <w:pPr>
              <w:pStyle w:val="Compact"/>
              <w:jc w:val="left"/>
            </w:pPr>
            <w:r>
              <w:t xml:space="preserve">DUOX2</w:t>
            </w:r>
          </w:p>
        </w:tc>
        <w:tc>
          <w:tcPr/>
          <w:p>
            <w:pPr>
              <w:pStyle w:val="Compact"/>
              <w:jc w:val="left"/>
            </w:pPr>
            <w:r>
              <w:t xml:space="preserve">CAV2</w:t>
            </w:r>
          </w:p>
        </w:tc>
      </w:tr>
      <w:tr>
        <w:tc>
          <w:tcPr/>
          <w:p>
            <w:pPr>
              <w:pStyle w:val="Compact"/>
              <w:jc w:val="left"/>
            </w:pPr>
            <w:r>
              <w:t xml:space="preserve">MAL2</w:t>
            </w:r>
          </w:p>
        </w:tc>
        <w:tc>
          <w:tcPr/>
          <w:p>
            <w:pPr>
              <w:pStyle w:val="Compact"/>
              <w:jc w:val="left"/>
            </w:pPr>
            <w:r>
              <w:t xml:space="preserve">PSCA</w:t>
            </w:r>
          </w:p>
        </w:tc>
        <w:tc>
          <w:tcPr/>
          <w:p>
            <w:pPr>
              <w:pStyle w:val="Compact"/>
              <w:jc w:val="left"/>
            </w:pPr>
            <w:r>
              <w:t xml:space="preserve">EPCAM</w:t>
            </w:r>
          </w:p>
        </w:tc>
        <w:tc>
          <w:tcPr/>
          <w:p>
            <w:pPr>
              <w:pStyle w:val="Compact"/>
              <w:jc w:val="left"/>
            </w:pPr>
            <w:r>
              <w:t xml:space="preserve">SLC7A5</w:t>
            </w:r>
          </w:p>
        </w:tc>
        <w:tc>
          <w:tcPr/>
          <w:p>
            <w:pPr>
              <w:pStyle w:val="Compact"/>
              <w:jc w:val="left"/>
            </w:pPr>
            <w:r>
              <w:t xml:space="preserve">CLDN4</w:t>
            </w:r>
          </w:p>
        </w:tc>
        <w:tc>
          <w:tcPr/>
          <w:p>
            <w:pPr>
              <w:pStyle w:val="Compact"/>
              <w:jc w:val="left"/>
            </w:pPr>
            <w:r>
              <w:t xml:space="preserve">CTSH</w:t>
            </w:r>
          </w:p>
        </w:tc>
      </w:tr>
      <w:tr>
        <w:tc>
          <w:tcPr/>
          <w:p>
            <w:pPr>
              <w:pStyle w:val="Compact"/>
              <w:jc w:val="left"/>
            </w:pPr>
            <w:r>
              <w:t xml:space="preserve">SCNN1A</w:t>
            </w:r>
          </w:p>
        </w:tc>
        <w:tc>
          <w:tcPr/>
          <w:p>
            <w:pPr>
              <w:pStyle w:val="Compact"/>
              <w:jc w:val="left"/>
            </w:pPr>
            <w:r>
              <w:t xml:space="preserve">SDCBP2</w:t>
            </w:r>
          </w:p>
        </w:tc>
        <w:tc>
          <w:tcPr/>
          <w:p>
            <w:pPr>
              <w:pStyle w:val="Compact"/>
              <w:jc w:val="left"/>
            </w:pPr>
            <w:r>
              <w:t xml:space="preserve">BHLHE40</w:t>
            </w:r>
          </w:p>
        </w:tc>
        <w:tc>
          <w:tcPr/>
          <w:p>
            <w:pPr>
              <w:pStyle w:val="Compact"/>
              <w:jc w:val="left"/>
            </w:pPr>
            <w:r>
              <w:t xml:space="preserve">TESC</w:t>
            </w:r>
          </w:p>
        </w:tc>
        <w:tc>
          <w:tcPr/>
          <w:p>
            <w:pPr>
              <w:pStyle w:val="Compact"/>
              <w:jc w:val="left"/>
            </w:pPr>
            <w:r>
              <w:t xml:space="preserve">CAPG</w:t>
            </w:r>
          </w:p>
        </w:tc>
        <w:tc>
          <w:tcPr/>
          <w:p>
            <w:pPr>
              <w:pStyle w:val="Compact"/>
              <w:jc w:val="left"/>
            </w:pPr>
            <w:r>
              <w:t xml:space="preserve">PABPC1</w:t>
            </w:r>
          </w:p>
        </w:tc>
      </w:tr>
      <w:tr>
        <w:tc>
          <w:tcPr/>
          <w:p>
            <w:pPr>
              <w:pStyle w:val="Compact"/>
              <w:jc w:val="left"/>
            </w:pPr>
            <w:r>
              <w:t xml:space="preserve">MALL</w:t>
            </w:r>
          </w:p>
        </w:tc>
        <w:tc>
          <w:tcPr/>
          <w:p>
            <w:pPr>
              <w:pStyle w:val="Compact"/>
              <w:jc w:val="left"/>
            </w:pPr>
            <w:r>
              <w:t xml:space="preserve">PROM2</w:t>
            </w:r>
          </w:p>
        </w:tc>
        <w:tc>
          <w:tcPr/>
          <w:p>
            <w:pPr>
              <w:pStyle w:val="Compact"/>
              <w:jc w:val="left"/>
            </w:pPr>
            <w:r>
              <w:t xml:space="preserve">CX3CL1</w:t>
            </w:r>
          </w:p>
        </w:tc>
        <w:tc>
          <w:tcPr/>
          <w:p>
            <w:pPr>
              <w:pStyle w:val="Compact"/>
              <w:jc w:val="left"/>
            </w:pPr>
            <w:r>
              <w:t xml:space="preserve">IFITM1</w:t>
            </w:r>
          </w:p>
        </w:tc>
        <w:tc>
          <w:tcPr/>
          <w:p>
            <w:pPr>
              <w:pStyle w:val="Compact"/>
              <w:jc w:val="left"/>
            </w:pPr>
            <w:r>
              <w:t xml:space="preserve">CEACAM5</w:t>
            </w:r>
          </w:p>
        </w:tc>
        <w:tc>
          <w:tcPr/>
          <w:p>
            <w:pPr>
              <w:pStyle w:val="Compact"/>
              <w:jc w:val="left"/>
            </w:pPr>
            <w:r>
              <w:t xml:space="preserve">KRT8</w:t>
            </w:r>
          </w:p>
        </w:tc>
      </w:tr>
      <w:tr>
        <w:tc>
          <w:tcPr/>
          <w:p>
            <w:pPr>
              <w:pStyle w:val="Compact"/>
              <w:jc w:val="left"/>
            </w:pPr>
            <w:r>
              <w:t xml:space="preserve">BGN</w:t>
            </w:r>
          </w:p>
        </w:tc>
        <w:tc>
          <w:tcPr/>
          <w:p>
            <w:pPr>
              <w:pStyle w:val="Compact"/>
              <w:jc w:val="left"/>
            </w:pPr>
            <w:r>
              <w:t xml:space="preserve">LRRC8A</w:t>
            </w:r>
          </w:p>
        </w:tc>
        <w:tc>
          <w:tcPr/>
          <w:p>
            <w:pPr>
              <w:pStyle w:val="Compact"/>
              <w:jc w:val="left"/>
            </w:pPr>
            <w:r>
              <w:t xml:space="preserve">SMAD3</w:t>
            </w:r>
          </w:p>
        </w:tc>
        <w:tc>
          <w:tcPr/>
          <w:p>
            <w:pPr>
              <w:pStyle w:val="Compact"/>
              <w:jc w:val="left"/>
            </w:pPr>
            <w:r>
              <w:t xml:space="preserve">KCNK5</w:t>
            </w:r>
          </w:p>
        </w:tc>
        <w:tc>
          <w:tcPr/>
          <w:p>
            <w:pPr>
              <w:pStyle w:val="Compact"/>
              <w:jc w:val="left"/>
            </w:pPr>
            <w:r>
              <w:t xml:space="preserve">VWA1</w:t>
            </w:r>
          </w:p>
        </w:tc>
        <w:tc>
          <w:tcPr/>
          <w:p>
            <w:pPr>
              <w:pStyle w:val="Compact"/>
              <w:jc w:val="left"/>
            </w:pPr>
            <w:r>
              <w:t xml:space="preserve">TAP1</w:t>
            </w:r>
          </w:p>
        </w:tc>
      </w:tr>
    </w:tbl>
    <w:p>
      <w:pPr>
        <w:pStyle w:val="BodyText"/>
      </w:pPr>
      <w:r>
        <w:rPr>
          <w:iCs/>
          <w:i/>
        </w:rPr>
        <w:t xml:space="preserve">Top 270 genes for DeSurv factor D3, basal-like tumor, ranked by factor specificity score</w:t>
      </w:r>
      <w:r>
        <w:rPr>
          <w:iCs/>
          <w:i/>
        </w:rPr>
        <w:t xml:space="preserve"> </w:t>
      </w:r>
      <m:oMath>
        <m:sSub>
          <m:e>
            <m:r>
              <m:t>s</m:t>
            </m:r>
          </m:e>
          <m:sub>
            <m:r>
              <m:t>i</m:t>
            </m:r>
            <m:r>
              <m:t>j</m:t>
            </m:r>
          </m:sub>
        </m:sSub>
      </m:oMath>
      <w:r>
        <w:rPr>
          <w:iCs/>
          <w:i/>
        </w:rPr>
        <w:t xml:space="preserve">.</w:t>
      </w:r>
    </w:p>
    <w:bookmarkEnd w:id="80"/>
    <w:bookmarkStart w:id="84" w:name="Xefc23c928fe1fa68013ac6058f366bd43ddb2b7"/>
    <w:p>
      <w:pPr>
        <w:pStyle w:val="Heading1"/>
      </w:pPr>
      <w:r>
        <w:t xml:space="preserve">Translational transportability into independent treated PDAC cohorts</w:t>
      </w:r>
    </w:p>
    <w:p>
      <w:pPr>
        <w:pStyle w:val="FirstParagraph"/>
      </w:pPr>
      <w:r>
        <w:t xml:space="preserve">The programs were learned in treatment-naive, non-metastatic PDAC, the setting in which the gene-program matrix</w:t>
      </w:r>
      <w:r>
        <w:t xml:space="preserve"> </w:t>
      </w:r>
      <m:oMath>
        <m:r>
          <m:t>W</m:t>
        </m:r>
      </m:oMath>
      <w:r>
        <w:t xml:space="preserve"> </w:t>
      </w:r>
      <w:r>
        <w:t xml:space="preserve">and Cox coefficients</w:t>
      </w:r>
      <w:r>
        <w:t xml:space="preserve"> </w:t>
      </w:r>
      <m:oMath>
        <m:r>
          <m:t>β</m:t>
        </m:r>
      </m:oMath>
      <w:r>
        <w:t xml:space="preserve"> </w:t>
      </w:r>
      <w:r>
        <w:t xml:space="preserve">were trained. As a translational test we projected the fixed programs, without retraining, into independently treated PDAC and asked whether they retained clinically relevant associations. We used two resources. The first is the O’Kane/COMPASS cohort of treated metastatic PDAC, laser-capture microdissected and therefore epithelial-enriched, which supports a transportability test of the tumor-associated</w:t>
      </w:r>
      <w:r>
        <w:t xml:space="preserve"> </w:t>
      </w:r>
      <m:oMath>
        <m:sSub>
          <m:e>
            <m:r>
              <m:t>D</m:t>
            </m:r>
          </m:e>
          <m:sub>
            <m:r>
              <m:t>1</m:t>
            </m:r>
          </m:sub>
        </m:sSub>
      </m:oMath>
      <w:r>
        <w:t xml:space="preserve"> </w:t>
      </w:r>
      <w:r>
        <w:t xml:space="preserve">direction under a model stratified by treatment arm (Fig. [fig:treated]a). The second is the borderline-resectable or locally advanced Linehan cohort, in which paired pre- and post-treatment biopsies allow a within-patient test of whether the projected</w:t>
      </w:r>
      <w:r>
        <w:t xml:space="preserve"> </w:t>
      </w:r>
      <m:oMath>
        <m:sSub>
          <m:e>
            <m:r>
              <m:t>D</m:t>
            </m:r>
          </m:e>
          <m:sub>
            <m:r>
              <m:t>2</m:t>
            </m:r>
          </m:sub>
        </m:sSub>
      </m:oMath>
      <w:r>
        <w:t xml:space="preserve"> </w:t>
      </w:r>
      <w:r>
        <w:t xml:space="preserve">score changes with therapy (Fig. [fig:treated]b).</w:t>
      </w:r>
    </w:p>
    <w:p>
      <w:pPr>
        <w:pStyle w:val="BodyText"/>
      </w:pPr>
      <w:r>
        <w:t xml:space="preserve">Projection used the frozen union support without any retraining. Expression was rank transformed within sample over the genes each cohort shares with the trained gene-program namespace; support genes absent from a cohort were omitted from that cohort’s projection rather than imputed (805 of the support genes were measured in the COMPASS data), and the resulting program scores were standardized within each treated cohort before analysis. Because the omission rule drops rather than imputes missing support genes, a projected score is comparable within a treated cohort but not on the same absolute scale as the training-cohort score.</w:t>
      </w:r>
    </w:p>
    <w:p>
      <w:pPr>
        <w:pStyle w:val="BodyText"/>
      </w:pPr>
      <w:r>
        <w:t xml:space="preserve">Each analysis is confined to a single cohort; no estimate is pooled across cohorts. Within O’Kane/COMPASS, arm-specific estimates are reported alongside a common</w:t>
      </w:r>
      <w:r>
        <w:t xml:space="preserve"> </w:t>
      </w:r>
      <m:oMath>
        <m:sSub>
          <m:e>
            <m:r>
              <m:t>D</m:t>
            </m:r>
          </m:e>
          <m:sub>
            <m:r>
              <m:t>1</m:t>
            </m:r>
          </m:sub>
        </m:sSub>
      </m:oMath>
      <w:r>
        <w:t xml:space="preserve"> </w:t>
      </w:r>
      <w:r>
        <w:t xml:space="preserve">slope from a Cox model stratified by treatment arm, which allows arm-specific baseline hazards. The elastic-net penalty shrank the trained survival coefficient for</w:t>
      </w:r>
      <w:r>
        <w:t xml:space="preserve"> </w:t>
      </w:r>
      <m:oMath>
        <m:sSub>
          <m:e>
            <m:r>
              <m:t>D</m:t>
            </m:r>
          </m:e>
          <m:sub>
            <m:r>
              <m:t>2</m:t>
            </m:r>
          </m:sub>
        </m:sSub>
      </m:oMath>
      <w:r>
        <w:t xml:space="preserve"> </w:t>
      </w:r>
      <w:r>
        <w:t xml:space="preserve">to exactly zero in the treatment-naive model (an estimated selection outcome, not an imposed constraint), so the paired analysis is reported as a change in program level and not as evidence that</w:t>
      </w:r>
      <w:r>
        <w:t xml:space="preserve"> </w:t>
      </w:r>
      <m:oMath>
        <m:sSub>
          <m:e>
            <m:r>
              <m:t>D</m:t>
            </m:r>
          </m:e>
          <m:sub>
            <m:r>
              <m:t>2</m:t>
            </m:r>
          </m:sub>
        </m:sSub>
      </m:oMath>
      <w:r>
        <w:t xml:space="preserve"> </w:t>
      </w:r>
      <w:r>
        <w:t xml:space="preserve">predicts survival.</w:t>
      </w:r>
    </w:p>
    <w:bookmarkStart w:id="81" w:name="Xe4e0c00ff0320398a452e84b8e554a8a25af80c"/>
    <w:p>
      <w:pPr>
        <w:pStyle w:val="Heading2"/>
      </w:pPr>
      <w:r>
        <w:t xml:space="preserve">Prognostic transportability of D1 in treated metastatic disease</w:t>
      </w:r>
    </w:p>
    <w:p>
      <w:pPr>
        <w:pStyle w:val="FirstParagraph"/>
      </w:pPr>
      <w:r>
        <w:t xml:space="preserve">To evaluate transportability in treated metastatic disease while retaining treatment-arm structure, we projected the frozen DeSurv programs into the O’Kane/COMPASS cohort and first estimated</w:t>
      </w:r>
      <w:r>
        <w:t xml:space="preserve"> </w:t>
      </w:r>
      <m:oMath>
        <m:sSub>
          <m:e>
            <m:r>
              <m:t>D</m:t>
            </m:r>
          </m:e>
          <m:sub>
            <m:r>
              <m:t>1</m:t>
            </m:r>
          </m:sub>
        </m:sSub>
      </m:oMath>
      <w:r>
        <w:t xml:space="preserve"> </w:t>
      </w:r>
      <w:r>
        <w:t xml:space="preserve">associations separately within each arm. Higher</w:t>
      </w:r>
      <w:r>
        <w:t xml:space="preserve"> </w:t>
      </w:r>
      <m:oMath>
        <m:sSub>
          <m:e>
            <m:r>
              <m:t>D</m:t>
            </m:r>
          </m:e>
          <m:sub>
            <m:r>
              <m:t>1</m:t>
            </m:r>
          </m:sub>
        </m:sSub>
      </m:oMath>
      <w:r>
        <w:t xml:space="preserve"> </w:t>
      </w:r>
      <w:r>
        <w:t xml:space="preserve">scores had protective point estimates in all three treatment arms: FOLFIRINOX (HR per SD</w:t>
      </w:r>
      <w:r>
        <w:t xml:space="preserve"> </w:t>
      </w:r>
      <m:oMath>
        <m:r>
          <m:t>0.80</m:t>
        </m:r>
      </m:oMath>
      <w:r>
        <w:t xml:space="preserve">, 95% CI</w:t>
      </w:r>
      <w:r>
        <w:t xml:space="preserve"> </w:t>
      </w:r>
      <m:oMath>
        <m:r>
          <m:t>0.61</m:t>
        </m:r>
      </m:oMath>
      <w:r>
        <w:t xml:space="preserve">–</w:t>
      </w:r>
      <m:oMath>
        <m:r>
          <m:t>1.03</m:t>
        </m:r>
      </m:oMath>
      <w:r>
        <w:t xml:space="preserve">), gemcitabine/nab-paclitaxel (HR</w:t>
      </w:r>
      <w:r>
        <w:t xml:space="preserve"> </w:t>
      </w:r>
      <m:oMath>
        <m:r>
          <m:t>0.57</m:t>
        </m:r>
      </m:oMath>
      <w:r>
        <w:t xml:space="preserve">, 95% CI</w:t>
      </w:r>
      <w:r>
        <w:t xml:space="preserve"> </w:t>
      </w:r>
      <m:oMath>
        <m:r>
          <m:t>0.37</m:t>
        </m:r>
      </m:oMath>
      <w:r>
        <w:t xml:space="preserve">–</w:t>
      </w:r>
      <m:oMath>
        <m:r>
          <m:t>0.86</m:t>
        </m:r>
      </m:oMath>
      <w:r>
        <w:t xml:space="preserve">) and the GA/experimental arm (HR</w:t>
      </w:r>
      <w:r>
        <w:t xml:space="preserve"> </w:t>
      </w:r>
      <m:oMath>
        <m:r>
          <m:t>0.83</m:t>
        </m:r>
      </m:oMath>
      <w:r>
        <w:t xml:space="preserve">, 95% CI</w:t>
      </w:r>
      <w:r>
        <w:t xml:space="preserve"> </w:t>
      </w:r>
      <m:oMath>
        <m:r>
          <m:t>0.58</m:t>
        </m:r>
      </m:oMath>
      <w:r>
        <w:t xml:space="preserve">–</w:t>
      </w:r>
      <m:oMath>
        <m:r>
          <m:t>1.20</m:t>
        </m:r>
      </m:oMath>
      <w:r>
        <w:t xml:space="preserve">; Fig. [fig:treated]a). An arm-stratified Cox model allowing treatment-specific baseline hazards yielded a common association of HR</w:t>
      </w:r>
      <w:r>
        <w:t xml:space="preserve"> </w:t>
      </w:r>
      <m:oMath>
        <m:r>
          <m:t>0.75</m:t>
        </m:r>
      </m:oMath>
      <w:r>
        <w:t xml:space="preserve">, 95% CI</w:t>
      </w:r>
      <w:r>
        <w:t xml:space="preserve"> </w:t>
      </w:r>
      <m:oMath>
        <m:r>
          <m:t>0.62</m:t>
        </m:r>
      </m:oMath>
      <w:r>
        <w:t xml:space="preserve">–</w:t>
      </w:r>
      <m:oMath>
        <m:r>
          <m:t>0.90</m:t>
        </m:r>
      </m:oMath>
      <w:r>
        <w:t xml:space="preserve"> </w:t>
      </w:r>
      <w:r>
        <w:t xml:space="preserve">(</w:t>
      </w:r>
      <m:oMath>
        <m:r>
          <m:t>P</m:t>
        </m:r>
        <m:r>
          <m:rPr>
            <m:sty m:val="p"/>
          </m:rPr>
          <m:t>=</m:t>
        </m:r>
        <m:r>
          <m:t>0.003</m:t>
        </m:r>
      </m:oMath>
      <w:r>
        <w:t xml:space="preserve">; 173 patients, 123 deaths), with no evidence of heterogeneity across treatment arms (interaction</w:t>
      </w:r>
      <w:r>
        <w:t xml:space="preserve"> </w:t>
      </w:r>
      <m:oMath>
        <m:r>
          <m:t>P</m:t>
        </m:r>
        <m:r>
          <m:rPr>
            <m:sty m:val="p"/>
          </m:rPr>
          <m:t>=</m:t>
        </m:r>
        <m:r>
          <m:t>0.40</m:t>
        </m:r>
      </m:oMath>
      <w:r>
        <w:t xml:space="preserve">). Because these specimens were epithelial-enriched by laser-capture microdissection, this analysis specifically tests transportability of the tumor-associated</w:t>
      </w:r>
      <w:r>
        <w:t xml:space="preserve"> </w:t>
      </w:r>
      <m:oMath>
        <m:sSub>
          <m:e>
            <m:r>
              <m:t>D</m:t>
            </m:r>
          </m:e>
          <m:sub>
            <m:r>
              <m:t>1</m:t>
            </m:r>
          </m:sub>
        </m:sSub>
      </m:oMath>
      <w:r>
        <w:t xml:space="preserve"> </w:t>
      </w:r>
      <w:r>
        <w:t xml:space="preserve">direction rather than the stromal programs.</w:t>
      </w:r>
    </w:p>
    <w:bookmarkEnd w:id="81"/>
    <w:bookmarkStart w:id="82" w:name="treatment-associated-change-in-d2"/>
    <w:p>
      <w:pPr>
        <w:pStyle w:val="Heading2"/>
      </w:pPr>
      <w:r>
        <w:t xml:space="preserve">Treatment-associated change in D2</w:t>
      </w:r>
    </w:p>
    <w:p>
      <w:pPr>
        <w:pStyle w:val="FirstParagraph"/>
      </w:pPr>
      <w:r>
        <w:t xml:space="preserve">In the 29 Linehan patients with paired pre- and post-treatment biopsies, the projected</w:t>
      </w:r>
      <w:r>
        <w:t xml:space="preserve"> </w:t>
      </w:r>
      <m:oMath>
        <m:sSub>
          <m:e>
            <m:r>
              <m:t>D</m:t>
            </m:r>
          </m:e>
          <m:sub>
            <m:r>
              <m:t>2</m:t>
            </m:r>
          </m:sub>
        </m:sSub>
      </m:oMath>
      <w:r>
        <w:t xml:space="preserve"> </w:t>
      </w:r>
      <w:r>
        <w:t xml:space="preserve">score increased significantly from pre- to post-treatment (paired Wilcoxon</w:t>
      </w:r>
      <w:r>
        <w:t xml:space="preserve"> </w:t>
      </w:r>
      <m:oMath>
        <m:r>
          <m:t>P</m:t>
        </m:r>
        <m:r>
          <m:rPr>
            <m:sty m:val="p"/>
          </m:rPr>
          <m:t>=</m:t>
        </m:r>
        <m:r>
          <m:t>0.013</m:t>
        </m:r>
      </m:oMath>
      <w:r>
        <w:t xml:space="preserve">; mean</w:t>
      </w:r>
      <w:r>
        <w:t xml:space="preserve"> </w:t>
      </w:r>
      <m:oMath>
        <m:r>
          <m:t>Δ</m:t>
        </m:r>
        <m:r>
          <m:rPr>
            <m:sty m:val="p"/>
          </m:rPr>
          <m:t>=</m:t>
        </m:r>
        <m:r>
          <m:rPr>
            <m:sty m:val="p"/>
          </m:rPr>
          <m:t>+</m:t>
        </m:r>
        <m:r>
          <m:t>0.34</m:t>
        </m:r>
      </m:oMath>
      <w:r>
        <w:t xml:space="preserve"> </w:t>
      </w:r>
      <w:r>
        <w:t xml:space="preserve">SD; Fig. [fig:treated]b), indicating a shift toward proCAF-associated bulk expression. This bulk analysis cannot distinguish a change in fibroblast state from altered tissue composition.</w:t>
      </w:r>
    </w:p>
    <w:bookmarkEnd w:id="82"/>
    <w:bookmarkStart w:id="83" w:name="caveats"/>
    <w:p>
      <w:pPr>
        <w:pStyle w:val="Heading2"/>
      </w:pPr>
      <w:r>
        <w:t xml:space="preserve">Caveats</w:t>
      </w:r>
    </w:p>
    <w:p>
      <w:pPr>
        <w:pStyle w:val="FirstParagraph"/>
      </w:pPr>
      <w:r>
        <w:t xml:space="preserve">These analyses are exploratory and do not establish treatment-predictive effects; treatment, stage and cohort are confounded, the treated cohorts are modestly sized, and no analysis plan was preregistered. The O’Kane/COMPASS analysis is prognostic within treated metastatic disease, whereas the Linehan analysis tests a paired change in program score. Each analysis is confined to a single cohort, and the O’Kane/COMPASS common slope is estimated within that cohort from a model with arm-specific baseline hazards; it is not a pooled estimate across cohorts. We did not test a survival association for</w:t>
      </w:r>
      <w:r>
        <w:t xml:space="preserve"> </w:t>
      </w:r>
      <m:oMath>
        <m:sSub>
          <m:e>
            <m:r>
              <m:t>D</m:t>
            </m:r>
          </m:e>
          <m:sub>
            <m:r>
              <m:t>2</m:t>
            </m:r>
          </m:sub>
        </m:sSub>
      </m:oMath>
      <w:r>
        <w:t xml:space="preserve"> </w:t>
      </w:r>
      <w:r>
        <w:t xml:space="preserve">in the paired Linehan cohort; this analysis concerns program-level change. The trained survival coefficient was zero, but that alone does not preclude a separate association in another setting. A stromal</w:t>
      </w:r>
      <w:r>
        <w:t xml:space="preserve"> </w:t>
      </w:r>
      <m:oMath>
        <m:sSub>
          <m:e>
            <m:r>
              <m:t>D</m:t>
            </m:r>
          </m:e>
          <m:sub>
            <m:r>
              <m:t>2</m:t>
            </m:r>
          </m:sub>
        </m:sSub>
      </m:oMath>
      <w:r>
        <w:t xml:space="preserve"> </w:t>
      </w:r>
      <w:r>
        <w:t xml:space="preserve">readout is not interpretable in O’Kane/COMPASS, whose specimens are laser-capture epithelium rather than bulk tissue. Its</w:t>
      </w:r>
      <w:r>
        <w:t xml:space="preserve"> </w:t>
      </w:r>
      <m:oMath>
        <m:sSub>
          <m:e>
            <m:r>
              <m:t>D</m:t>
            </m:r>
          </m:e>
          <m:sub>
            <m:r>
              <m:t>1</m:t>
            </m:r>
          </m:sub>
        </m:sSub>
      </m:oMath>
      <w:r>
        <w:t xml:space="preserve"> </w:t>
      </w:r>
      <w:r>
        <w:t xml:space="preserve">result chiefly supports transport of the tumor-associated component of the score. Robust treated-cohort validation, and any assessment of whether the programs predict differential treatment benefit, will require larger harmonized series with adequately powered treatment-by-program interaction analyses.</w:t>
      </w:r>
    </w:p>
    <w:bookmarkEnd w:id="83"/>
    <w:bookmarkEnd w:id="84"/>
    <w:bookmarkStart w:id="139" w:name="bibliography"/>
    <w:p>
      <w:pPr>
        <w:pStyle w:val="Heading1"/>
      </w:pPr>
      <w:r>
        <w:t xml:space="preserve">SI References</w:t>
      </w:r>
    </w:p>
    <w:bookmarkStart w:id="138" w:name="refs"/>
    <w:bookmarkStart w:id="85" w:name="ref-seung2001algorithms"/>
    <w:p>
      <w:pPr>
        <w:pStyle w:val="Bibliography"/>
      </w:pPr>
      <w:r>
        <w:t xml:space="preserve">1.</w:t>
      </w:r>
      <w:r>
        <w:t xml:space="preserve"> </w:t>
      </w:r>
      <w:r>
        <w:t xml:space="preserve">	</w:t>
      </w:r>
      <w:r>
        <w:t xml:space="preserve">Lee, D. D. &amp; Seung, H. S. Algorithms for non-negative matrix factorization. in</w:t>
      </w:r>
      <w:r>
        <w:t xml:space="preserve"> </w:t>
      </w:r>
      <w:r>
        <w:rPr>
          <w:iCs/>
          <w:i/>
        </w:rPr>
        <w:t xml:space="preserve">Advances in neural information processing systems 13 (NIPS 2000)</w:t>
      </w:r>
      <w:r>
        <w:t xml:space="preserve"> </w:t>
      </w:r>
      <w:r>
        <w:t xml:space="preserve">(eds. Leen, T. K., Dietterich, T. G. &amp; Tresp, V.) 556–562 (MIT Press, 2001).</w:t>
      </w:r>
    </w:p>
    <w:bookmarkEnd w:id="85"/>
    <w:bookmarkStart w:id="87" w:name="ref-pascualmontano2006nonsmooth"/>
    <w:p>
      <w:pPr>
        <w:pStyle w:val="Bibliography"/>
      </w:pPr>
      <w:r>
        <w:t xml:space="preserve">2.</w:t>
      </w:r>
      <w:r>
        <w:t xml:space="preserve"> </w:t>
      </w:r>
      <w:r>
        <w:t xml:space="preserve">	</w:t>
      </w:r>
      <w:r>
        <w:t xml:space="preserve">Pascual-Montano, A., Carazo, J. M., Kochi, K., Lehmann, D. &amp; Pascual-Marqui, R. D.</w:t>
      </w:r>
      <w:r>
        <w:t xml:space="preserve"> </w:t>
      </w:r>
      <w:hyperlink r:id="rId86">
        <w:r>
          <w:rPr>
            <w:rStyle w:val="Hyperlink"/>
          </w:rPr>
          <w:t xml:space="preserve">Nonsmooth nonnegative matrix factorization (nsNMF)</w:t>
        </w:r>
      </w:hyperlink>
      <w:r>
        <w:t xml:space="preserve">.</w:t>
      </w:r>
      <w:r>
        <w:t xml:space="preserve"> </w:t>
      </w:r>
      <w:r>
        <w:rPr>
          <w:iCs/>
          <w:i/>
        </w:rPr>
        <w:t xml:space="preserve">IEEE Transactions on Pattern Analysis and Machine Intelligence</w:t>
      </w:r>
      <w:r>
        <w:t xml:space="preserve"> </w:t>
      </w:r>
      <w:r>
        <w:rPr>
          <w:bCs/>
          <w:b/>
        </w:rPr>
        <w:t xml:space="preserve">28</w:t>
      </w:r>
      <w:r>
        <w:t xml:space="preserve">, 403–415 (2006).</w:t>
      </w:r>
    </w:p>
    <w:bookmarkEnd w:id="87"/>
    <w:bookmarkStart w:id="89" w:name="ref-simon2011regularization"/>
    <w:p>
      <w:pPr>
        <w:pStyle w:val="Bibliography"/>
      </w:pPr>
      <w:r>
        <w:t xml:space="preserve">3.</w:t>
      </w:r>
      <w:r>
        <w:t xml:space="preserve"> </w:t>
      </w:r>
      <w:r>
        <w:t xml:space="preserve">	</w:t>
      </w:r>
      <w:r>
        <w:t xml:space="preserve">Simon, N., Friedman, J. H., Hastie, T. &amp; Tibshirani, R.</w:t>
      </w:r>
      <w:r>
        <w:t xml:space="preserve"> </w:t>
      </w:r>
      <w:hyperlink r:id="rId88">
        <w:r>
          <w:rPr>
            <w:rStyle w:val="Hyperlink"/>
          </w:rPr>
          <w:t xml:space="preserve">Regularization paths for</w:t>
        </w:r>
        <w:r>
          <w:rPr>
            <w:rStyle w:val="Hyperlink"/>
          </w:rPr>
          <w:t xml:space="preserve"> </w:t>
        </w:r>
        <w:r>
          <w:rPr>
            <w:rStyle w:val="Hyperlink"/>
          </w:rPr>
          <w:t xml:space="preserve">Cox’s</w:t>
        </w:r>
        <w:r>
          <w:rPr>
            <w:rStyle w:val="Hyperlink"/>
          </w:rPr>
          <w:t xml:space="preserve"> </w:t>
        </w:r>
        <w:r>
          <w:rPr>
            <w:rStyle w:val="Hyperlink"/>
          </w:rPr>
          <w:t xml:space="preserve">proportional hazards model via coordinate descent</w:t>
        </w:r>
      </w:hyperlink>
      <w:r>
        <w:t xml:space="preserve">.</w:t>
      </w:r>
      <w:r>
        <w:t xml:space="preserve"> </w:t>
      </w:r>
      <w:r>
        <w:rPr>
          <w:iCs/>
          <w:i/>
        </w:rPr>
        <w:t xml:space="preserve">Journal of Statistical Software</w:t>
      </w:r>
      <w:r>
        <w:t xml:space="preserve"> </w:t>
      </w:r>
      <w:r>
        <w:rPr>
          <w:bCs/>
          <w:b/>
        </w:rPr>
        <w:t xml:space="preserve">39</w:t>
      </w:r>
      <w:r>
        <w:t xml:space="preserve">, 1–13 (2011).</w:t>
      </w:r>
    </w:p>
    <w:bookmarkEnd w:id="89"/>
    <w:bookmarkStart w:id="90" w:name="ref-donoho2004nmf"/>
    <w:p>
      <w:pPr>
        <w:pStyle w:val="Bibliography"/>
      </w:pPr>
      <w:r>
        <w:t xml:space="preserve">4.</w:t>
      </w:r>
      <w:r>
        <w:t xml:space="preserve"> </w:t>
      </w:r>
      <w:r>
        <w:t xml:space="preserve">	</w:t>
      </w:r>
      <w:r>
        <w:t xml:space="preserve">Donoho, D. &amp; Stodden, V. When does non-negative matrix factorization give a correct decomposition into parts? in</w:t>
      </w:r>
      <w:r>
        <w:t xml:space="preserve"> </w:t>
      </w:r>
      <w:r>
        <w:rPr>
          <w:iCs/>
          <w:i/>
        </w:rPr>
        <w:t xml:space="preserve">Advances in neural information processing systems 16 (NIPS 2003)</w:t>
      </w:r>
      <w:r>
        <w:t xml:space="preserve"> </w:t>
      </w:r>
      <w:r>
        <w:t xml:space="preserve">(eds. Thrun, S., Saul, L. K. &amp; Schölkopf, B.) 1141–1148 (MIT Press, 2004).</w:t>
      </w:r>
    </w:p>
    <w:bookmarkEnd w:id="90"/>
    <w:bookmarkStart w:id="92" w:name="ref-laurberg2008uniqueness"/>
    <w:p>
      <w:pPr>
        <w:pStyle w:val="Bibliography"/>
      </w:pPr>
      <w:r>
        <w:t xml:space="preserve">5.</w:t>
      </w:r>
      <w:r>
        <w:t xml:space="preserve"> </w:t>
      </w:r>
      <w:r>
        <w:t xml:space="preserve">	</w:t>
      </w:r>
      <w:r>
        <w:t xml:space="preserve">Laurberg, H., Christensen, M. G., Plumbley, M. D., Hansen, L. K. &amp; Jensen, S. H.</w:t>
      </w:r>
      <w:r>
        <w:t xml:space="preserve"> </w:t>
      </w:r>
      <w:hyperlink r:id="rId91">
        <w:r>
          <w:rPr>
            <w:rStyle w:val="Hyperlink"/>
          </w:rPr>
          <w:t xml:space="preserve">Theorems on positive data: On the uniqueness of NMF</w:t>
        </w:r>
      </w:hyperlink>
      <w:r>
        <w:t xml:space="preserve">.</w:t>
      </w:r>
      <w:r>
        <w:t xml:space="preserve"> </w:t>
      </w:r>
      <w:r>
        <w:rPr>
          <w:iCs/>
          <w:i/>
        </w:rPr>
        <w:t xml:space="preserve">Computational Intelligence and Neuroscience</w:t>
      </w:r>
      <w:r>
        <w:t xml:space="preserve"> </w:t>
      </w:r>
      <w:r>
        <w:rPr>
          <w:bCs/>
          <w:b/>
        </w:rPr>
        <w:t xml:space="preserve">2008</w:t>
      </w:r>
      <w:r>
        <w:t xml:space="preserve">, 764206 (2008).</w:t>
      </w:r>
    </w:p>
    <w:bookmarkEnd w:id="92"/>
    <w:bookmarkStart w:id="93" w:name="ref-gillis2014nmf"/>
    <w:p>
      <w:pPr>
        <w:pStyle w:val="Bibliography"/>
      </w:pPr>
      <w:r>
        <w:t xml:space="preserve">6.</w:t>
      </w:r>
      <w:r>
        <w:t xml:space="preserve"> </w:t>
      </w:r>
      <w:r>
        <w:t xml:space="preserve">	</w:t>
      </w:r>
      <w:r>
        <w:t xml:space="preserve">Gillis, N. The why and how of nonnegative matrix factorization. in</w:t>
      </w:r>
      <w:r>
        <w:t xml:space="preserve"> </w:t>
      </w:r>
      <w:r>
        <w:rPr>
          <w:iCs/>
          <w:i/>
        </w:rPr>
        <w:t xml:space="preserve">Regularization, optimization, kernels, and support vector machines</w:t>
      </w:r>
      <w:r>
        <w:t xml:space="preserve"> </w:t>
      </w:r>
      <w:r>
        <w:t xml:space="preserve">(eds. Suykens, J. A. K., Signoretto, M. &amp; Argyriou, A.) 257–291 (Chapman; Hall/CRC, 2014).</w:t>
      </w:r>
    </w:p>
    <w:bookmarkEnd w:id="93"/>
    <w:bookmarkStart w:id="95" w:name="ref-brunet2004metagenes"/>
    <w:p>
      <w:pPr>
        <w:pStyle w:val="Bibliography"/>
      </w:pPr>
      <w:r>
        <w:t xml:space="preserve">7.</w:t>
      </w:r>
      <w:r>
        <w:t xml:space="preserve"> </w:t>
      </w:r>
      <w:r>
        <w:t xml:space="preserve">	</w:t>
      </w:r>
      <w:r>
        <w:t xml:space="preserve">Brunet, J.-P., Tamayo, P., Golub, T. R. &amp; Mesirov, J. P.</w:t>
      </w:r>
      <w:r>
        <w:t xml:space="preserve"> </w:t>
      </w:r>
      <w:hyperlink r:id="rId94">
        <w:r>
          <w:rPr>
            <w:rStyle w:val="Hyperlink"/>
          </w:rPr>
          <w:t xml:space="preserve">Metagenes and molecular pattern discovery using matrix factorization</w:t>
        </w:r>
      </w:hyperlink>
      <w:r>
        <w:t xml:space="preserve">.</w:t>
      </w:r>
      <w:r>
        <w:t xml:space="preserve"> </w:t>
      </w:r>
      <w:r>
        <w:rPr>
          <w:iCs/>
          <w:i/>
        </w:rPr>
        <w:t xml:space="preserve">Proceedings of the National Academy of Sciences USA</w:t>
      </w:r>
      <w:r>
        <w:t xml:space="preserve"> </w:t>
      </w:r>
      <w:r>
        <w:rPr>
          <w:bCs/>
          <w:b/>
        </w:rPr>
        <w:t xml:space="preserve">101</w:t>
      </w:r>
      <w:r>
        <w:t xml:space="preserve">, 4164–4169 (2004).</w:t>
      </w:r>
    </w:p>
    <w:bookmarkEnd w:id="95"/>
    <w:bookmarkStart w:id="97" w:name="ref-kim2007sparse"/>
    <w:p>
      <w:pPr>
        <w:pStyle w:val="Bibliography"/>
      </w:pPr>
      <w:r>
        <w:t xml:space="preserve">8.</w:t>
      </w:r>
      <w:r>
        <w:t xml:space="preserve"> </w:t>
      </w:r>
      <w:r>
        <w:t xml:space="preserve">	</w:t>
      </w:r>
      <w:r>
        <w:t xml:space="preserve">Kim, J. &amp; Park, H.</w:t>
      </w:r>
      <w:r>
        <w:t xml:space="preserve"> </w:t>
      </w:r>
      <w:r>
        <w:rPr>
          <w:iCs/>
          <w:i/>
        </w:rPr>
        <w:t xml:space="preserve">Sparse Nonnegative Matrix Factorization for Clustering</w:t>
      </w:r>
      <w:r>
        <w:t xml:space="preserve">.</w:t>
      </w:r>
      <w:r>
        <w:t xml:space="preserve"> </w:t>
      </w:r>
      <w:hyperlink r:id="rId96">
        <w:r>
          <w:rPr>
            <w:rStyle w:val="Hyperlink"/>
          </w:rPr>
          <w:t xml:space="preserve">https://faculty.cc.gatech.edu/~hpark/papers/GT-CSE-08-01.pdf</w:t>
        </w:r>
      </w:hyperlink>
      <w:r>
        <w:t xml:space="preserve"> </w:t>
      </w:r>
      <w:r>
        <w:t xml:space="preserve">(2008).</w:t>
      </w:r>
    </w:p>
    <w:bookmarkEnd w:id="97"/>
    <w:bookmarkStart w:id="99" w:name="ref-gillis2012accelerated"/>
    <w:p>
      <w:pPr>
        <w:pStyle w:val="Bibliography"/>
      </w:pPr>
      <w:r>
        <w:t xml:space="preserve">9.</w:t>
      </w:r>
      <w:r>
        <w:t xml:space="preserve"> </w:t>
      </w:r>
      <w:r>
        <w:t xml:space="preserve">	</w:t>
      </w:r>
      <w:r>
        <w:t xml:space="preserve">Gillis, N. &amp; Glineur, F.</w:t>
      </w:r>
      <w:r>
        <w:t xml:space="preserve"> </w:t>
      </w:r>
      <w:hyperlink r:id="rId98">
        <w:r>
          <w:rPr>
            <w:rStyle w:val="Hyperlink"/>
          </w:rPr>
          <w:t xml:space="preserve">Accelerated multiplicative updates and hierarchical ALS algorithms for nonnegative matrix factorization</w:t>
        </w:r>
      </w:hyperlink>
      <w:r>
        <w:t xml:space="preserve">.</w:t>
      </w:r>
      <w:r>
        <w:t xml:space="preserve"> </w:t>
      </w:r>
      <w:r>
        <w:rPr>
          <w:iCs/>
          <w:i/>
        </w:rPr>
        <w:t xml:space="preserve">Neural Computation</w:t>
      </w:r>
      <w:r>
        <w:t xml:space="preserve"> </w:t>
      </w:r>
      <w:r>
        <w:rPr>
          <w:bCs/>
          <w:b/>
        </w:rPr>
        <w:t xml:space="preserve">24</w:t>
      </w:r>
      <w:r>
        <w:t xml:space="preserve">, 1085–1105 (2012).</w:t>
      </w:r>
    </w:p>
    <w:bookmarkEnd w:id="99"/>
    <w:bookmarkStart w:id="100" w:name="ref-huang2020low"/>
    <w:p>
      <w:pPr>
        <w:pStyle w:val="Bibliography"/>
      </w:pPr>
      <w:r>
        <w:t xml:space="preserve">10.</w:t>
      </w:r>
      <w:r>
        <w:t xml:space="preserve"> </w:t>
      </w:r>
      <w:r>
        <w:t xml:space="preserve">	</w:t>
      </w:r>
      <w:r>
        <w:t xml:space="preserve">Huang, Z., Salama, P., Shao, W., Zhang, J. &amp; Huang, K. Low-rank reorganization via proportional hazards non-negative matrix factorization unveils survival associated gene clusters.</w:t>
      </w:r>
      <w:r>
        <w:t xml:space="preserve"> </w:t>
      </w:r>
      <w:r>
        <w:rPr>
          <w:iCs/>
          <w:i/>
        </w:rPr>
        <w:t xml:space="preserve">Preprint at https://arxiv.org/abs/2008.03776</w:t>
      </w:r>
      <w:r>
        <w:t xml:space="preserve"> </w:t>
      </w:r>
      <w:r>
        <w:t xml:space="preserve">(2020).</w:t>
      </w:r>
    </w:p>
    <w:bookmarkEnd w:id="100"/>
    <w:bookmarkStart w:id="101" w:name="ref-le2025survnmf"/>
    <w:p>
      <w:pPr>
        <w:pStyle w:val="Bibliography"/>
      </w:pPr>
      <w:r>
        <w:t xml:space="preserve">11.</w:t>
      </w:r>
      <w:r>
        <w:t xml:space="preserve"> </w:t>
      </w:r>
      <w:r>
        <w:t xml:space="preserve">	</w:t>
      </w:r>
      <w:r>
        <w:t xml:space="preserve">Le Goff, V.</w:t>
      </w:r>
      <w:r>
        <w:t xml:space="preserve"> </w:t>
      </w:r>
      <w:r>
        <w:rPr>
          <w:iCs/>
          <w:i/>
        </w:rPr>
        <w:t xml:space="preserve">et al.</w:t>
      </w:r>
      <w:r>
        <w:t xml:space="preserve"> SurvNMF: Non-negative matrix factorization supervised for survival data analysis.</w:t>
      </w:r>
      <w:r>
        <w:t xml:space="preserve"> </w:t>
      </w:r>
      <w:r>
        <w:rPr>
          <w:iCs/>
          <w:i/>
        </w:rPr>
        <w:t xml:space="preserve">Preprint at https://hal.science/hal-04975434</w:t>
      </w:r>
      <w:r>
        <w:t xml:space="preserve"> </w:t>
      </w:r>
      <w:r>
        <w:t xml:space="preserve">(2025).</w:t>
      </w:r>
    </w:p>
    <w:bookmarkEnd w:id="101"/>
    <w:bookmarkStart w:id="102" w:name="ref-blei2007slda"/>
    <w:p>
      <w:pPr>
        <w:pStyle w:val="Bibliography"/>
      </w:pPr>
      <w:r>
        <w:t xml:space="preserve">12.</w:t>
      </w:r>
      <w:r>
        <w:t xml:space="preserve"> </w:t>
      </w:r>
      <w:r>
        <w:t xml:space="preserve">	</w:t>
      </w:r>
      <w:r>
        <w:t xml:space="preserve">Blei, D. M. &amp; McAuliffe, J. D. Supervised topic models. in</w:t>
      </w:r>
      <w:r>
        <w:t xml:space="preserve"> </w:t>
      </w:r>
      <w:r>
        <w:rPr>
          <w:iCs/>
          <w:i/>
        </w:rPr>
        <w:t xml:space="preserve">Advances in neural information processing systems 20 (NIPS 2007)</w:t>
      </w:r>
      <w:r>
        <w:t xml:space="preserve"> </w:t>
      </w:r>
      <w:r>
        <w:t xml:space="preserve">(eds. Platt, J. C., Koller, D., Singer, Y. &amp; Roweis, S. T.) 121–128 (Curran Associates, Inc., 2007).</w:t>
      </w:r>
    </w:p>
    <w:bookmarkEnd w:id="102"/>
    <w:bookmarkStart w:id="104" w:name="ref-raphael2017integrated"/>
    <w:p>
      <w:pPr>
        <w:pStyle w:val="Bibliography"/>
      </w:pPr>
      <w:r>
        <w:t xml:space="preserve">13.</w:t>
      </w:r>
      <w:r>
        <w:t xml:space="preserve"> </w:t>
      </w:r>
      <w:r>
        <w:t xml:space="preserve">	</w:t>
      </w:r>
      <w:r>
        <w:t xml:space="preserve">Raphael, B. J.</w:t>
      </w:r>
      <w:r>
        <w:t xml:space="preserve"> </w:t>
      </w:r>
      <w:r>
        <w:rPr>
          <w:iCs/>
          <w:i/>
        </w:rPr>
        <w:t xml:space="preserve">et al.</w:t>
      </w:r>
      <w:r>
        <w:t xml:space="preserve"> </w:t>
      </w:r>
      <w:hyperlink r:id="rId103">
        <w:r>
          <w:rPr>
            <w:rStyle w:val="Hyperlink"/>
          </w:rPr>
          <w:t xml:space="preserve">Integrated genomic characterization of pancreatic ductal adenocarcinoma</w:t>
        </w:r>
      </w:hyperlink>
      <w:r>
        <w:t xml:space="preserve">.</w:t>
      </w:r>
      <w:r>
        <w:t xml:space="preserve"> </w:t>
      </w:r>
      <w:r>
        <w:rPr>
          <w:iCs/>
          <w:i/>
        </w:rPr>
        <w:t xml:space="preserve">Cancer Cell</w:t>
      </w:r>
      <w:r>
        <w:t xml:space="preserve"> </w:t>
      </w:r>
      <w:r>
        <w:rPr>
          <w:bCs/>
          <w:b/>
        </w:rPr>
        <w:t xml:space="preserve">32</w:t>
      </w:r>
      <w:r>
        <w:t xml:space="preserve">, 185–203 (2017).</w:t>
      </w:r>
    </w:p>
    <w:bookmarkEnd w:id="104"/>
    <w:bookmarkStart w:id="106" w:name="ref-cao2021proteogenomic"/>
    <w:p>
      <w:pPr>
        <w:pStyle w:val="Bibliography"/>
      </w:pPr>
      <w:r>
        <w:t xml:space="preserve">14.</w:t>
      </w:r>
      <w:r>
        <w:t xml:space="preserve"> </w:t>
      </w:r>
      <w:r>
        <w:t xml:space="preserve">	</w:t>
      </w:r>
      <w:r>
        <w:t xml:space="preserve">Cao, L.</w:t>
      </w:r>
      <w:r>
        <w:t xml:space="preserve"> </w:t>
      </w:r>
      <w:r>
        <w:rPr>
          <w:iCs/>
          <w:i/>
        </w:rPr>
        <w:t xml:space="preserve">et al.</w:t>
      </w:r>
      <w:r>
        <w:t xml:space="preserve"> </w:t>
      </w:r>
      <w:hyperlink r:id="rId105">
        <w:r>
          <w:rPr>
            <w:rStyle w:val="Hyperlink"/>
          </w:rPr>
          <w:t xml:space="preserve">Proteogenomic characterization of pancreatic ductal adenocarcinoma</w:t>
        </w:r>
      </w:hyperlink>
      <w:r>
        <w:t xml:space="preserve">.</w:t>
      </w:r>
      <w:r>
        <w:t xml:space="preserve"> </w:t>
      </w:r>
      <w:r>
        <w:rPr>
          <w:iCs/>
          <w:i/>
        </w:rPr>
        <w:t xml:space="preserve">Cell</w:t>
      </w:r>
      <w:r>
        <w:t xml:space="preserve"> </w:t>
      </w:r>
      <w:r>
        <w:rPr>
          <w:bCs/>
          <w:b/>
        </w:rPr>
        <w:t xml:space="preserve">184</w:t>
      </w:r>
      <w:r>
        <w:t xml:space="preserve">, 5031–5052 (2021).</w:t>
      </w:r>
    </w:p>
    <w:bookmarkEnd w:id="106"/>
    <w:bookmarkStart w:id="108" w:name="ref-dijk2020unsupervised"/>
    <w:p>
      <w:pPr>
        <w:pStyle w:val="Bibliography"/>
      </w:pPr>
      <w:r>
        <w:t xml:space="preserve">15.</w:t>
      </w:r>
      <w:r>
        <w:t xml:space="preserve"> </w:t>
      </w:r>
      <w:r>
        <w:t xml:space="preserve">	</w:t>
      </w:r>
      <w:r>
        <w:t xml:space="preserve">Dijk, F.</w:t>
      </w:r>
      <w:r>
        <w:t xml:space="preserve"> </w:t>
      </w:r>
      <w:r>
        <w:rPr>
          <w:iCs/>
          <w:i/>
        </w:rPr>
        <w:t xml:space="preserve">et al.</w:t>
      </w:r>
      <w:r>
        <w:t xml:space="preserve"> </w:t>
      </w:r>
      <w:hyperlink r:id="rId107">
        <w:r>
          <w:rPr>
            <w:rStyle w:val="Hyperlink"/>
          </w:rPr>
          <w:t xml:space="preserve">Unsupervised class discovery in pancreatic ductal adenocarcinoma reveals cell-intrinsic mesenchymal features and high concordance between existing classification systems</w:t>
        </w:r>
      </w:hyperlink>
      <w:r>
        <w:t xml:space="preserve">.</w:t>
      </w:r>
      <w:r>
        <w:t xml:space="preserve"> </w:t>
      </w:r>
      <w:r>
        <w:rPr>
          <w:iCs/>
          <w:i/>
        </w:rPr>
        <w:t xml:space="preserve">Scientific Reports</w:t>
      </w:r>
      <w:r>
        <w:t xml:space="preserve"> </w:t>
      </w:r>
      <w:r>
        <w:rPr>
          <w:bCs/>
          <w:b/>
        </w:rPr>
        <w:t xml:space="preserve">10</w:t>
      </w:r>
      <w:r>
        <w:t xml:space="preserve">, 337 (2020).</w:t>
      </w:r>
    </w:p>
    <w:bookmarkEnd w:id="108"/>
    <w:bookmarkStart w:id="110" w:name="ref-moffitt2015virtual"/>
    <w:p>
      <w:pPr>
        <w:pStyle w:val="Bibliography"/>
      </w:pPr>
      <w:r>
        <w:t xml:space="preserve">16.</w:t>
      </w:r>
      <w:r>
        <w:t xml:space="preserve"> </w:t>
      </w:r>
      <w:r>
        <w:t xml:space="preserve">	</w:t>
      </w:r>
      <w:r>
        <w:t xml:space="preserve">Moffitt, R. A.</w:t>
      </w:r>
      <w:r>
        <w:t xml:space="preserve"> </w:t>
      </w:r>
      <w:r>
        <w:rPr>
          <w:iCs/>
          <w:i/>
        </w:rPr>
        <w:t xml:space="preserve">et al.</w:t>
      </w:r>
      <w:r>
        <w:t xml:space="preserve"> </w:t>
      </w:r>
      <w:hyperlink r:id="rId109">
        <w:r>
          <w:rPr>
            <w:rStyle w:val="Hyperlink"/>
          </w:rPr>
          <w:t xml:space="preserve">Virtual microdissection identifies distinct tumor- and stroma-specific subtypes of pancreatic ductal adenocarcinoma</w:t>
        </w:r>
      </w:hyperlink>
      <w:r>
        <w:t xml:space="preserve">.</w:t>
      </w:r>
      <w:r>
        <w:t xml:space="preserve"> </w:t>
      </w:r>
      <w:r>
        <w:rPr>
          <w:iCs/>
          <w:i/>
        </w:rPr>
        <w:t xml:space="preserve">Nature Genetics</w:t>
      </w:r>
      <w:r>
        <w:t xml:space="preserve"> </w:t>
      </w:r>
      <w:r>
        <w:rPr>
          <w:bCs/>
          <w:b/>
        </w:rPr>
        <w:t xml:space="preserve">47</w:t>
      </w:r>
      <w:r>
        <w:t xml:space="preserve">, 1168–1178 (2015).</w:t>
      </w:r>
    </w:p>
    <w:bookmarkEnd w:id="110"/>
    <w:bookmarkStart w:id="112" w:name="ref-Bailey2016"/>
    <w:p>
      <w:pPr>
        <w:pStyle w:val="Bibliography"/>
      </w:pPr>
      <w:r>
        <w:t xml:space="preserve">17.</w:t>
      </w:r>
      <w:r>
        <w:t xml:space="preserve"> </w:t>
      </w:r>
      <w:r>
        <w:t xml:space="preserve">	</w:t>
      </w:r>
      <w:r>
        <w:t xml:space="preserve">Bailey, P.</w:t>
      </w:r>
      <w:r>
        <w:t xml:space="preserve"> </w:t>
      </w:r>
      <w:r>
        <w:rPr>
          <w:iCs/>
          <w:i/>
        </w:rPr>
        <w:t xml:space="preserve">et al.</w:t>
      </w:r>
      <w:r>
        <w:t xml:space="preserve"> </w:t>
      </w:r>
      <w:hyperlink r:id="rId111">
        <w:r>
          <w:rPr>
            <w:rStyle w:val="Hyperlink"/>
          </w:rPr>
          <w:t xml:space="preserve">Genomic analyses identify molecular subtypes of pancreatic cancer</w:t>
        </w:r>
      </w:hyperlink>
      <w:r>
        <w:t xml:space="preserve">.</w:t>
      </w:r>
      <w:r>
        <w:t xml:space="preserve"> </w:t>
      </w:r>
      <w:r>
        <w:rPr>
          <w:iCs/>
          <w:i/>
        </w:rPr>
        <w:t xml:space="preserve">Nature</w:t>
      </w:r>
      <w:r>
        <w:t xml:space="preserve"> </w:t>
      </w:r>
      <w:r>
        <w:rPr>
          <w:bCs/>
          <w:b/>
        </w:rPr>
        <w:t xml:space="preserve">531</w:t>
      </w:r>
      <w:r>
        <w:t xml:space="preserve">, 47–52 (2016).</w:t>
      </w:r>
    </w:p>
    <w:bookmarkEnd w:id="112"/>
    <w:bookmarkStart w:id="114" w:name="ref-puleo2018stratification"/>
    <w:p>
      <w:pPr>
        <w:pStyle w:val="Bibliography"/>
      </w:pPr>
      <w:r>
        <w:t xml:space="preserve">18.</w:t>
      </w:r>
      <w:r>
        <w:t xml:space="preserve"> </w:t>
      </w:r>
      <w:r>
        <w:t xml:space="preserve">	</w:t>
      </w:r>
      <w:r>
        <w:t xml:space="preserve">Puleo, F.</w:t>
      </w:r>
      <w:r>
        <w:t xml:space="preserve"> </w:t>
      </w:r>
      <w:r>
        <w:rPr>
          <w:iCs/>
          <w:i/>
        </w:rPr>
        <w:t xml:space="preserve">et al.</w:t>
      </w:r>
      <w:r>
        <w:t xml:space="preserve"> </w:t>
      </w:r>
      <w:hyperlink r:id="rId113">
        <w:r>
          <w:rPr>
            <w:rStyle w:val="Hyperlink"/>
          </w:rPr>
          <w:t xml:space="preserve">Stratification of pancreatic ductal adenocarcinomas based on tumor and microenvironment features</w:t>
        </w:r>
      </w:hyperlink>
      <w:r>
        <w:t xml:space="preserve">.</w:t>
      </w:r>
      <w:r>
        <w:t xml:space="preserve"> </w:t>
      </w:r>
      <w:r>
        <w:rPr>
          <w:iCs/>
          <w:i/>
        </w:rPr>
        <w:t xml:space="preserve">Gastroenterology</w:t>
      </w:r>
      <w:r>
        <w:t xml:space="preserve"> </w:t>
      </w:r>
      <w:r>
        <w:rPr>
          <w:bCs/>
          <w:b/>
        </w:rPr>
        <w:t xml:space="preserve">155</w:t>
      </w:r>
      <w:r>
        <w:t xml:space="preserve">, 1999–2013 (2018).</w:t>
      </w:r>
    </w:p>
    <w:bookmarkEnd w:id="114"/>
    <w:bookmarkStart w:id="116" w:name="ref-rashid2020purity"/>
    <w:p>
      <w:pPr>
        <w:pStyle w:val="Bibliography"/>
      </w:pPr>
      <w:r>
        <w:t xml:space="preserve">19.</w:t>
      </w:r>
      <w:r>
        <w:t xml:space="preserve"> </w:t>
      </w:r>
      <w:r>
        <w:t xml:space="preserve">	</w:t>
      </w:r>
      <w:r>
        <w:t xml:space="preserve">Rashid, N. U.</w:t>
      </w:r>
      <w:r>
        <w:t xml:space="preserve"> </w:t>
      </w:r>
      <w:r>
        <w:rPr>
          <w:iCs/>
          <w:i/>
        </w:rPr>
        <w:t xml:space="preserve">et al.</w:t>
      </w:r>
      <w:r>
        <w:t xml:space="preserve"> </w:t>
      </w:r>
      <w:hyperlink r:id="rId115">
        <w:r>
          <w:rPr>
            <w:rStyle w:val="Hyperlink"/>
          </w:rPr>
          <w:t xml:space="preserve">Purity independent subtyping of tumors (PurIST), a clinically robust, single-sample classifier for tumor subtyping in pancreatic cancer</w:t>
        </w:r>
      </w:hyperlink>
      <w:r>
        <w:t xml:space="preserve">.</w:t>
      </w:r>
      <w:r>
        <w:t xml:space="preserve"> </w:t>
      </w:r>
      <w:r>
        <w:rPr>
          <w:iCs/>
          <w:i/>
        </w:rPr>
        <w:t xml:space="preserve">Clinical Cancer Research</w:t>
      </w:r>
      <w:r>
        <w:t xml:space="preserve"> </w:t>
      </w:r>
      <w:r>
        <w:rPr>
          <w:bCs/>
          <w:b/>
        </w:rPr>
        <w:t xml:space="preserve">26</w:t>
      </w:r>
      <w:r>
        <w:t xml:space="preserve">, 82–92 (2020).</w:t>
      </w:r>
    </w:p>
    <w:bookmarkEnd w:id="116"/>
    <w:bookmarkStart w:id="118" w:name="ref-peng2024determination"/>
    <w:p>
      <w:pPr>
        <w:pStyle w:val="Bibliography"/>
      </w:pPr>
      <w:r>
        <w:t xml:space="preserve">20.</w:t>
      </w:r>
      <w:r>
        <w:t xml:space="preserve"> </w:t>
      </w:r>
      <w:r>
        <w:t xml:space="preserve">	</w:t>
      </w:r>
      <w:r>
        <w:t xml:space="preserve">Peng, X. L.</w:t>
      </w:r>
      <w:r>
        <w:t xml:space="preserve"> </w:t>
      </w:r>
      <w:r>
        <w:rPr>
          <w:iCs/>
          <w:i/>
        </w:rPr>
        <w:t xml:space="preserve">et al.</w:t>
      </w:r>
      <w:r>
        <w:t xml:space="preserve"> </w:t>
      </w:r>
      <w:hyperlink r:id="rId117">
        <w:r>
          <w:rPr>
            <w:rStyle w:val="Hyperlink"/>
          </w:rPr>
          <w:t xml:space="preserve">DeCAF defines clinical fibroblast subtypes and multidimensional tumor-stroma crosstalk shaping prognosis and immunotherapy response</w:t>
        </w:r>
      </w:hyperlink>
      <w:r>
        <w:t xml:space="preserve">.</w:t>
      </w:r>
      <w:r>
        <w:t xml:space="preserve"> </w:t>
      </w:r>
      <w:r>
        <w:rPr>
          <w:iCs/>
          <w:i/>
        </w:rPr>
        <w:t xml:space="preserve">Cell Reports Medicine</w:t>
      </w:r>
      <w:r>
        <w:t xml:space="preserve"> </w:t>
      </w:r>
      <w:r>
        <w:rPr>
          <w:bCs/>
          <w:b/>
        </w:rPr>
        <w:t xml:space="preserve">7</w:t>
      </w:r>
      <w:r>
        <w:t xml:space="preserve">, 102611 (2026).</w:t>
      </w:r>
    </w:p>
    <w:bookmarkEnd w:id="118"/>
    <w:bookmarkStart w:id="120" w:name="ref-peng2019novo"/>
    <w:p>
      <w:pPr>
        <w:pStyle w:val="Bibliography"/>
      </w:pPr>
      <w:r>
        <w:t xml:space="preserve">21.</w:t>
      </w:r>
      <w:r>
        <w:t xml:space="preserve"> </w:t>
      </w:r>
      <w:r>
        <w:t xml:space="preserve">	</w:t>
      </w:r>
      <w:r>
        <w:t xml:space="preserve">Peng, X. L., Moffitt, R. A., Torphy, R. J., Volmar, K. E. &amp; Yeh, J. J.</w:t>
      </w:r>
      <w:r>
        <w:t xml:space="preserve"> </w:t>
      </w:r>
      <w:hyperlink r:id="rId119">
        <w:r>
          <w:rPr>
            <w:rStyle w:val="Hyperlink"/>
          </w:rPr>
          <w:t xml:space="preserve">De novo compartment deconvolution and weight estimation of tumor samples using DECODER</w:t>
        </w:r>
      </w:hyperlink>
      <w:r>
        <w:t xml:space="preserve">.</w:t>
      </w:r>
      <w:r>
        <w:t xml:space="preserve"> </w:t>
      </w:r>
      <w:r>
        <w:rPr>
          <w:iCs/>
          <w:i/>
        </w:rPr>
        <w:t xml:space="preserve">Nature Communications</w:t>
      </w:r>
      <w:r>
        <w:t xml:space="preserve"> </w:t>
      </w:r>
      <w:r>
        <w:rPr>
          <w:bCs/>
          <w:b/>
        </w:rPr>
        <w:t xml:space="preserve">10</w:t>
      </w:r>
      <w:r>
        <w:t xml:space="preserve">, 4729 (2019).</w:t>
      </w:r>
    </w:p>
    <w:bookmarkEnd w:id="120"/>
    <w:bookmarkStart w:id="122" w:name="ref-collisson2011subtypes"/>
    <w:p>
      <w:pPr>
        <w:pStyle w:val="Bibliography"/>
      </w:pPr>
      <w:r>
        <w:t xml:space="preserve">22.</w:t>
      </w:r>
      <w:r>
        <w:t xml:space="preserve"> </w:t>
      </w:r>
      <w:r>
        <w:t xml:space="preserve">	</w:t>
      </w:r>
      <w:r>
        <w:t xml:space="preserve">Collisson, E. A.</w:t>
      </w:r>
      <w:r>
        <w:t xml:space="preserve"> </w:t>
      </w:r>
      <w:r>
        <w:rPr>
          <w:iCs/>
          <w:i/>
        </w:rPr>
        <w:t xml:space="preserve">et al.</w:t>
      </w:r>
      <w:r>
        <w:t xml:space="preserve"> </w:t>
      </w:r>
      <w:hyperlink r:id="rId121">
        <w:r>
          <w:rPr>
            <w:rStyle w:val="Hyperlink"/>
          </w:rPr>
          <w:t xml:space="preserve">Subtypes of pancreatic ductal adenocarcinoma and their differing responses to therapy</w:t>
        </w:r>
      </w:hyperlink>
      <w:r>
        <w:t xml:space="preserve">.</w:t>
      </w:r>
      <w:r>
        <w:t xml:space="preserve"> </w:t>
      </w:r>
      <w:r>
        <w:rPr>
          <w:iCs/>
          <w:i/>
        </w:rPr>
        <w:t xml:space="preserve">Nature Medicine</w:t>
      </w:r>
      <w:r>
        <w:t xml:space="preserve"> </w:t>
      </w:r>
      <w:r>
        <w:rPr>
          <w:bCs/>
          <w:b/>
        </w:rPr>
        <w:t xml:space="preserve">17</w:t>
      </w:r>
      <w:r>
        <w:t xml:space="preserve">, 500–503 (2011).</w:t>
      </w:r>
    </w:p>
    <w:bookmarkEnd w:id="122"/>
    <w:bookmarkStart w:id="124" w:name="ref-chansengyue2020transcription"/>
    <w:p>
      <w:pPr>
        <w:pStyle w:val="Bibliography"/>
      </w:pPr>
      <w:r>
        <w:t xml:space="preserve">23.</w:t>
      </w:r>
      <w:r>
        <w:t xml:space="preserve"> </w:t>
      </w:r>
      <w:r>
        <w:t xml:space="preserve">	</w:t>
      </w:r>
      <w:r>
        <w:t xml:space="preserve">Chan-Seng-Yue, M.</w:t>
      </w:r>
      <w:r>
        <w:t xml:space="preserve"> </w:t>
      </w:r>
      <w:r>
        <w:rPr>
          <w:iCs/>
          <w:i/>
        </w:rPr>
        <w:t xml:space="preserve">et al.</w:t>
      </w:r>
      <w:r>
        <w:t xml:space="preserve"> </w:t>
      </w:r>
      <w:hyperlink r:id="rId123">
        <w:r>
          <w:rPr>
            <w:rStyle w:val="Hyperlink"/>
          </w:rPr>
          <w:t xml:space="preserve">Transcription phenotypes of pancreatic cancer are driven by genomic events during tumor evolution</w:t>
        </w:r>
      </w:hyperlink>
      <w:r>
        <w:t xml:space="preserve">.</w:t>
      </w:r>
      <w:r>
        <w:t xml:space="preserve"> </w:t>
      </w:r>
      <w:r>
        <w:rPr>
          <w:iCs/>
          <w:i/>
        </w:rPr>
        <w:t xml:space="preserve">Nature Genetics</w:t>
      </w:r>
      <w:r>
        <w:t xml:space="preserve"> </w:t>
      </w:r>
      <w:r>
        <w:rPr>
          <w:bCs/>
          <w:b/>
        </w:rPr>
        <w:t xml:space="preserve">52</w:t>
      </w:r>
      <w:r>
        <w:t xml:space="preserve">, 231–240 (2020).</w:t>
      </w:r>
    </w:p>
    <w:bookmarkEnd w:id="124"/>
    <w:bookmarkStart w:id="126" w:name="ref-Maurer2019"/>
    <w:p>
      <w:pPr>
        <w:pStyle w:val="Bibliography"/>
      </w:pPr>
      <w:r>
        <w:t xml:space="preserve">24.</w:t>
      </w:r>
      <w:r>
        <w:t xml:space="preserve"> </w:t>
      </w:r>
      <w:r>
        <w:t xml:space="preserve">	</w:t>
      </w:r>
      <w:r>
        <w:t xml:space="preserve">Maurer, C.</w:t>
      </w:r>
      <w:r>
        <w:t xml:space="preserve"> </w:t>
      </w:r>
      <w:r>
        <w:rPr>
          <w:iCs/>
          <w:i/>
        </w:rPr>
        <w:t xml:space="preserve">et al.</w:t>
      </w:r>
      <w:r>
        <w:t xml:space="preserve"> </w:t>
      </w:r>
      <w:hyperlink r:id="rId125">
        <w:r>
          <w:rPr>
            <w:rStyle w:val="Hyperlink"/>
          </w:rPr>
          <w:t xml:space="preserve">Experimental microdissection enables functional harmonisation of pancreatic cancer subtypes</w:t>
        </w:r>
      </w:hyperlink>
      <w:r>
        <w:t xml:space="preserve">.</w:t>
      </w:r>
      <w:r>
        <w:t xml:space="preserve"> </w:t>
      </w:r>
      <w:r>
        <w:rPr>
          <w:iCs/>
          <w:i/>
        </w:rPr>
        <w:t xml:space="preserve">Gut</w:t>
      </w:r>
      <w:r>
        <w:t xml:space="preserve"> </w:t>
      </w:r>
      <w:r>
        <w:rPr>
          <w:bCs/>
          <w:b/>
        </w:rPr>
        <w:t xml:space="preserve">68</w:t>
      </w:r>
      <w:r>
        <w:t xml:space="preserve">, 1034–1043 (2019).</w:t>
      </w:r>
    </w:p>
    <w:bookmarkEnd w:id="126"/>
    <w:bookmarkStart w:id="128" w:name="ref-elyada2019cross"/>
    <w:p>
      <w:pPr>
        <w:pStyle w:val="Bibliography"/>
      </w:pPr>
      <w:r>
        <w:t xml:space="preserve">25.</w:t>
      </w:r>
      <w:r>
        <w:t xml:space="preserve"> </w:t>
      </w:r>
      <w:r>
        <w:t xml:space="preserve">	</w:t>
      </w:r>
      <w:r>
        <w:t xml:space="preserve">Elyada, E.</w:t>
      </w:r>
      <w:r>
        <w:t xml:space="preserve"> </w:t>
      </w:r>
      <w:r>
        <w:rPr>
          <w:iCs/>
          <w:i/>
        </w:rPr>
        <w:t xml:space="preserve">et al.</w:t>
      </w:r>
      <w:r>
        <w:t xml:space="preserve"> </w:t>
      </w:r>
      <w:hyperlink r:id="rId127">
        <w:r>
          <w:rPr>
            <w:rStyle w:val="Hyperlink"/>
          </w:rPr>
          <w:t xml:space="preserve">Cross-species single-cell analysis of pancreatic ductal adenocarcinoma reveals antigen-presenting cancer-associated fibroblasts</w:t>
        </w:r>
      </w:hyperlink>
      <w:r>
        <w:t xml:space="preserve">.</w:t>
      </w:r>
      <w:r>
        <w:t xml:space="preserve"> </w:t>
      </w:r>
      <w:r>
        <w:rPr>
          <w:iCs/>
          <w:i/>
        </w:rPr>
        <w:t xml:space="preserve">Cancer Discovery</w:t>
      </w:r>
      <w:r>
        <w:t xml:space="preserve"> </w:t>
      </w:r>
      <w:r>
        <w:rPr>
          <w:bCs/>
          <w:b/>
        </w:rPr>
        <w:t xml:space="preserve">9</w:t>
      </w:r>
      <w:r>
        <w:t xml:space="preserve">, 1102–1123 (2019).</w:t>
      </w:r>
    </w:p>
    <w:bookmarkEnd w:id="128"/>
    <w:bookmarkStart w:id="130" w:name="ref-leary2023s"/>
    <w:p>
      <w:pPr>
        <w:pStyle w:val="Bibliography"/>
      </w:pPr>
      <w:r>
        <w:t xml:space="preserve">26.</w:t>
      </w:r>
      <w:r>
        <w:t xml:space="preserve"> </w:t>
      </w:r>
      <w:r>
        <w:t xml:space="preserve">	</w:t>
      </w:r>
      <w:r>
        <w:t xml:space="preserve">Leary, J. R.</w:t>
      </w:r>
      <w:r>
        <w:t xml:space="preserve"> </w:t>
      </w:r>
      <w:r>
        <w:rPr>
          <w:iCs/>
          <w:i/>
        </w:rPr>
        <w:t xml:space="preserve">et al.</w:t>
      </w:r>
      <w:r>
        <w:t xml:space="preserve"> </w:t>
      </w:r>
      <w:hyperlink r:id="rId129">
        <w:r>
          <w:rPr>
            <w:rStyle w:val="Hyperlink"/>
          </w:rPr>
          <w:t xml:space="preserve">Sub-cluster identification through semi-supervised optimization of rare-cell silhouettes (</w:t>
        </w:r>
        <w:r>
          <w:rPr>
            <w:rStyle w:val="Hyperlink"/>
          </w:rPr>
          <w:t xml:space="preserve">SCISSORS</w:t>
        </w:r>
        <w:r>
          <w:rPr>
            <w:rStyle w:val="Hyperlink"/>
          </w:rPr>
          <w:t xml:space="preserve">) in single-cell</w:t>
        </w:r>
        <w:r>
          <w:rPr>
            <w:rStyle w:val="Hyperlink"/>
          </w:rPr>
          <w:t xml:space="preserve"> </w:t>
        </w:r>
        <w:r>
          <w:rPr>
            <w:rStyle w:val="Hyperlink"/>
          </w:rPr>
          <w:t xml:space="preserve">RNA</w:t>
        </w:r>
        <w:r>
          <w:rPr>
            <w:rStyle w:val="Hyperlink"/>
          </w:rPr>
          <w:t xml:space="preserve">-sequencing</w:t>
        </w:r>
      </w:hyperlink>
      <w:r>
        <w:t xml:space="preserve">.</w:t>
      </w:r>
      <w:r>
        <w:t xml:space="preserve"> </w:t>
      </w:r>
      <w:r>
        <w:rPr>
          <w:iCs/>
          <w:i/>
        </w:rPr>
        <w:t xml:space="preserve">Bioinformatics</w:t>
      </w:r>
      <w:r>
        <w:t xml:space="preserve"> </w:t>
      </w:r>
      <w:r>
        <w:rPr>
          <w:bCs/>
          <w:b/>
        </w:rPr>
        <w:t xml:space="preserve">39</w:t>
      </w:r>
      <w:r>
        <w:t xml:space="preserve">, btad449 (2023).</w:t>
      </w:r>
    </w:p>
    <w:bookmarkEnd w:id="130"/>
    <w:bookmarkStart w:id="131" w:name="ref-shapley1953value"/>
    <w:p>
      <w:pPr>
        <w:pStyle w:val="Bibliography"/>
      </w:pPr>
      <w:r>
        <w:t xml:space="preserve">27.</w:t>
      </w:r>
      <w:r>
        <w:t xml:space="preserve"> </w:t>
      </w:r>
      <w:r>
        <w:t xml:space="preserve">	</w:t>
      </w:r>
      <w:r>
        <w:t xml:space="preserve">Shapley, L. S. A value for n-person games. in</w:t>
      </w:r>
      <w:r>
        <w:t xml:space="preserve"> </w:t>
      </w:r>
      <w:r>
        <w:rPr>
          <w:iCs/>
          <w:i/>
        </w:rPr>
        <w:t xml:space="preserve">Contributions to the theory of games, volume II</w:t>
      </w:r>
      <w:r>
        <w:t xml:space="preserve"> </w:t>
      </w:r>
      <w:r>
        <w:t xml:space="preserve">(eds. Kuhn, H. W. &amp; Tucker, A. W.) 307–317 (Princeton University Press, 1953).</w:t>
      </w:r>
    </w:p>
    <w:bookmarkEnd w:id="131"/>
    <w:bookmarkStart w:id="133" w:name="ref-uno2011cstatistics"/>
    <w:p>
      <w:pPr>
        <w:pStyle w:val="Bibliography"/>
      </w:pPr>
      <w:r>
        <w:t xml:space="preserve">28.</w:t>
      </w:r>
      <w:r>
        <w:t xml:space="preserve"> </w:t>
      </w:r>
      <w:r>
        <w:t xml:space="preserve">	</w:t>
      </w:r>
      <w:r>
        <w:t xml:space="preserve">Uno, H., Cai, T., Pencina, M. J., D’Agostino, R. B. &amp; Wei, L. J.</w:t>
      </w:r>
      <w:r>
        <w:t xml:space="preserve"> </w:t>
      </w:r>
      <w:hyperlink r:id="rId132">
        <w:r>
          <w:rPr>
            <w:rStyle w:val="Hyperlink"/>
          </w:rPr>
          <w:t xml:space="preserve">On the</w:t>
        </w:r>
        <w:r>
          <w:rPr>
            <w:rStyle w:val="Hyperlink"/>
          </w:rPr>
          <w:t xml:space="preserve"> </w:t>
        </w:r>
        <w:r>
          <w:rPr>
            <w:rStyle w:val="Hyperlink"/>
          </w:rPr>
          <w:t xml:space="preserve">C</w:t>
        </w:r>
        <w:r>
          <w:rPr>
            <w:rStyle w:val="Hyperlink"/>
          </w:rPr>
          <w:t xml:space="preserve">-statistics for evaluating overall adequacy of risk prediction procedures with censored survival data</w:t>
        </w:r>
      </w:hyperlink>
      <w:r>
        <w:t xml:space="preserve">.</w:t>
      </w:r>
      <w:r>
        <w:t xml:space="preserve"> </w:t>
      </w:r>
      <w:r>
        <w:rPr>
          <w:iCs/>
          <w:i/>
        </w:rPr>
        <w:t xml:space="preserve">Statistics in Medicine</w:t>
      </w:r>
      <w:r>
        <w:t xml:space="preserve"> </w:t>
      </w:r>
      <w:r>
        <w:rPr>
          <w:bCs/>
          <w:b/>
        </w:rPr>
        <w:t xml:space="preserve">30</w:t>
      </w:r>
      <w:r>
        <w:t xml:space="preserve">, 1105–1117 (2011).</w:t>
      </w:r>
    </w:p>
    <w:bookmarkEnd w:id="133"/>
    <w:bookmarkStart w:id="135" w:name="ref-antolini2005timedependent"/>
    <w:p>
      <w:pPr>
        <w:pStyle w:val="Bibliography"/>
      </w:pPr>
      <w:r>
        <w:t xml:space="preserve">29.</w:t>
      </w:r>
      <w:r>
        <w:t xml:space="preserve"> </w:t>
      </w:r>
      <w:r>
        <w:t xml:space="preserve">	</w:t>
      </w:r>
      <w:r>
        <w:t xml:space="preserve">Antolini, L., Boracchi, P. &amp; Biganzoli, E.</w:t>
      </w:r>
      <w:r>
        <w:t xml:space="preserve"> </w:t>
      </w:r>
      <w:hyperlink r:id="rId134">
        <w:r>
          <w:rPr>
            <w:rStyle w:val="Hyperlink"/>
          </w:rPr>
          <w:t xml:space="preserve">A time-dependent discrimination index for survival data</w:t>
        </w:r>
      </w:hyperlink>
      <w:r>
        <w:t xml:space="preserve">.</w:t>
      </w:r>
      <w:r>
        <w:t xml:space="preserve"> </w:t>
      </w:r>
      <w:r>
        <w:rPr>
          <w:iCs/>
          <w:i/>
        </w:rPr>
        <w:t xml:space="preserve">Statistics in Medicine</w:t>
      </w:r>
      <w:r>
        <w:t xml:space="preserve"> </w:t>
      </w:r>
      <w:r>
        <w:rPr>
          <w:bCs/>
          <w:b/>
        </w:rPr>
        <w:t xml:space="preserve">24</w:t>
      </w:r>
      <w:r>
        <w:t xml:space="preserve">, 3927–3944 (2005).</w:t>
      </w:r>
    </w:p>
    <w:bookmarkEnd w:id="135"/>
    <w:bookmarkStart w:id="137" w:name="ref-blanche2019cindex"/>
    <w:p>
      <w:pPr>
        <w:pStyle w:val="Bibliography"/>
      </w:pPr>
      <w:r>
        <w:t xml:space="preserve">30.</w:t>
      </w:r>
      <w:r>
        <w:t xml:space="preserve"> </w:t>
      </w:r>
      <w:r>
        <w:t xml:space="preserve">	</w:t>
      </w:r>
      <w:r>
        <w:t xml:space="preserve">Blanche, P., Kattan, M. W. &amp; Gerds, T. A.</w:t>
      </w:r>
      <w:r>
        <w:t xml:space="preserve"> </w:t>
      </w:r>
      <w:hyperlink r:id="rId136">
        <w:r>
          <w:rPr>
            <w:rStyle w:val="Hyperlink"/>
          </w:rPr>
          <w:t xml:space="preserve">The c-index is not proper for the evaluation of</w:t>
        </w:r>
        <w:r>
          <w:rPr>
            <w:rStyle w:val="Hyperlink"/>
          </w:rPr>
          <w:t xml:space="preserve"> </w:t>
        </w:r>
        <m:oMath>
          <m:r>
            <m:t>t</m:t>
          </m:r>
        </m:oMath>
        <w:r>
          <w:rPr>
            <w:rStyle w:val="Hyperlink"/>
          </w:rPr>
          <w:t xml:space="preserve">-year predicted risks</w:t>
        </w:r>
      </w:hyperlink>
      <w:r>
        <w:t xml:space="preserve">.</w:t>
      </w:r>
      <w:r>
        <w:t xml:space="preserve"> </w:t>
      </w:r>
      <w:r>
        <w:rPr>
          <w:iCs/>
          <w:i/>
        </w:rPr>
        <w:t xml:space="preserve">Biostatistics</w:t>
      </w:r>
      <w:r>
        <w:t xml:space="preserve"> </w:t>
      </w:r>
      <w:r>
        <w:rPr>
          <w:bCs/>
          <w:b/>
        </w:rPr>
        <w:t xml:space="preserve">20</w:t>
      </w:r>
      <w:r>
        <w:t xml:space="preserve">, 347–357 (2019).</w:t>
      </w:r>
    </w:p>
    <w:bookmarkEnd w:id="137"/>
    <w:bookmarkEnd w:id="138"/>
    <w:bookmarkEnd w:id="1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2" Target="media/rId62.png" /><Relationship Type="http://schemas.openxmlformats.org/officeDocument/2006/relationships/image" Id="rId66" Target="media/rId66.png" /><Relationship Type="http://schemas.openxmlformats.org/officeDocument/2006/relationships/image" Id="rId73" Target="media/rId73.png" /><Relationship Type="http://schemas.openxmlformats.org/officeDocument/2006/relationships/image" Id="rId58" Target="media/rId58.png" /><Relationship Type="http://schemas.openxmlformats.org/officeDocument/2006/relationships/image" Id="rId45" Target="media/rId45.png" /><Relationship Type="http://schemas.openxmlformats.org/officeDocument/2006/relationships/image" Id="rId30" Target="media/rId30.png" /><Relationship Type="http://schemas.openxmlformats.org/officeDocument/2006/relationships/image" Id="rId70" Target="media/rId70.png" /><Relationship Type="http://schemas.openxmlformats.org/officeDocument/2006/relationships/hyperlink" Id="rId134" Target="https://doi.org/10.1002/sim.2427" TargetMode="External" /><Relationship Type="http://schemas.openxmlformats.org/officeDocument/2006/relationships/hyperlink" Id="rId132" Target="https://doi.org/10.1002/sim.4154" TargetMode="External" /><Relationship Type="http://schemas.openxmlformats.org/officeDocument/2006/relationships/hyperlink" Id="rId103" Target="https://doi.org/10.1016/j.ccell.2017.07.007" TargetMode="External" /><Relationship Type="http://schemas.openxmlformats.org/officeDocument/2006/relationships/hyperlink" Id="rId105" Target="https://doi.org/10.1016/j.cell.2021.08.023" TargetMode="External" /><Relationship Type="http://schemas.openxmlformats.org/officeDocument/2006/relationships/hyperlink" Id="rId117" Target="https://doi.org/10.1016/j.xcrm.2026.102611" TargetMode="External" /><Relationship Type="http://schemas.openxmlformats.org/officeDocument/2006/relationships/hyperlink" Id="rId111" Target="https://doi.org/10.1038/nature16965" TargetMode="External" /><Relationship Type="http://schemas.openxmlformats.org/officeDocument/2006/relationships/hyperlink" Id="rId109" Target="https://doi.org/10.1038/ng.3398" TargetMode="External" /><Relationship Type="http://schemas.openxmlformats.org/officeDocument/2006/relationships/hyperlink" Id="rId121" Target="https://doi.org/10.1038/nm.2344" TargetMode="External" /><Relationship Type="http://schemas.openxmlformats.org/officeDocument/2006/relationships/hyperlink" Id="rId119" Target="https://doi.org/10.1038/s41467-019-12517-7" TargetMode="External" /><Relationship Type="http://schemas.openxmlformats.org/officeDocument/2006/relationships/hyperlink" Id="rId123" Target="https://doi.org/10.1038/s41588-019-0566-9" TargetMode="External" /><Relationship Type="http://schemas.openxmlformats.org/officeDocument/2006/relationships/hyperlink" Id="rId107" Target="https://doi.org/10.1038/s41598-019-56826-9" TargetMode="External" /><Relationship Type="http://schemas.openxmlformats.org/officeDocument/2006/relationships/hyperlink" Id="rId113" Target="https://doi.org/10.1053/j.gastro.2018.08.033" TargetMode="External" /><Relationship Type="http://schemas.openxmlformats.org/officeDocument/2006/relationships/hyperlink" Id="rId94" Target="https://doi.org/10.1073/pnas.0308531101" TargetMode="External" /><Relationship Type="http://schemas.openxmlformats.org/officeDocument/2006/relationships/hyperlink" Id="rId129" Target="https://doi.org/10.1093/bioinformatics/btad449" TargetMode="External" /><Relationship Type="http://schemas.openxmlformats.org/officeDocument/2006/relationships/hyperlink" Id="rId136" Target="https://doi.org/10.1093/biostatistics/kxy006" TargetMode="External" /><Relationship Type="http://schemas.openxmlformats.org/officeDocument/2006/relationships/hyperlink" Id="rId86" Target="https://doi.org/10.1109/TPAMI.2006.60" TargetMode="External" /><Relationship Type="http://schemas.openxmlformats.org/officeDocument/2006/relationships/hyperlink" Id="rId125" Target="https://doi.org/10.1136/gutjnl-2018-317706" TargetMode="External" /><Relationship Type="http://schemas.openxmlformats.org/officeDocument/2006/relationships/hyperlink" Id="rId91" Target="https://doi.org/10.1155/2008/764206" TargetMode="External" /><Relationship Type="http://schemas.openxmlformats.org/officeDocument/2006/relationships/hyperlink" Id="rId115" Target="https://doi.org/10.1158/1078-0432.CCR-19-1467" TargetMode="External" /><Relationship Type="http://schemas.openxmlformats.org/officeDocument/2006/relationships/hyperlink" Id="rId127" Target="https://doi.org/10.1158/2159-8290.CD-19-0094" TargetMode="External" /><Relationship Type="http://schemas.openxmlformats.org/officeDocument/2006/relationships/hyperlink" Id="rId98" Target="https://doi.org/10.1162/NECO_a_00256" TargetMode="External" /><Relationship Type="http://schemas.openxmlformats.org/officeDocument/2006/relationships/hyperlink" Id="rId88" Target="https://doi.org/10.18637/jss.v039.i05" TargetMode="External" /><Relationship Type="http://schemas.openxmlformats.org/officeDocument/2006/relationships/hyperlink" Id="rId96" Target="https://faculty.cc.gatech.edu/~hpark/papers/GT-CSE-08-01.pdf" TargetMode="External" /></Relationships>
</file>

<file path=word/_rels/footnotes.xml.rels><?xml version="1.0" encoding="UTF-8"?><Relationships xmlns="http://schemas.openxmlformats.org/package/2006/relationships"><Relationship Type="http://schemas.openxmlformats.org/officeDocument/2006/relationships/hyperlink" Id="rId134" Target="https://doi.org/10.1002/sim.2427" TargetMode="External" /><Relationship Type="http://schemas.openxmlformats.org/officeDocument/2006/relationships/hyperlink" Id="rId132" Target="https://doi.org/10.1002/sim.4154" TargetMode="External" /><Relationship Type="http://schemas.openxmlformats.org/officeDocument/2006/relationships/hyperlink" Id="rId103" Target="https://doi.org/10.1016/j.ccell.2017.07.007" TargetMode="External" /><Relationship Type="http://schemas.openxmlformats.org/officeDocument/2006/relationships/hyperlink" Id="rId105" Target="https://doi.org/10.1016/j.cell.2021.08.023" TargetMode="External" /><Relationship Type="http://schemas.openxmlformats.org/officeDocument/2006/relationships/hyperlink" Id="rId117" Target="https://doi.org/10.1016/j.xcrm.2026.102611" TargetMode="External" /><Relationship Type="http://schemas.openxmlformats.org/officeDocument/2006/relationships/hyperlink" Id="rId111" Target="https://doi.org/10.1038/nature16965" TargetMode="External" /><Relationship Type="http://schemas.openxmlformats.org/officeDocument/2006/relationships/hyperlink" Id="rId109" Target="https://doi.org/10.1038/ng.3398" TargetMode="External" /><Relationship Type="http://schemas.openxmlformats.org/officeDocument/2006/relationships/hyperlink" Id="rId121" Target="https://doi.org/10.1038/nm.2344" TargetMode="External" /><Relationship Type="http://schemas.openxmlformats.org/officeDocument/2006/relationships/hyperlink" Id="rId119" Target="https://doi.org/10.1038/s41467-019-12517-7" TargetMode="External" /><Relationship Type="http://schemas.openxmlformats.org/officeDocument/2006/relationships/hyperlink" Id="rId123" Target="https://doi.org/10.1038/s41588-019-0566-9" TargetMode="External" /><Relationship Type="http://schemas.openxmlformats.org/officeDocument/2006/relationships/hyperlink" Id="rId107" Target="https://doi.org/10.1038/s41598-019-56826-9" TargetMode="External" /><Relationship Type="http://schemas.openxmlformats.org/officeDocument/2006/relationships/hyperlink" Id="rId113" Target="https://doi.org/10.1053/j.gastro.2018.08.033" TargetMode="External" /><Relationship Type="http://schemas.openxmlformats.org/officeDocument/2006/relationships/hyperlink" Id="rId94" Target="https://doi.org/10.1073/pnas.0308531101" TargetMode="External" /><Relationship Type="http://schemas.openxmlformats.org/officeDocument/2006/relationships/hyperlink" Id="rId129" Target="https://doi.org/10.1093/bioinformatics/btad449" TargetMode="External" /><Relationship Type="http://schemas.openxmlformats.org/officeDocument/2006/relationships/hyperlink" Id="rId136" Target="https://doi.org/10.1093/biostatistics/kxy006" TargetMode="External" /><Relationship Type="http://schemas.openxmlformats.org/officeDocument/2006/relationships/hyperlink" Id="rId86" Target="https://doi.org/10.1109/TPAMI.2006.60" TargetMode="External" /><Relationship Type="http://schemas.openxmlformats.org/officeDocument/2006/relationships/hyperlink" Id="rId125" Target="https://doi.org/10.1136/gutjnl-2018-317706" TargetMode="External" /><Relationship Type="http://schemas.openxmlformats.org/officeDocument/2006/relationships/hyperlink" Id="rId91" Target="https://doi.org/10.1155/2008/764206" TargetMode="External" /><Relationship Type="http://schemas.openxmlformats.org/officeDocument/2006/relationships/hyperlink" Id="rId115" Target="https://doi.org/10.1158/1078-0432.CCR-19-1467" TargetMode="External" /><Relationship Type="http://schemas.openxmlformats.org/officeDocument/2006/relationships/hyperlink" Id="rId127" Target="https://doi.org/10.1158/2159-8290.CD-19-0094" TargetMode="External" /><Relationship Type="http://schemas.openxmlformats.org/officeDocument/2006/relationships/hyperlink" Id="rId98" Target="https://doi.org/10.1162/NECO_a_00256" TargetMode="External" /><Relationship Type="http://schemas.openxmlformats.org/officeDocument/2006/relationships/hyperlink" Id="rId88" Target="https://doi.org/10.18637/jss.v039.i05" TargetMode="External" /><Relationship Type="http://schemas.openxmlformats.org/officeDocument/2006/relationships/hyperlink" Id="rId96" Target="https://faculty.cc.gatech.edu/~hpark/papers/GT-CSE-08-01.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Information</dc:title>
  <dc:creator>Amber M. Young, Alisa Yurovsky, Xianlu Laura Peng, Jen Jen Yeh, Didong Li, Naim U. Rashid</dc:creator>
  <cp:keywords/>
  <dcterms:created xsi:type="dcterms:W3CDTF">2026-09-14T18:44:48Z</dcterms:created>
  <dcterms:modified xsi:type="dcterms:W3CDTF">2026-09-14T18:44:48Z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references_30102025.bib</vt:lpwstr>
  </property>
  <property fmtid="{D5CDD505-2E9C-101B-9397-08002B2CF9AE}" pid="3" name="csl">
    <vt:lpwstr>nature.csl</vt:lpwstr>
  </property>
  <property fmtid="{D5CDD505-2E9C-101B-9397-08002B2CF9AE}" pid="4" name="header-includes">
    <vt:lpwstr/>
  </property>
  <property fmtid="{D5CDD505-2E9C-101B-9397-08002B2CF9AE}" pid="5" name="link-citations">
    <vt:lpwstr>True</vt:lpwstr>
  </property>
  <property fmtid="{D5CDD505-2E9C-101B-9397-08002B2CF9AE}" pid="6" name="output">
    <vt:lpwstr/>
  </property>
  <property fmtid="{D5CDD505-2E9C-101B-9397-08002B2CF9AE}" pid="7" name="reference-section-title">
    <vt:lpwstr>SI References</vt:lpwstr>
  </property>
  <property fmtid="{D5CDD505-2E9C-101B-9397-08002B2CF9AE}" pid="8" name="subtitle">
    <vt:lpwstr>DeSurv identifies a replicable tumor–stroma prognostic architecture in pancreatic cancer through survival-supervised matrix factorization</vt:lpwstr>
  </property>
</Properties>
</file>