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but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outcome</w:t>
      </w:r>
      <w:r>
        <w:t xml:space="preserve"> </w:t>
      </w:r>
      <w:r>
        <w:t xml:space="preserve">information,</w:t>
      </w:r>
      <w:r>
        <w:t xml:space="preserve"> </w:t>
      </w:r>
      <w:r>
        <w:t xml:space="preserve">so</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need</w:t>
      </w:r>
      <w:r>
        <w:t xml:space="preserve"> </w:t>
      </w:r>
      <w:r>
        <w:t xml:space="preserve">not</w:t>
      </w:r>
      <w:r>
        <w:t xml:space="preserve"> </w:t>
      </w:r>
      <w:r>
        <w:t xml:space="preserve">be</w:t>
      </w:r>
      <w:r>
        <w:t xml:space="preserve"> </w:t>
      </w:r>
      <w:r>
        <w:t xml:space="preserve">the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The</w:t>
      </w:r>
      <w:r>
        <w:t xml:space="preserve"> </w:t>
      </w:r>
      <w:r>
        <w:t xml:space="preserve">frozen</w:t>
      </w:r>
      <w:r>
        <w:t xml:space="preserve"> </w:t>
      </w:r>
      <w:r>
        <w:t xml:space="preserve">representation</w:t>
      </w:r>
      <w:r>
        <w:t xml:space="preserve"> </w:t>
      </w:r>
      <w:r>
        <w:t xml:space="preserve">transferred</w:t>
      </w:r>
      <w:r>
        <w:t xml:space="preserve"> </w:t>
      </w:r>
      <w:r>
        <w:t xml:space="preserve">across</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where</w:t>
      </w:r>
      <w:r>
        <w:t xml:space="preserve"> </w:t>
      </w:r>
      <w:r>
        <w:t xml:space="preserve">the</w:t>
      </w:r>
      <w:r>
        <w:t xml:space="preserve"> </w:t>
      </w:r>
      <w:r>
        <w:t xml:space="preserve">combined</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supporting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computational</w:t>
      </w:r>
      <w:r>
        <w:t xml:space="preserve"> </w:t>
      </w:r>
      <w:r>
        <w:t xml:space="preserve">effort.</w:t>
      </w:r>
      <w:r>
        <w:t xml:space="preserve"> </w:t>
      </w:r>
      <w:r>
        <w:t xml:space="preserve">In</w:t>
      </w:r>
      <w:r>
        <w:t xml:space="preserve"> </w:t>
      </w:r>
      <w:r>
        <w:t xml:space="preserve">known-truth</w:t>
      </w:r>
      <w:r>
        <w:t xml:space="preserve"> </w:t>
      </w:r>
      <w:r>
        <w:t xml:space="preserve">simulations,</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Whether a survival-aligned direction spanning tumor and stromal programs exists and adds prognostic information beyond existing subtype classifications remains unclear, in part because such programs are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took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w:t>
      </w:r>
    </w:p>
    <w:p>
      <w:pPr>
        <w:pStyle w:val="BodyText"/>
      </w:pPr>
      <w:r>
        <w:t xml:space="preserve">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Such models may predict survival without organizing the prognostic signal into biologically interpretable tumor and microenvironmental programs, which is the form in which PDAC subtypes, and the single-sample classifiers built from them, have been defined</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so that survival helps shape gene programs as they are learned. By incorporating survival during factorization, DeSurv is designed to recover survival-aligned biological structure that may be obscured when other sources of expression variation dominate. A consensus across many restarts supplies the initialization for a final fit, after which the gene weights defining each program are held fixed, or frozen, allowing the same programs to be evaluated directly in independent cohorts without refitting the factorization. DeSurv therefore moves clinical relevance from a post hoc criterion for selecting among unsupervised factors to a criterion that shapes the factors themselves, while making cross-study transportability a direct test of the same frozen gene programs. We evaluate DeSurv in PDAC across five external validation datasets spanning four independent patient cohorts, and use simulations in which the true underlying (latent) programs are known, to characterize when survival supervision improves recovery of prognostic programs.</w:t>
      </w:r>
    </w:p>
    <w:p>
      <w:pPr>
        <w:pStyle w:val="BodyText"/>
      </w:pPr>
      <w:r>
        <w:t xml:space="preserve">In PDAC, DeSurv identifies a three-program tumor–stroma architecture that reflects joint cross-patient variation rather than spatial or cellular organization within individual tumors. We first compare it with NMF at higher rank (the number of programs the factorization extracts), with an unsupervised control matched on rank and tuning budget, and with conventional survival-supervised models, to isolate what survival supervision contributes to the representation itself (Supplementary Table [tab:architecture]). We then validate the frozen programs externally and ask whether the survival-aligned program is specific to DeSurv or reducible to established classifiers.</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Unlike the conventional sequence of unsupervised factorization followed by post hoc clinical screening, survival directly shapes the gene programs during discovery. After training, the gene weights are fixed, allowing the same programs to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Settings were chosen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(Methods). Cross-validated concordance (the C-index, the probability that the model ranks a pair of patients in the correct survival order) was high across a broad region of intermediate supervision and moderate rank, declining toward the unsupervised</w:t>
      </w:r>
      <w:r>
        <w:t xml:space="preserve"> </w:t>
      </w:r>
      <m:oMath>
        <m:r>
          <m:t>α</m:t>
        </m:r>
        <m:r>
          <m:rPr>
            <m:sty m:val="p"/>
          </m:rPr>
          <m:t>=</m:t>
        </m:r>
        <m:r>
          <m:t>0</m:t>
        </m:r>
      </m:oMath>
      <w:r>
        <w:t xml:space="preserve"> </w:t>
      </w:r>
      <w:r>
        <w:t xml:space="preserve">boundary (Supplementary Fig. [fig:fig-si-bo-tuning]). Concordance changed little across the ranks examined, so we applied the one-standard-error rule, which takes the most parsimonious model within one standard error of the best, giving a three-program model (</w:t>
      </w:r>
      <m:oMath>
        <m:r>
          <m:t>k</m:t>
        </m:r>
        <m:r>
          <m:rPr>
            <m:sty m:val="p"/>
          </m:rPr>
          <m:t>=</m:t>
        </m:r>
        <m:r>
          <m:t>3</m:t>
        </m:r>
      </m:oMath>
      <w:r>
        <w:t xml:space="preserve">,</w:t>
      </w:r>
      <w:r>
        <w:t xml:space="preserve"> </w:t>
      </w:r>
      <m:oMath>
        <m:r>
          <m:t>α</m:t>
        </m:r>
        <m:r>
          <m:rPr>
            <m:sty m:val="p"/>
          </m:rPr>
          <m:t>=</m:t>
        </m:r>
        <m:r>
          <m:t>0.334</m:t>
        </m:r>
      </m:oMath>
      <w:r>
        <w:t xml:space="preserve">; Fig. [fig:schema]B and Supplementary Fig. [fig:fig-cindex-by-k]). By contrast, standard unsupervised NMF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NMF (Lee multiplicative NMF, the field-standard implementation)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prognostic architecture spanning classical/restCAF-like and basal-like/proCAF-like states across patients. The classical component of D1 was independently supported in the COMPASS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survival-aligned D1 program. Both methods similarly recovered the activated-stroma and proCAF-like reference programs, stromal distinctions that bulk deconvolution conventionally resolves. They differed at the restraining end: among the displayed top-ranked genes, the restCAF and iCAF reference programs corresponded to a DeSurv program and to no standard NMF factor (Fig. [fig:pdac]a,b).</w:t>
      </w:r>
    </w:p>
    <w:p>
      <w:pPr>
        <w:pStyle w:val="BodyText"/>
      </w:pPr>
      <w:r>
        <w:t xml:space="preserve">This difference reflected a selective reorganization rather than wholesale loss of expression structure. D1 accounted for the smallest share of the full model’s reconstruction gain,</w:t>
      </w:r>
      <w:r>
        <w:t xml:space="preserve"> </w:t>
      </w:r>
      <m:oMath>
        <m:r>
          <m:t>18.8</m:t>
        </m:r>
      </m:oMath>
      <w:r>
        <w:t xml:space="preserve">% (Shapley shares</w:t>
      </w:r>
      <w:hyperlink w:anchor="ref-shapley1953value">
        <w:r>
          <w:rPr>
            <w:rStyle w:val="Hyperlink"/>
            <w:vertAlign w:val="superscript"/>
          </w:rPr>
          <w:t xml:space="preserve">31</w:t>
        </w:r>
      </w:hyperlink>
      <w:r>
        <w:t xml:space="preserve">), whereas omitting it lowered the Cox partial log-likelihood, the fit criterion of the Cox model, by</w:t>
      </w:r>
      <w:r>
        <w:t xml:space="preserve"> </w:t>
      </w:r>
      <m:oMath>
        <m:r>
          <m:t>66.4</m:t>
        </m:r>
      </m:oMath>
      <w:r>
        <w:t xml:space="preserve">, against</w:t>
      </w:r>
      <w:r>
        <w:t xml:space="preserve"> </w:t>
      </w:r>
      <m:oMath>
        <m:r>
          <m:t>1.0</m:t>
        </m:r>
      </m:oMath>
      <w:r>
        <w:t xml:space="preserve"> </w:t>
      </w:r>
      <w:r>
        <w:t xml:space="preserve">for D3 and</w:t>
      </w:r>
      <w:r>
        <w:t xml:space="preserve"> </w:t>
      </w:r>
      <m:oMath>
        <m:r>
          <m:t>0.02</m:t>
        </m:r>
      </m:oMath>
      <w:r>
        <w:t xml:space="preserve"> </w:t>
      </w:r>
      <w:r>
        <w:t xml:space="preserve">for D2, even though D3 accounted for</w:t>
      </w:r>
      <w:r>
        <w:t xml:space="preserve"> </w:t>
      </w:r>
      <m:oMath>
        <m:r>
          <m:t>56</m:t>
        </m:r>
      </m:oMath>
      <w:r>
        <w:t xml:space="preserve">% of the reconstruction gain (Fig. [fig:pdac]c). Within the fitted model, the survival contribution was therefore concentrated in D1 despite its small contribution to reconstruction. Because D1 was estimated using these outcomes, its increment describes where the model placed the survival signal rather than testing whether that signal is real. The unsupervised factors were fit without survival; the factor with the largest reconstruction contribution (</w:t>
      </w:r>
      <m:oMath>
        <m:r>
          <m:t>42</m:t>
        </m:r>
      </m:oMath>
      <w:r>
        <w:t xml:space="preserve">%) lowered the partial log-likelihood by only</w:t>
      </w:r>
      <w:r>
        <w:t xml:space="preserve"> </w:t>
      </w:r>
      <m:oMath>
        <m:r>
          <m:t>1.16</m:t>
        </m:r>
      </m:oMath>
      <w:r>
        <w:t xml:space="preserve">.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were largely retained as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analysed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nonetheless reconstructed the analysis matrix only somewhat less completely than matched-rank standard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does not appear to explain the difference. We repeated the comparison with the matched-budget unsupervised control, an unsupervised model matched to DeSurv on rank, optimizer, tuning budget and consensus initialization procedure (starting values built from the solutions of many restarts). It recovered D2 (</w:t>
      </w:r>
      <m:oMath>
        <m:r>
          <m:t>ρ</m:t>
        </m:r>
        <m:r>
          <m:rPr>
            <m:sty m:val="p"/>
          </m:rPr>
          <m:t>=</m:t>
        </m:r>
        <m:r>
          <m:t>0.86</m:t>
        </m:r>
      </m:oMath>
      <w:r>
        <w:t xml:space="preserve">) and D3 (</w:t>
      </w:r>
      <m:oMath>
        <m:r>
          <m:t>ρ</m:t>
        </m:r>
        <m:r>
          <m:rPr>
            <m:sty m:val="p"/>
          </m:rPr>
          <m:t>=</m:t>
        </m:r>
        <m:r>
          <m:t>0.75</m:t>
        </m:r>
      </m:oMath>
      <w:r>
        <w:t xml:space="preserve">) as before, but recovered D1 no better than the standard implementation did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w:t>
      </w:r>
      <w:r>
        <w:rPr>
          <w:iCs/>
          <w:i/>
        </w:rPr>
        <w:t xml:space="preserve"> </w:t>
      </w:r>
      <m:oMath>
        <m:r>
          <m:t>r</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c3738784e7570d272abf5aed7e47dc454451282"/>
    <w:p>
      <w:pPr>
        <w:pStyle w:val="Heading2"/>
      </w:pPr>
      <w:r>
        <w:t xml:space="preserve">Frozen survival-aligned programs retain prognostic relevance across independent untreated and treated PDAC cohorts</w:t>
      </w:r>
    </w:p>
    <w:p>
      <w:pPr>
        <w:pStyle w:val="FirstParagraph"/>
      </w:pPr>
      <w:r>
        <w:t xml:space="preserve">We next applied the frozen programs to five external validation datasets spanning four independent patient cohorts (Dijk, Moffitt, PACA-AU [array and RNA-seq], and Puleo; non-metastatic, treatment-naive;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giving</w:t>
      </w:r>
      <w:r>
        <w:t xml:space="preserve"> </w:t>
      </w:r>
      <m:oMath>
        <m:r>
          <m:t>570</m:t>
        </m:r>
      </m:oMath>
      <w:r>
        <w:t xml:space="preserve"> </w:t>
      </w:r>
      <w:r>
        <w:t xml:space="preserve">unique patients (388 deaths; Methods). The survival-aligned D1 program had protective point estimates in every validation dataset and was the only individual program associated with survival in the combined, cohort-stratified analysis (HR per SD</w:t>
      </w:r>
      <w:r>
        <w:t xml:space="preserve"> </w:t>
      </w:r>
      <m:oMath>
        <m:r>
          <m:t>0.75</m:t>
        </m:r>
      </m:oMath>
      <w:r>
        <w:t xml:space="preserve"> </w:t>
      </w:r>
      <w:r>
        <w:t xml:space="preserve">(95% CI</w:t>
      </w:r>
      <w:r>
        <w:t xml:space="preserve"> </w:t>
      </w:r>
      <m:oMath>
        <m:r>
          <m:t>0.68</m:t>
        </m:r>
      </m:oMath>
      <w:r>
        <w:t xml:space="preserve">–</w:t>
      </w:r>
      <m:oMath>
        <m:r>
          <m:t>0.83</m:t>
        </m:r>
      </m:oMath>
      <w:r>
        <w:t xml:space="preserve">),</w:t>
      </w:r>
      <w:r>
        <w:t xml:space="preserve"> </w:t>
      </w:r>
      <m:oMath>
        <m:r>
          <m:t>P</m:t>
        </m:r>
      </m:oMath>
      <w:r>
        <w:t xml:space="preserve"> </w:t>
      </w:r>
      <w:r>
        <w:t xml:space="preserve">&lt;0.001). D3 had hazard ratios above 1 in four of the five datasets but was not significant in any of them, nor combined (</w:t>
      </w:r>
      <m:oMath>
        <m:r>
          <m:t>1.09</m:t>
        </m:r>
      </m:oMath>
      <w:r>
        <w:t xml:space="preserve"> </w:t>
      </w:r>
      <w:r>
        <w:t xml:space="preserve">(95% CI</w:t>
      </w:r>
      <w:r>
        <w:t xml:space="preserve"> </w:t>
      </w:r>
      <m:oMath>
        <m:r>
          <m:t>0.98</m:t>
        </m:r>
      </m:oMath>
      <w:r>
        <w:t xml:space="preserve">–</w:t>
      </w:r>
      <m:oMath>
        <m:r>
          <m:t>1.21</m:t>
        </m:r>
      </m:oMath>
      <w:r>
        <w:t xml:space="preserve">),</w:t>
      </w:r>
      <w:r>
        <w:t xml:space="preserve"> </w:t>
      </w:r>
      <m:oMath>
        <m:r>
          <m:t>P</m:t>
        </m:r>
        <m:r>
          <m:rPr>
            <m:sty m:val="p"/>
          </m:rPr>
          <m:t>=</m:t>
        </m:r>
        <m:r>
          <m:t>0.10</m:t>
        </m:r>
      </m:oMath>
      <w:r>
        <w:t xml:space="preserve">). The proCAF-like D2 program was near-null (</w:t>
      </w:r>
      <m:oMath>
        <m:r>
          <m:t>1.02</m:t>
        </m:r>
      </m:oMath>
      <w:r>
        <w:t xml:space="preserve"> </w:t>
      </w:r>
      <w:r>
        <w:t xml:space="preserve">(95%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more variable (Fig. [fig:val]a).</w:t>
      </w:r>
    </w:p>
    <w:p>
      <w:pPr>
        <w:pStyle w:val="BodyText"/>
      </w:pPr>
      <w:r>
        <w:t xml:space="preserve">The frozen multivariable DeSurv linear predictor, the weighted sum of the three program scores (oriented so that higher values indicate higher risk), was associated with overall survival in a cohort-stratified analysis (pooled HR per SD</w:t>
      </w:r>
      <w:r>
        <w:t xml:space="preserve"> </w:t>
      </w:r>
      <m:oMath>
        <m:r>
          <m:rPr>
            <m:sty m:val="p"/>
          </m:rPr>
          <m:t>=</m:t>
        </m:r>
        <m:r>
          <m:t>1.42</m:t>
        </m:r>
      </m:oMath>
      <w:r>
        <w:t xml:space="preserve">,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showed the association attenuating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is a time-averaged summary rather than a constant multiplicative effect. The estimate did not depend on any single dataset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Combined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with an integrated Brier score of</w:t>
      </w:r>
      <w:r>
        <w:t xml:space="preserve"> </w:t>
      </w:r>
      <m:oMath>
        <m:r>
          <m:t>0.159</m:t>
        </m:r>
      </m:oMath>
      <w:r>
        <w:t xml:space="preserve"> </w:t>
      </w:r>
      <w:r>
        <w:t xml:space="preserve">against</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 At the same rank, the matched-budget unsupervised control was not associated with survival (Table [tab:hr-adjusted]).</w:t>
      </w:r>
    </w:p>
    <w:p>
      <w:pPr>
        <w:pStyle w:val="BodyText"/>
      </w:pPr>
      <w:r>
        <w:t xml:space="preserve">We then asked whether comparable prognostic performance could be achieved without survival-supervised factorization. The two methods differ most in how their performance depends on rank (Supplementary Fig. [fig:fig-cindex-by-k]). DeSurv reached near-maximal cross-validated concordance at the lowest ranks examined, with little change as factors were added. The unsupervised limit (</w:t>
      </w:r>
      <m:oMath>
        <m:r>
          <m:t>α</m:t>
        </m:r>
        <m:r>
          <m:rPr>
            <m:sty m:val="p"/>
          </m:rPr>
          <m:t>=</m:t>
        </m:r>
        <m:r>
          <m:t>0</m:t>
        </m:r>
      </m:oMath>
      <w:r>
        <w:t xml:space="preserve">) started well below DeSurv and increased progressively with rank, approaching DeSurv only at higher-rank solutions. Unsupervised factorization therefore required many more factors to approach the same cross-validated prognostic information.</w:t>
      </w:r>
    </w:p>
    <w:p>
      <w:pPr>
        <w:pStyle w:val="BodyText"/>
      </w:pPr>
      <w:r>
        <w:t xml:space="preserve">The higher-rank solution also represented more established PDAC programs: coverage increased from 16 for DeSurv at</w:t>
      </w:r>
      <w:r>
        <w:t xml:space="preserve"> </w:t>
      </w:r>
      <m:oMath>
        <m:r>
          <m:t>k</m:t>
        </m:r>
        <m:r>
          <m:rPr>
            <m:sty m:val="p"/>
          </m:rPr>
          <m:t>=</m:t>
        </m:r>
        <m:r>
          <m:t>3</m:t>
        </m:r>
      </m:oMath>
      <w:r>
        <w:t xml:space="preserve"> </w:t>
      </w:r>
      <w:r>
        <w:t xml:space="preserve">to 32 for 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while reference-program multiplicity remained low (1.00 versus 1.125; Supplementary Figs. [fig:fig-nmf-k7-heatmap] and [fig:fig-rpm]). Higher rank therefore primarily broadened biological representation rather than repeatedly mapping factors to the same programs. Survival supervision is not required to recover prognostic signal, but DeSurv represented comparable prognostic information with fewer than half as many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factor;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Spearman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hazard ratios (per SD of the linear predictor) for DeSurv at</w:t>
      </w:r>
      <w:r>
        <w:rPr>
          <w:iCs/>
          <w:i/>
        </w:rPr>
        <w:t xml:space="preserve"> </w:t>
      </w:r>
      <m:oMath>
        <m:r>
          <m:t>k</m:t>
        </m:r>
        <m:r>
          <m:rPr>
            <m:sty m:val="p"/>
          </m:rPr>
          <m:t>=</m:t>
        </m:r>
        <m:r>
          <m:t>3</m:t>
        </m:r>
      </m:oMath>
      <w:r>
        <w:rPr>
          <w:iCs/>
          <w:i/>
        </w:rPr>
        <w:t xml:space="preserve">,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across five validation datasets spanning four independent patient cohorts (combined</w:t>
      </w:r>
      <w:r>
        <w:rPr>
          <w:iCs/>
          <w:i/>
        </w:rPr>
        <w:t xml:space="preserve"> </w:t>
      </w:r>
      <m:oMath>
        <m:r>
          <m:t>n</m:t>
        </m:r>
        <m:r>
          <m:rPr>
            <m:sty m:val="p"/>
          </m:rPr>
          <m:t>=</m:t>
        </m:r>
        <m:r>
          <m:t>570</m:t>
        </m:r>
      </m:oMath>
      <w:r>
        <w:rPr>
          <w:iCs/>
          <w:i/>
        </w:rPr>
        <w:t xml:space="preserve"> </w:t>
      </w:r>
      <w:r>
        <w:rPr>
          <w:iCs/>
          <w:i/>
        </w:rPr>
        <w:t xml:space="preserve">unique patients, 388 deaths). Adjusted models include the PurIST tumor-intrinsic and DeCAF stromal molecular classifiers as covariates, with stratification by dataset, and are restricted to the</w:t>
      </w:r>
      <w:r>
        <w:rPr>
          <w:iCs/>
          <w:i/>
        </w:rPr>
        <w:t xml:space="preserve"> </w:t>
      </w:r>
      <m:oMath>
        <m:r>
          <m:t>n</m:t>
        </m:r>
        <m:r>
          <m:rPr>
            <m:sty m:val="p"/>
          </m:rPr>
          <m:t>=</m:t>
        </m:r>
        <m:r>
          <m:t>570</m:t>
        </m:r>
      </m:oMath>
      <w:r>
        <w:rPr>
          <w:iCs/>
          <w:i/>
        </w:rPr>
        <w:t xml:space="preserve"> </w:t>
      </w:r>
      <w:r>
        <w:rPr>
          <w:iCs/>
          <w:i/>
        </w:rPr>
        <w:t xml:space="preserve">patients (388 deaths) with both classifier calls available. DeSurv and the rank-optimized control retain significant prognostic value after adjustment. Both unsupervised controls are the unsupervised limit of the same optimizer, run at</w:t>
      </w:r>
      <w:r>
        <w:rPr>
          <w:iCs/>
          <w:i/>
        </w:rPr>
        <w:t xml:space="preserve"> </w:t>
      </w:r>
      <m:oMath>
        <m:r>
          <m:t>α</m:t>
        </m:r>
        <m:r>
          <m:rPr>
            <m:sty m:val="p"/>
          </m:rPr>
          <m:t>=</m:t>
        </m:r>
        <m:r>
          <m:t>0</m:t>
        </m:r>
      </m:oMath>
      <w:r>
        <w:rPr>
          <w:iCs/>
          <w:i/>
        </w:rPr>
        <w:t xml:space="preserve"> </w:t>
      </w:r>
      <w:r>
        <w:rPr>
          <w:iCs/>
          <w:i/>
        </w:rPr>
        <w:t xml:space="preserve">with the same consensus-initialization procedure and Bayesian-optimization budget given to the supervised model: the rank-optimized control at its own BO-selected rank and the matched-budget control held at DeSurv’s rank, the latter serving as the tuning-budget control for the representational comparison in Fig. [fig:pdac]. The matched-rank comparator used for the factor-structure panels of Fig. [fig:pdac] is standard NMF (Lee multiplicative NMF, the field-standard implementation) (Supplementary Table [tab:tab-cindex-comparison]).</w:t>
      </w:r>
    </w:p>
    <w:p>
      <w:pPr>
        <w:pStyle w:val="BodyText"/>
      </w:pPr>
      <w:r>
        <w:t xml:space="preserve">The programs above were learned in treatment-naive, non-metastatic disease. Projected without retraining into the O’Kane/COMPASS cohort of treated metastatic disease, the survival-aligned D1 program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proCAF-like D2 program increased from pre- to post-treatment biopsies (paired Wilcoxon</w:t>
      </w:r>
      <w:r>
        <w:t xml:space="preserve"> </w:t>
      </w:r>
      <m:oMath>
        <m:r>
          <m:t>P</m:t>
        </m:r>
        <m:r>
          <m:rPr>
            <m:sty m:val="p"/>
          </m:rPr>
          <m:t>=</m:t>
        </m:r>
        <m:r>
          <m:t>0.013</m:t>
        </m:r>
      </m:oMath>
      <w:r>
        <w:t xml:space="preserve">, mean change +0.34 SD;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independently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Error bars denote 95% confidence intervals. Because treatment, stage and cohort were not independently varied, these analyses establish prognostic and biological transportability rather than treatment-predictive effects.</w:t>
      </w:r>
    </w:p>
    <w:bookmarkEnd w:id="34"/>
    <w:bookmarkStart w:id="35" w:name="Xc85d0fb284a89b89cca4758c3d7e32a56f748e1"/>
    <w:p>
      <w:pPr>
        <w:pStyle w:val="Heading2"/>
      </w:pPr>
      <w:r>
        <w:t xml:space="preserve">The survival-aligned structure is not method-specific and is complementary to established PDAC classifiers</w:t>
      </w:r>
    </w:p>
    <w:p>
      <w:pPr>
        <w:pStyle w:val="FirstParagraph"/>
      </w:pPr>
      <w:r>
        <w:t xml:space="preserve">We next asked whether the dominant D1 direction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indicating substantial alignment with known tumor-intrinsic and stromal subtypes but incomplete overlap. D1 remained associated with survival after simultaneous adjustment for both classifiers (HR per SD</w:t>
      </w:r>
      <w:r>
        <w:t xml:space="preserve"> </w:t>
      </w:r>
      <m:oMath>
        <m:r>
          <m:rPr>
            <m:sty m:val="p"/>
          </m:rPr>
          <m:t>=</m:t>
        </m:r>
        <m:r>
          <m:t>0.82</m:t>
        </m:r>
      </m:oMath>
      <w:r>
        <w:t xml:space="preserve">,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with additive PurIST and DeCAF terms improved fit beyond those terms (partial likelihood-ratio</w:t>
      </w:r>
      <w:r>
        <w:t xml:space="preserve"> </w:t>
      </w:r>
      <m:oMath>
        <m:sSup>
          <m:e>
            <m:r>
              <m:t>χ</m:t>
            </m:r>
          </m:e>
          <m:sup>
            <m:r>
              <m:t>2</m:t>
            </m:r>
          </m:sup>
        </m:sSup>
        <m:r>
          <m:rPr>
            <m:sty m:val="p"/>
          </m:rPr>
          <m:t>=</m:t>
        </m:r>
        <m:r>
          <m:t>10.1</m:t>
        </m:r>
      </m:oMath>
      <w:r>
        <w:t xml:space="preserve"> </w:t>
      </w:r>
      <w:r>
        <w:t xml:space="preserve">on 1 df,</w:t>
      </w:r>
      <w:r>
        <w:t xml:space="preserve"> </w:t>
      </w:r>
      <m:oMath>
        <m:r>
          <m:t>P</m:t>
        </m:r>
        <m:r>
          <m:rPr>
            <m:sty m:val="p"/>
          </m:rPr>
          <m:t>=</m:t>
        </m:r>
        <m:r>
          <m:t>0.0015</m:t>
        </m:r>
      </m:oMath>
      <w:r>
        <w:t xml:space="preserve">) and concordance from 0.592 to 0.622. In Puleo, the largest validation cohort, the DeSurv linear predictor remained prognostic after adjustment for standard clinical covariates (HR per SD</w:t>
      </w:r>
      <w:r>
        <w:t xml:space="preserve"> </w:t>
      </w:r>
      <m:oMath>
        <m:r>
          <m:rPr>
            <m:sty m:val="p"/>
          </m:rPr>
          <m:t>=</m:t>
        </m:r>
        <m:r>
          <m:t>1.33</m:t>
        </m:r>
      </m:oMath>
      <w:r>
        <w:t xml:space="preserve">, 95% CI</w:t>
      </w:r>
      <w:r>
        <w:t xml:space="preserve"> </w:t>
      </w:r>
      <m:oMath>
        <m:r>
          <m:t>1.14</m:t>
        </m:r>
      </m:oMath>
      <w:r>
        <w:t xml:space="preserve">–</w:t>
      </w:r>
      <m:oMath>
        <m:r>
          <m:t>1.55</m:t>
        </m:r>
      </m:oMath>
      <w:r>
        <w:t xml:space="preserve">; Supplementary Table [tab:clinical-adjustment]).</w:t>
      </w:r>
    </w:p>
    <w:p>
      <w:pPr>
        <w:pStyle w:val="BodyText"/>
      </w:pPr>
      <w:r>
        <w:t xml:space="preserve">Because D1 spans tumor and stromal programs, we asked whether it tracks tumor purity. Where purity was measured on a full cohort the association was essentially unchanged (PACA-AU array, 1.44 unadjusted versus 1.45 adjusted; RNA-seq, 1.66 versus 1.65), providing no evidence that the association was explained by measured tumor purity (Supplementary Table [tab:clinical-adjustment]).</w:t>
      </w:r>
    </w:p>
    <w:p>
      <w:pPr>
        <w:pStyle w:val="BodyText"/>
      </w:pPr>
      <w:r>
        <w:t xml:space="preserve">The survival-aligned representation overlaps established tumor and stromal classifications while retaining prognostic information beyond them. The classifier analyses provide two complementary results. DeCAF classification alone explained 19% of the variance in D1, supporting alignment with DeCAF-defined stromal variation, whereas D1 remained prognostic after simultaneous adjustment for PurIST and DeCAF, retaining prognostic information beyond those binary classifications. Neither result establishes restCAF identity at the cellular level, which this bulk-expression analysis does not resolve (Supplementary Information, Stromal resolution: which reference programs are recovered from bulk).</w:t>
      </w:r>
    </w:p>
    <w:p>
      <w:pPr>
        <w:pStyle w:val="BodyText"/>
      </w:pPr>
      <w:r>
        <w:t xml:space="preserve">The dominant D1 direction was also not specific to the DeSurv optimizer. When fit as single-component models, three independent survival-supervised approaches (supervised principal components, Cox partial least squares and sparse Cox) recovered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higher-variance D2/D3 structure (Supplementary Information, The D1 axis is not specific to DeSurv). Thus, D1 reflects a survival-associated expression direction shared across supervised approaches rather than an idiosyncrasy of DeSurv.</w:t>
      </w:r>
    </w:p>
    <w:p>
      <w:pPr>
        <w:pStyle w:val="BodyText"/>
      </w:pPr>
      <w:r>
        <w:t xml:space="preserve">We then asked what DeSurv’s factorized representation adds beyond recovery of the shared D1 direction. Independently tuned supervised principal components and penalized Cox achieved pooled external concordance comparable to DeSurv (C-index</w:t>
      </w:r>
      <w:r>
        <w:t xml:space="preserve"> </w:t>
      </w:r>
      <m:oMath>
        <m:r>
          <m:t>0.60</m:t>
        </m:r>
      </m:oMath>
      <w:r>
        <w:t xml:space="preserve">,</w:t>
      </w:r>
      <w:r>
        <w:t xml:space="preserve"> </w:t>
      </w:r>
      <m:oMath>
        <m:r>
          <m:t>0.60</m:t>
        </m:r>
      </m:oMath>
      <w:r>
        <w:t xml:space="preserve"> </w:t>
      </w:r>
      <w:r>
        <w:t xml:space="preserve">and</w:t>
      </w:r>
      <w:r>
        <w:t xml:space="preserve"> </w:t>
      </w:r>
      <m:oMath>
        <m:r>
          <m:t>0.61</m:t>
        </m:r>
      </m:oMath>
      <w:r>
        <w:t xml:space="preserve">, respectively) and captured the dominant D1-associated prognostic direction. Their selected genes, however, were consistently enriched for basal-like tumor programs but not proCAF, restCAF, immune or exocrine programs. Their risk scores were weakly correlated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Although these scores retained modest stromal signal, they did not resolve it as a distinct stromal program (Supplementary Information). DeSurv instead places that direction within a fixed set of tumor and stromal programs that can be measured and interpreted separately, and applied unchanged to new cohorts.</w:t>
      </w:r>
    </w:p>
    <w:bookmarkEnd w:id="35"/>
    <w:bookmarkStart w:id="39" w:name="Xe08489e8434747977d39de78e7d94357dd982f4"/>
    <w:p>
      <w:pPr>
        <w:pStyle w:val="Heading2"/>
      </w:pPr>
      <w:r>
        <w:t xml:space="preserve">DeSurv recovers prognostic gene programs when variance and prognosis diverge</w:t>
      </w:r>
    </w:p>
    <w:p>
      <w:pPr>
        <w:pStyle w:val="FirstParagraph"/>
      </w:pPr>
      <w:r>
        <w:t xml:space="preserve">We used simulations with known latent structure to characterize when survival supervision alters program recovery. In the primary scenario, the factor-specific genes driving survival contributed less transcriptomic variation than the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DeSurv and unsupervised NMF (</w:t>
      </w:r>
      <m:oMath>
        <m:r>
          <m:t>α</m:t>
        </m:r>
        <m:r>
          <m:rPr>
            <m:sty m:val="p"/>
          </m:rPr>
          <m:t>=</m:t>
        </m:r>
        <m:r>
          <m:t>0</m:t>
        </m:r>
      </m:oMath>
      <w:r>
        <w:t xml:space="preserve">, the unsupervised limit of the same pipeline) were tuned using the same cross-validation procedure, isolating the effect of survival supervision during factorization.</w:t>
      </w:r>
    </w:p>
    <w:p>
      <w:pPr>
        <w:pStyle w:val="BodyText"/>
      </w:pPr>
      <w:r>
        <w:t xml:space="preserve">Under this setting, DeSurv more accurately recovered the genes defining the true prognostic program, whereas unsupervised NMF largely followed variance-dominant structure (Fig. [fig:sim]a–b). Across 100 replicates, median test-set C-index was</w:t>
      </w:r>
      <w:r>
        <w:t xml:space="preserve"> </w:t>
      </w:r>
      <m:oMath>
        <m:r>
          <m:t>0.837</m:t>
        </m:r>
      </m:oMath>
      <w:r>
        <w:t xml:space="preserve"> </w:t>
      </w:r>
      <w:r>
        <w:t xml:space="preserve">for DeSurv versus</w:t>
      </w:r>
      <w:r>
        <w:t xml:space="preserve"> </w:t>
      </w:r>
      <m:oMath>
        <m:r>
          <m:t>0.724</m:t>
        </m:r>
      </m:oMath>
      <w:r>
        <w:t xml:space="preserve"> </w:t>
      </w:r>
      <w:r>
        <w:t xml:space="preserve">for unsupervised NMF (</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The advantage depended on the relationship between transcriptomic variance and prognosis. It attenuated when prognostic and variance-dominant structure partially overlapped and disappeared under the null, where neither method identified prognostic signal (Supplementary Fig. [fig:fig-sim-null-mixed]). In the mixed setting, the advantage remained strongest for recovery of the factor-specific marker genes rather than shared background survival genes,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variance and prognosis diverge.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These scenarios are constructed to isolate the regime in which the prognostic program carries low transcriptomic variance relative to the shared outcome-neutral background, and therefore quantify recovery under that construction;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scored unchanged in new cohorts. In PDAC, this identified a dominant survival-aligned program, D1, characterized by covariation of classical tumor and restCAF-like stromal programs, alongside separately resolved proCAF-like stromal and basal-like tumor programs. D1 was recovered de novo without subtype labels and remained prognostic after adjustment for the established PurIST and DeCAF classifications, so it is not reducible to them. Its classical tumor identity was supported by GATA6 RNA in situ hybridization. The trained programs then transferred without refitting across five external validation datasets spanning four independent patient cohorts. DeSurv’s contribution was to place this replicable prognostic direction within a tumor–stroma architecture whose components can be examined separately. The advance is in how clinically relevant programs are discovered, not in how well they predict.</w:t>
      </w:r>
    </w:p>
    <w:p>
      <w:pPr>
        <w:pStyle w:val="BodyText"/>
      </w:pPr>
      <w:r>
        <w:t xml:space="preserve">The representational difference persisted at matched rank and tuning effort: the matched-budget unsupervised control, given DeSurv’s rank, optimizer, tuning budget and consensus initialization, did not recover D1, whereas the rank-optimized unsupervised control and conventional supervised predictors recovered comparable prognostic information in different representations. The former spanned a broader set of established programs across seven factors; the latter resolved a tumor-intrinsic axis without separately resolving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Because survival acts directly on the gene-program matrix</w:t>
      </w:r>
      <w:r>
        <w:t xml:space="preserve"> </w:t>
      </w:r>
      <m:oMath>
        <m:r>
          <m:t>W</m:t>
        </m:r>
      </m:oMath>
      <w:r>
        <w:t xml:space="preserve"> </w:t>
      </w:r>
      <w:r>
        <w:t xml:space="preserve">while the reconstruction objective requires those programs to continue representing the observed transcriptome, and because the gene weights are fixed once learned, DeSurv does not eliminate the need for external validation but makes it a direct test of programs already shaped by survival information and scored in new cohorts without re-estimating the factorization. Empirically, supervision selectively reorganized rather than replaced the reconstruction-driven representation: it retained the tumor and stromal structure carried by D3 and D2 while introducing a D1 program poorly reconstructable from the matched-rank NMF factors. The related CoxNMF and SurvNMF formulations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also integrate outcome information into factorization but place the survival term on the sample-side latent representation. Scoring a new cohort therefore requires sample-side loadings: SurvNMF re-estimates them by constrained least squares, whereas CoxNMF does not describe a scoring procedure (Supplementary Table [tab:architecture]).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w:t>
      </w:r>
    </w:p>
    <w:p>
      <w:pPr>
        <w:pStyle w:val="BodyText"/>
      </w:pPr>
      <w:r>
        <w:t xml:space="preserve">Biologically, D1 represents the dominant survival-aligned program within the broader tumor–stroma architecture rather than the architecture itself. It captures coordinated cross-patient variation in classical tumor and restCAF-like stromal features. The additional D2 and D3 programs provide separately measurable stromal and tumor context around this direction, rather than necessarily representing independent components of the fitted risk score. This architecture is consistent with broader evidence for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is an additional source of uncertainty in unsupervised decomposition. In the PDAC training data, commonly used NMF criteria gave conflicting rank choices, and increasing rank progressively extended correspondence to additional established signatures across more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that non-uniqueness, and single DeSurv runs from different random starts recover appreciably different gene sets. What makes the reported decomposition a stable object is the consensus step, and independently seeded applications of the full procedure closely reproduce the reported decomposition (Supplementary Information, Stability of the recovered gene programs). Survival supervision instead provides an outcome-informed criterion for selecting among representations that may be similarly adequate under reconstruction alone.</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Accurate program recovery matters beyond discrimination because the genes assigned to a program determine downstream pathway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from external cell-state references; DeSurv instead learns survival-informed latent programs directly from bulk expression and does not assign them a priori to cellular compartments.</w:t>
      </w:r>
    </w:p>
    <w:p>
      <w:pPr>
        <w:pStyle w:val="BodyText"/>
      </w:pPr>
      <w:r>
        <w:t xml:space="preserve">Several limitations define the scope of these findings. DeSurv currently uses a proportional-hazards survival objective and was evaluated here only in PDAC. The survival objective could be extended to accommodate non-proportional hazards or nonlinear survival relationships. More importantly, the DeSurv formulation is not PDAC-specific, but whether its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was retained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purity-adjustment, DeCAF-adjustment, cross-method recovery and GATA6 analyses above support D1 as a robust survival-associated bulk transcriptional program and independently support its classical tumor component, but they do not establish the cellular identity of its stromal component. Mapping these bulk programs onto specific cellular states is not a matter of projecting the same gene weights into single-cell or spatial data. Many program-defining genes are sparsely detected at single-cell resolution, so per-cell projection scores partly reflect detection depth rather than program activity, and spot-based spatial measurements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These results separate prognostic representation from prognostic discrimination. In PDAC, incorporating survival during factorization recovered a three-program tumor–stroma architecture that replicated across independent cohorts while retaining biological components that could be interrogated separately. More generally, DeSurv provides a framework for asking not only whether transcriptomic data predict outcome, but which decomposed biological programs are recovered when outcome information is incorporated into their discovery.</w:t>
      </w:r>
    </w:p>
    <w:bookmarkEnd w:id="41"/>
    <w:bookmarkStart w:id="50"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and the</w:t>
      </w:r>
      <w:r>
        <w:t xml:space="preserve"> </w:t>
      </w:r>
      <m:oMath>
        <m:r>
          <m:t>W</m:t>
        </m:r>
      </m:oMath>
      <w:r>
        <w:t xml:space="preserve"> </w:t>
      </w:r>
      <w:r>
        <w:t xml:space="preserve">update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w:t>
      </w:r>
      <w:r>
        <w:t xml:space="preserve"> </w:t>
      </w:r>
      <m:oMath>
        <m:r>
          <m:t>β</m:t>
        </m:r>
      </m:oMath>
      <w:r>
        <w:t xml:space="preserve"> </w:t>
      </w:r>
      <w:r>
        <w:t xml:space="preserve">is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is used only for scoring and cross-validation; it does not affect the factorization. Across the pipeline,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 For stability, we used a consensus-based initialization for the final model, aggregating multiple DeSurv runs into a gene-gene co-occurrence matrix and constructing an initialization</w:t>
      </w:r>
      <w:r>
        <w:t xml:space="preserve"> </w:t>
      </w:r>
      <m:oMath>
        <m:sSub>
          <m:e>
            <m:r>
              <m:t>W</m:t>
            </m:r>
          </m:e>
          <m:sub>
            <m:r>
              <m:t>0</m:t>
            </m:r>
          </m:sub>
        </m:sSub>
      </m:oMath>
      <w:r>
        <w:t xml:space="preserve"> </w:t>
      </w:r>
      <w:r>
        <w:t xml:space="preserve">from the resulting clusters (Supplementary Information, Consensus initialization for the final model). Before projection, the gene support was restricted to the union across factors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 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 In PDAC, BO selected</w:t>
      </w:r>
      <w:r>
        <w:t xml:space="preserve"> </w:t>
      </w:r>
      <m:oMath>
        <m:sSub>
          <m:e>
            <m:r>
              <m:t>n</m:t>
            </m:r>
          </m:e>
          <m:sub>
            <m:r>
              <m:rPr>
                <m:nor/>
                <m:sty m:val="p"/>
              </m:rPr>
              <m:t>top</m:t>
            </m:r>
          </m:sub>
        </m:sSub>
        <m:r>
          <m:rPr>
            <m:sty m:val="p"/>
          </m:rPr>
          <m:t>=</m:t>
        </m:r>
        <m:r>
          <m:t>270</m:t>
        </m:r>
      </m:oMath>
      <w:r>
        <w:t xml:space="preserve"> </w:t>
      </w:r>
      <w:r>
        <w:t xml:space="preserve">top 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hazard ratios and log-rank statistics.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and log-rank statistics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analysed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the field-standard implementation,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while holding rank, optimization procedure, tuning budget, gene filtering and cross-validation folds fixed.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w:t>
      </w:r>
      <w:r>
        <w:t xml:space="preserve"> </w:t>
      </w:r>
      <m:oMath>
        <m:r>
          <m:t>α</m:t>
        </m:r>
        <m:r>
          <m:rPr>
            <m:sty m:val="p"/>
          </m:rPr>
          <m:t>=</m:t>
        </m:r>
        <m:r>
          <m:t>1</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it was for the unsupervised arm, so the comparison with them concerns what each representation resolves, not tuned predictive performance. Correspondence between each supervised risk score and the DeSurv programs D1–D3 was quantified in the training cohort using absolute Spearman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G</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scenario,</w:t>
      </w:r>
      <w:r>
        <w:t xml:space="preserve"> </w:t>
      </w:r>
      <m:oMath>
        <m:r>
          <m:t>β</m:t>
        </m:r>
        <m:r>
          <m:rPr>
            <m:sty m:val="p"/>
          </m:rPr>
          <m:t>=</m:t>
        </m:r>
        <m:r>
          <m:t>0</m:t>
        </m:r>
      </m:oMath>
      <w:r>
        <w:t xml:space="preserve"> </w:t>
      </w:r>
      <w:r>
        <w:t xml:space="preserve">in the null scenario, and</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mixed scenario where survival risk was driven by 300 genes comprising the 150 factor-1 markers and 150 randomly sampled background genes, creating partial overlap between the prognostic signal and variance-dominant outcome-neutral programs.</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p>
          <m:e>
            <m:r>
              <m:t>X</m:t>
            </m:r>
          </m:e>
          <m:sup>
            <m:r>
              <m:rPr>
                <m:sty m:val="p"/>
              </m:rPr>
              <m:t>⊤</m:t>
            </m:r>
          </m:sup>
        </m:sSup>
        <m:sSub>
          <m:e>
            <m:r>
              <m:t>W</m:t>
            </m:r>
          </m:e>
          <m:sub>
            <m:r>
              <m:rPr>
                <m:nor/>
                <m:sty m:val="p"/>
              </m:rPr>
              <m:t>true</m:t>
            </m:r>
          </m:sub>
        </m:sSub>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repeated simulation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We report the average across survival-driving factors.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p>
      <w:pPr>
        <w:pStyle w:val="BodyText"/>
      </w:pPr>
      <w:r>
        <w:t xml:space="preserve">We considered three simulation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by mean expression and variance, and the 3,000 genes with the smallest sum of the mean-expression and variance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 data-loading filter applied to the analytic training cohort; grade is not used by the model),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projected D1 score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8"/>
    <w:bookmarkStart w:id="49"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49"/>
    <w:bookmarkEnd w:id="50"/>
    <w:bookmarkStart w:id="51"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and are de-identified; no Institutional Review Board (IRB) approval was required for their analysis.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1"/>
    <w:bookmarkStart w:id="54"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hyperlink w:anchor="ref-gaujoux2010flexible">
        <w:r>
          <w:rPr>
            <w:rStyle w:val="Hyperlink"/>
            <w:vertAlign w:val="superscript"/>
          </w:rPr>
          <w:t xml:space="preserve">42</w:t>
        </w:r>
      </w:hyperlink>
      <w:r>
        <w:t xml:space="preserve">,</w:t>
      </w:r>
      <w:r>
        <w:t xml:space="preserve"> </w:t>
      </w:r>
      <w:r>
        <w:rPr>
          <w:rStyle w:val="VerbatimChar"/>
        </w:rPr>
        <w:t xml:space="preserve">glmnet</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w:t>
      </w:r>
      <w:r>
        <w:t xml:space="preserve"> </w:t>
      </w:r>
      <w:r>
        <w:rPr>
          <w:rStyle w:val="VerbatimChar"/>
        </w:rPr>
        <w:t xml:space="preserve">ggplot2</w:t>
      </w:r>
      <w:r>
        <w:t xml:space="preserve">, and</w:t>
      </w:r>
      <w:r>
        <w:t xml:space="preserve"> </w:t>
      </w:r>
      <w:r>
        <w:rPr>
          <w:rStyle w:val="VerbatimChar"/>
        </w:rPr>
        <w:t xml:space="preserve">cowplot</w:t>
      </w:r>
      <w:r>
        <w:t xml:space="preserve">; Bayesian optimization for hyperparameter selection was implemented within DeSurv. The DeSurv R package is available at</w:t>
      </w:r>
      <w:r>
        <w:t xml:space="preserve"> </w:t>
      </w:r>
      <w:hyperlink r:id="rId52">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3">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4"/>
    <w:bookmarkStart w:id="55"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p>
      <w:pPr>
        <w:pStyle w:val="BodyText"/>
      </w:pPr>
      <w:r>
        <w:rPr>
          <w:bCs/>
          <w:b/>
        </w:rPr>
        <w:t xml:space="preserve">Inclusion and Diversity.</w:t>
      </w:r>
      <w:r>
        <w:t xml:space="preserve"> </w:t>
      </w:r>
      <w:r>
        <w:t xml:space="preserve">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6"/>
    <w:bookmarkStart w:id="57"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included as fixed covariate annotations, and the adjustment analyses using these calls are objective and reproducible from the deposited code. They are not components of DeSurv. The other authors declare no competing interests.</w:t>
      </w:r>
    </w:p>
    <w:bookmarkEnd w:id="57"/>
    <w:bookmarkStart w:id="150" w:name="references"/>
    <w:p>
      <w:pPr>
        <w:pStyle w:val="Heading1"/>
      </w:pPr>
      <w:r>
        <w:t xml:space="preserve">References</w:t>
      </w:r>
    </w:p>
    <w:bookmarkStart w:id="149" w:name="refs"/>
    <w:bookmarkStart w:id="59" w:name="ref-siegel2026cancer"/>
    <w:p>
      <w:pPr>
        <w:pStyle w:val="Bibliography"/>
      </w:pPr>
      <w:r>
        <w:t xml:space="preserve">1.</w:t>
      </w:r>
      <w:r>
        <w:t xml:space="preserve"> </w:t>
      </w:r>
      <w:r>
        <w:t xml:space="preserve">	</w:t>
      </w:r>
      <w:r>
        <w:t xml:space="preserve">Siegel, R. L., Kratzer, T. B., Wagle, N. S., Sung, H. &amp; Jemal, A. Cancer statistics, 2026.</w:t>
      </w:r>
      <w:r>
        <w:t xml:space="preserve"> </w:t>
      </w:r>
      <w:r>
        <w:rPr>
          <w:iCs/>
          <w:i/>
        </w:rPr>
        <w:t xml:space="preserve">CA: A Cancer Journal for Clinicians</w:t>
      </w:r>
      <w:r>
        <w:t xml:space="preserve"> </w:t>
      </w:r>
      <w:hyperlink r:id="rId58">
        <w:r>
          <w:rPr>
            <w:rStyle w:val="Hyperlink"/>
          </w:rPr>
          <w:t xml:space="preserve">https://doi.org/10.3322/caac.70043</w:t>
        </w:r>
      </w:hyperlink>
      <w:r>
        <w:t xml:space="preserve"> </w:t>
      </w:r>
      <w:r>
        <w:t xml:space="preserve">(2026) doi:</w:t>
      </w:r>
      <w:hyperlink r:id="rId58">
        <w:r>
          <w:rPr>
            <w:rStyle w:val="Hyperlink"/>
          </w:rPr>
          <w:t xml:space="preserve">10.3322/caac.70043</w:t>
        </w:r>
      </w:hyperlink>
      <w:r>
        <w:t xml:space="preserve">.</w:t>
      </w:r>
    </w:p>
    <w:bookmarkEnd w:id="59"/>
    <w:bookmarkStart w:id="61"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0">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1"/>
    <w:bookmarkStart w:id="63"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2">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3"/>
    <w:bookmarkStart w:id="65"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4">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5"/>
    <w:bookmarkStart w:id="67"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6">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7"/>
    <w:bookmarkStart w:id="69"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8">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69"/>
    <w:bookmarkStart w:id="71"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0">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1"/>
    <w:bookmarkStart w:id="73"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2">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3"/>
    <w:bookmarkStart w:id="75"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4">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5"/>
    <w:bookmarkStart w:id="77"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6">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7"/>
    <w:bookmarkStart w:id="79" w:name="ref-nguyen2024fourteen"/>
    <w:p>
      <w:pPr>
        <w:pStyle w:val="Bibliography"/>
      </w:pPr>
      <w:r>
        <w:t xml:space="preserve">11.</w:t>
      </w:r>
      <w:r>
        <w:t xml:space="preserve"> </w:t>
      </w:r>
      <w:r>
        <w:t xml:space="preserve">	</w:t>
      </w:r>
      <w:r>
        <w:t xml:space="preserve">Nguyen, H., Nguyen, H., Tran, D., Draghici, S. &amp; Nguyen, T.</w:t>
      </w:r>
      <w:r>
        <w:t xml:space="preserve"> </w:t>
      </w:r>
      <w:hyperlink r:id="rId78">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79"/>
    <w:bookmarkStart w:id="81" w:name="ref-lee1999learning"/>
    <w:p>
      <w:pPr>
        <w:pStyle w:val="Bibliography"/>
      </w:pPr>
      <w:r>
        <w:t xml:space="preserve">12.</w:t>
      </w:r>
      <w:r>
        <w:t xml:space="preserve"> </w:t>
      </w:r>
      <w:r>
        <w:t xml:space="preserve">	</w:t>
      </w:r>
      <w:r>
        <w:t xml:space="preserve">Lee, D. D. &amp; Seung, H. S.</w:t>
      </w:r>
      <w:r>
        <w:t xml:space="preserve"> </w:t>
      </w:r>
      <w:hyperlink r:id="rId80">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1"/>
    <w:bookmarkStart w:id="83" w:name="ref-brunet2004metagenes"/>
    <w:p>
      <w:pPr>
        <w:pStyle w:val="Bibliography"/>
      </w:pPr>
      <w:r>
        <w:t xml:space="preserve">13.</w:t>
      </w:r>
      <w:r>
        <w:t xml:space="preserve"> </w:t>
      </w:r>
      <w:r>
        <w:t xml:space="preserve">	</w:t>
      </w:r>
      <w:r>
        <w:t xml:space="preserve">Brunet, J.-P., Tamayo, P., Golub, T. R. &amp; Mesirov, J. P.</w:t>
      </w:r>
      <w:r>
        <w:t xml:space="preserve"> </w:t>
      </w:r>
      <w:hyperlink r:id="rId82">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3"/>
    <w:bookmarkStart w:id="85" w:name="ref-peng2019novo"/>
    <w:p>
      <w:pPr>
        <w:pStyle w:val="Bibliography"/>
      </w:pPr>
      <w:r>
        <w:t xml:space="preserve">14.</w:t>
      </w:r>
      <w:r>
        <w:t xml:space="preserve"> </w:t>
      </w:r>
      <w:r>
        <w:t xml:space="preserve">	</w:t>
      </w:r>
      <w:r>
        <w:t xml:space="preserve">Peng, X. L., Moffitt, R. A., Torphy, R. J., Volmar, K. E. &amp; Yeh, J. J.</w:t>
      </w:r>
      <w:r>
        <w:t xml:space="preserve"> </w:t>
      </w:r>
      <w:hyperlink r:id="rId84">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5"/>
    <w:bookmarkStart w:id="87" w:name="ref-bair2004semi"/>
    <w:p>
      <w:pPr>
        <w:pStyle w:val="Bibliography"/>
      </w:pPr>
      <w:r>
        <w:t xml:space="preserve">15.</w:t>
      </w:r>
      <w:r>
        <w:t xml:space="preserve"> </w:t>
      </w:r>
      <w:r>
        <w:t xml:space="preserve">	</w:t>
      </w:r>
      <w:r>
        <w:t xml:space="preserve">Bair, E. &amp; Tibshirani, R.</w:t>
      </w:r>
      <w:r>
        <w:t xml:space="preserve"> </w:t>
      </w:r>
      <w:hyperlink r:id="rId86">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7"/>
    <w:bookmarkStart w:id="89" w:name="ref-cook2007fisher"/>
    <w:p>
      <w:pPr>
        <w:pStyle w:val="Bibliography"/>
      </w:pPr>
      <w:r>
        <w:t xml:space="preserve">16.</w:t>
      </w:r>
      <w:r>
        <w:t xml:space="preserve"> </w:t>
      </w:r>
      <w:r>
        <w:t xml:space="preserve">	</w:t>
      </w:r>
      <w:r>
        <w:t xml:space="preserve">Cook, R. D.</w:t>
      </w:r>
      <w:r>
        <w:t xml:space="preserve"> </w:t>
      </w:r>
      <w:hyperlink r:id="rId88">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89"/>
    <w:bookmarkStart w:id="91"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0">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1"/>
    <w:bookmarkStart w:id="93" w:name="ref-aran2015systematic"/>
    <w:p>
      <w:pPr>
        <w:pStyle w:val="Bibliography"/>
      </w:pPr>
      <w:r>
        <w:t xml:space="preserve">18.</w:t>
      </w:r>
      <w:r>
        <w:t xml:space="preserve"> </w:t>
      </w:r>
      <w:r>
        <w:t xml:space="preserve">	</w:t>
      </w:r>
      <w:r>
        <w:t xml:space="preserve">Aran, D., Sirota, M. &amp; Butte, A. J.</w:t>
      </w:r>
      <w:r>
        <w:t xml:space="preserve"> </w:t>
      </w:r>
      <w:hyperlink r:id="rId92">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3"/>
    <w:bookmarkStart w:id="94"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4"/>
    <w:bookmarkStart w:id="96"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5">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6"/>
    <w:bookmarkStart w:id="97"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7"/>
    <w:bookmarkStart w:id="99"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8">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99"/>
    <w:bookmarkStart w:id="101"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0">
        <w:r>
          <w:rPr>
            <w:rStyle w:val="Hyperlink"/>
          </w:rPr>
          <w:t xml:space="preserve">Regularization paths for cox’s 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1"/>
    <w:bookmarkStart w:id="103"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2">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3"/>
    <w:bookmarkStart w:id="105"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4">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5"/>
    <w:bookmarkStart w:id="107" w:name="ref-snoek2012practical"/>
    <w:p>
      <w:pPr>
        <w:pStyle w:val="Bibliography"/>
      </w:pPr>
      <w:r>
        <w:t xml:space="preserve">26.</w:t>
      </w:r>
      <w:r>
        <w:t xml:space="preserve"> </w:t>
      </w:r>
      <w:r>
        <w:t xml:space="preserve">	</w:t>
      </w:r>
      <w:r>
        <w:t xml:space="preserve">Snoek, J., Larochelle, H. &amp; Adams, R. P.</w:t>
      </w:r>
      <w:r>
        <w:t xml:space="preserve"> </w:t>
      </w:r>
      <w:hyperlink r:id="rId106">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7"/>
    <w:bookmarkStart w:id="109"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8">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09"/>
    <w:bookmarkStart w:id="111" w:name="ref-frigyesi2008nmf"/>
    <w:p>
      <w:pPr>
        <w:pStyle w:val="Bibliography"/>
      </w:pPr>
      <w:r>
        <w:t xml:space="preserve">28.</w:t>
      </w:r>
      <w:r>
        <w:t xml:space="preserve"> </w:t>
      </w:r>
      <w:r>
        <w:t xml:space="preserve">	</w:t>
      </w:r>
      <w:r>
        <w:t xml:space="preserve">Frigyesi, A. &amp; Höglund, M.</w:t>
      </w:r>
      <w:r>
        <w:t xml:space="preserve"> </w:t>
      </w:r>
      <w:hyperlink r:id="rId110">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1"/>
    <w:bookmarkStart w:id="113"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2">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3"/>
    <w:bookmarkStart w:id="115"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4">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5"/>
    <w:bookmarkStart w:id="116"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6"/>
    <w:bookmarkStart w:id="117"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7"/>
    <w:bookmarkStart w:id="118"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8"/>
    <w:bookmarkStart w:id="120" w:name="ref-zaccaria2023surviae"/>
    <w:p>
      <w:pPr>
        <w:pStyle w:val="Bibliography"/>
      </w:pPr>
      <w:r>
        <w:t xml:space="preserve">34.</w:t>
      </w:r>
      <w:r>
        <w:t xml:space="preserve"> </w:t>
      </w:r>
      <w:r>
        <w:t xml:space="preserve">	</w:t>
      </w:r>
      <w:r>
        <w:t xml:space="preserve">Zaccaria, G. M., Altini, N., Mezzolla, G.,</w:t>
      </w:r>
      <w:r>
        <w:t xml:space="preserve"> </w:t>
      </w:r>
      <w:r>
        <w:rPr>
          <w:iCs/>
          <w:i/>
        </w:rPr>
        <w:t xml:space="preserve">et al.</w:t>
      </w:r>
      <w:r>
        <w:t xml:space="preserve"> </w:t>
      </w:r>
      <w:hyperlink r:id="rId119">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0"/>
    <w:bookmarkStart w:id="122" w:name="ref-meng2022savae"/>
    <w:p>
      <w:pPr>
        <w:pStyle w:val="Bibliography"/>
      </w:pPr>
      <w:r>
        <w:t xml:space="preserve">35.</w:t>
      </w:r>
      <w:r>
        <w:t xml:space="preserve"> </w:t>
      </w:r>
      <w:r>
        <w:t xml:space="preserve">	</w:t>
      </w:r>
      <w:r>
        <w:t xml:space="preserve">Meng, X., Wang, X., Zhang, X.,</w:t>
      </w:r>
      <w:r>
        <w:t xml:space="preserve"> </w:t>
      </w:r>
      <w:r>
        <w:rPr>
          <w:iCs/>
          <w:i/>
        </w:rPr>
        <w:t xml:space="preserve">et al.</w:t>
      </w:r>
      <w:r>
        <w:t xml:space="preserve"> </w:t>
      </w:r>
      <w:hyperlink r:id="rId121">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2"/>
    <w:bookmarkStart w:id="124" w:name="ref-ogawa2020stroma"/>
    <w:p>
      <w:pPr>
        <w:pStyle w:val="Bibliography"/>
      </w:pPr>
      <w:r>
        <w:t xml:space="preserve">36.</w:t>
      </w:r>
      <w:r>
        <w:t xml:space="preserve"> </w:t>
      </w:r>
      <w:r>
        <w:t xml:space="preserve">	</w:t>
      </w:r>
      <w:r>
        <w:t xml:space="preserve">Ogawa, Y., Masugi, Y., Abe, T.,</w:t>
      </w:r>
      <w:r>
        <w:t xml:space="preserve"> </w:t>
      </w:r>
      <w:r>
        <w:rPr>
          <w:iCs/>
          <w:i/>
        </w:rPr>
        <w:t xml:space="preserve">et al.</w:t>
      </w:r>
      <w:r>
        <w:t xml:space="preserve"> </w:t>
      </w:r>
      <w:hyperlink r:id="rId123">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4"/>
    <w:bookmarkStart w:id="126" w:name="ref-neuzillet2022periostin"/>
    <w:p>
      <w:pPr>
        <w:pStyle w:val="Bibliography"/>
      </w:pPr>
      <w:r>
        <w:t xml:space="preserve">37.</w:t>
      </w:r>
      <w:r>
        <w:t xml:space="preserve"> </w:t>
      </w:r>
      <w:r>
        <w:t xml:space="preserve">	</w:t>
      </w:r>
      <w:r>
        <w:t xml:space="preserve">Neuzillet, C., Nicolle, R., Raffenne, J.,</w:t>
      </w:r>
      <w:r>
        <w:t xml:space="preserve"> </w:t>
      </w:r>
      <w:r>
        <w:rPr>
          <w:iCs/>
          <w:i/>
        </w:rPr>
        <w:t xml:space="preserve">et al.</w:t>
      </w:r>
      <w:r>
        <w:t xml:space="preserve"> </w:t>
      </w:r>
      <w:hyperlink r:id="rId125">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6"/>
    <w:bookmarkStart w:id="128" w:name="ref-lee2024tumorcaf"/>
    <w:p>
      <w:pPr>
        <w:pStyle w:val="Bibliography"/>
      </w:pPr>
      <w:r>
        <w:t xml:space="preserve">38.</w:t>
      </w:r>
      <w:r>
        <w:t xml:space="preserve"> </w:t>
      </w:r>
      <w:r>
        <w:t xml:space="preserve">	</w:t>
      </w:r>
      <w:r>
        <w:t xml:space="preserve">Lee, J. J., Kearney, J. F., Trembath, H. E.,</w:t>
      </w:r>
      <w:r>
        <w:t xml:space="preserve"> </w:t>
      </w:r>
      <w:r>
        <w:rPr>
          <w:iCs/>
          <w:i/>
        </w:rPr>
        <w:t xml:space="preserve">et al.</w:t>
      </w:r>
      <w:r>
        <w:t xml:space="preserve"> </w:t>
      </w:r>
      <w:hyperlink r:id="rId127">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8"/>
    <w:bookmarkStart w:id="130" w:name="ref-newman2019cibersortx"/>
    <w:p>
      <w:pPr>
        <w:pStyle w:val="Bibliography"/>
      </w:pPr>
      <w:r>
        <w:t xml:space="preserve">39.</w:t>
      </w:r>
      <w:r>
        <w:t xml:space="preserve"> </w:t>
      </w:r>
      <w:r>
        <w:t xml:space="preserve">	</w:t>
      </w:r>
      <w:r>
        <w:t xml:space="preserve">Newman, A. M., Steen, C. B., Liu, C. L., Gentles, A. J.,</w:t>
      </w:r>
      <w:r>
        <w:t xml:space="preserve"> </w:t>
      </w:r>
      <w:r>
        <w:rPr>
          <w:iCs/>
          <w:i/>
        </w:rPr>
        <w:t xml:space="preserve">et al.</w:t>
      </w:r>
      <w:r>
        <w:t xml:space="preserve"> </w:t>
      </w:r>
      <w:hyperlink r:id="rId129">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0"/>
    <w:bookmarkStart w:id="132" w:name="ref-chu2022bayesprism"/>
    <w:p>
      <w:pPr>
        <w:pStyle w:val="Bibliography"/>
      </w:pPr>
      <w:r>
        <w:t xml:space="preserve">40.</w:t>
      </w:r>
      <w:r>
        <w:t xml:space="preserve"> </w:t>
      </w:r>
      <w:r>
        <w:t xml:space="preserve">	</w:t>
      </w:r>
      <w:r>
        <w:t xml:space="preserve">Chu, T., Wang, Z., Pe’er, D. &amp; Danko, C. G.</w:t>
      </w:r>
      <w:r>
        <w:t xml:space="preserve"> </w:t>
      </w:r>
      <w:hyperlink r:id="rId131">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2"/>
    <w:bookmarkStart w:id="134" w:name="ref-smith2020standard"/>
    <w:p>
      <w:pPr>
        <w:pStyle w:val="Bibliography"/>
      </w:pPr>
      <w:r>
        <w:t xml:space="preserve">41.</w:t>
      </w:r>
      <w:r>
        <w:t xml:space="preserve"> </w:t>
      </w:r>
      <w:r>
        <w:t xml:space="preserve">	</w:t>
      </w:r>
      <w:r>
        <w:t xml:space="preserve">Smith, A. M., Walsh, J. R., Long, J.,</w:t>
      </w:r>
      <w:r>
        <w:t xml:space="preserve"> </w:t>
      </w:r>
      <w:r>
        <w:rPr>
          <w:iCs/>
          <w:i/>
        </w:rPr>
        <w:t xml:space="preserve">et al.</w:t>
      </w:r>
      <w:r>
        <w:t xml:space="preserve"> </w:t>
      </w:r>
      <w:hyperlink r:id="rId133">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4"/>
    <w:bookmarkStart w:id="136" w:name="ref-gaujoux2010flexible"/>
    <w:p>
      <w:pPr>
        <w:pStyle w:val="Bibliography"/>
      </w:pPr>
      <w:r>
        <w:t xml:space="preserve">42.</w:t>
      </w:r>
      <w:r>
        <w:t xml:space="preserve"> </w:t>
      </w:r>
      <w:r>
        <w:t xml:space="preserve">	</w:t>
      </w:r>
      <w:r>
        <w:t xml:space="preserve">Gaujoux, R. &amp; Seoighe, C.</w:t>
      </w:r>
      <w:r>
        <w:t xml:space="preserve"> </w:t>
      </w:r>
      <w:hyperlink r:id="rId135">
        <w:r>
          <w:rPr>
            <w:rStyle w:val="Hyperlink"/>
          </w:rPr>
          <w:t xml:space="preserve">A flexible r 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6"/>
    <w:bookmarkStart w:id="138" w:name="ref-data_tcga_paad"/>
    <w:p>
      <w:pPr>
        <w:pStyle w:val="Bibliography"/>
      </w:pPr>
      <w:r>
        <w:t xml:space="preserve">43.</w:t>
      </w:r>
      <w:r>
        <w:t xml:space="preserve"> </w:t>
      </w:r>
      <w:r>
        <w:t xml:space="preserve">	</w:t>
      </w:r>
      <w:r>
        <w:t xml:space="preserve">The Cancer Genome Atlas Research Network.</w:t>
      </w:r>
      <w:r>
        <w:t xml:space="preserve"> </w:t>
      </w:r>
      <w:hyperlink r:id="rId137">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8"/>
    <w:bookmarkStart w:id="140"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39">
        <w:r>
          <w:rPr>
            <w:rStyle w:val="Hyperlink"/>
          </w:rPr>
          <w:t xml:space="preserve">Data from CPTAC-3 pancreatic ductal adenocarcinoma cohort</w:t>
        </w:r>
      </w:hyperlink>
      <w:r>
        <w:t xml:space="preserve">. (2019).</w:t>
      </w:r>
    </w:p>
    <w:bookmarkEnd w:id="140"/>
    <w:bookmarkStart w:id="142"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1">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2"/>
    <w:bookmarkStart w:id="144"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3">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4"/>
    <w:bookmarkStart w:id="146"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5">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6"/>
    <w:bookmarkStart w:id="148"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7">
        <w:r>
          <w:rPr>
            <w:rStyle w:val="Hyperlink"/>
          </w:rPr>
          <w:t xml:space="preserve">Pancreatic cancer (PACA-AU) cohort: Array and RNA-sequencing data</w:t>
        </w:r>
      </w:hyperlink>
      <w:r>
        <w:t xml:space="preserve">. (2016).</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5" Target="https://doi.org/10.1002/path.6011" TargetMode="External" /><Relationship Type="http://schemas.openxmlformats.org/officeDocument/2006/relationships/hyperlink" Id="rId102" Target="https://doi.org/10.1016/j.ccell.2017.07.007" TargetMode="External" /><Relationship Type="http://schemas.openxmlformats.org/officeDocument/2006/relationships/hyperlink" Id="rId104" Target="https://doi.org/10.1016/j.cell.2021.08.023" TargetMode="External" /><Relationship Type="http://schemas.openxmlformats.org/officeDocument/2006/relationships/hyperlink" Id="rId119" Target="https://doi.org/10.1016/j.cmpb.2023.107966" TargetMode="External" /><Relationship Type="http://schemas.openxmlformats.org/officeDocument/2006/relationships/hyperlink" Id="rId66" Target="https://doi.org/10.1016/j.xcrm.2026.102611" TargetMode="External" /><Relationship Type="http://schemas.openxmlformats.org/officeDocument/2006/relationships/hyperlink" Id="rId80" Target="https://doi.org/10.1038/44565" TargetMode="External" /><Relationship Type="http://schemas.openxmlformats.org/officeDocument/2006/relationships/hyperlink" Id="rId74" Target="https://doi.org/10.1038/nature16965" TargetMode="External" /><Relationship Type="http://schemas.openxmlformats.org/officeDocument/2006/relationships/hyperlink" Id="rId92" Target="https://doi.org/10.1038/ncomms9971" TargetMode="External" /><Relationship Type="http://schemas.openxmlformats.org/officeDocument/2006/relationships/hyperlink" Id="rId62" Target="https://doi.org/10.1038/ng.3398" TargetMode="External" /><Relationship Type="http://schemas.openxmlformats.org/officeDocument/2006/relationships/hyperlink" Id="rId60" Target="https://doi.org/10.1038/nm.2344" TargetMode="External" /><Relationship Type="http://schemas.openxmlformats.org/officeDocument/2006/relationships/hyperlink" Id="rId84" Target="https://doi.org/10.1038/s41467-019-12517-7" TargetMode="External" /><Relationship Type="http://schemas.openxmlformats.org/officeDocument/2006/relationships/hyperlink" Id="rId72"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68" Target="https://doi.org/10.1038/s41587-019-0392-8" TargetMode="External" /><Relationship Type="http://schemas.openxmlformats.org/officeDocument/2006/relationships/hyperlink" Id="rId70" Target="https://doi.org/10.1038/s41588-022-01134-8" TargetMode="External" /><Relationship Type="http://schemas.openxmlformats.org/officeDocument/2006/relationships/hyperlink" Id="rId90"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82" Target="https://doi.org/10.1073/pnas.0308531101" TargetMode="External" /><Relationship Type="http://schemas.openxmlformats.org/officeDocument/2006/relationships/hyperlink" Id="rId112" Target="https://doi.org/10.1093/bioinformatics/btad449" TargetMode="External" /><Relationship Type="http://schemas.openxmlformats.org/officeDocument/2006/relationships/hyperlink" Id="rId78" Target="https://doi.org/10.1093/nar/gkae267" TargetMode="External" /><Relationship Type="http://schemas.openxmlformats.org/officeDocument/2006/relationships/hyperlink" Id="rId98" Target="https://doi.org/10.1093/narcan/zcac030" TargetMode="External" /><Relationship Type="http://schemas.openxmlformats.org/officeDocument/2006/relationships/hyperlink" Id="rId127" Target="https://doi.org/10.1097/SLA.0000000000006416" TargetMode="External" /><Relationship Type="http://schemas.openxmlformats.org/officeDocument/2006/relationships/hyperlink" Id="rId108" Target="https://doi.org/10.1109/JPROC.2015.2494218" TargetMode="External" /><Relationship Type="http://schemas.openxmlformats.org/officeDocument/2006/relationships/hyperlink" Id="rId114" Target="https://doi.org/10.1136/gutjnl-2018-317706" TargetMode="External" /><Relationship Type="http://schemas.openxmlformats.org/officeDocument/2006/relationships/hyperlink" Id="rId95" Target="https://doi.org/10.1155/2008/764206" TargetMode="External" /><Relationship Type="http://schemas.openxmlformats.org/officeDocument/2006/relationships/hyperlink" Id="rId76" Target="https://doi.org/10.1158/1078-0432.CCR-17-2994" TargetMode="External" /><Relationship Type="http://schemas.openxmlformats.org/officeDocument/2006/relationships/hyperlink" Id="rId64" Target="https://doi.org/10.1158/1078-0432.CCR-19-1467" TargetMode="External" /><Relationship Type="http://schemas.openxmlformats.org/officeDocument/2006/relationships/hyperlink" Id="rId123" Target="https://doi.org/10.1158/1078-0432.CCR-20-2298" TargetMode="External" /><Relationship Type="http://schemas.openxmlformats.org/officeDocument/2006/relationships/hyperlink" Id="rId135" Target="https://doi.org/10.1186/1471-2105-11-367" TargetMode="External" /><Relationship Type="http://schemas.openxmlformats.org/officeDocument/2006/relationships/hyperlink" Id="rId133" Target="https://doi.org/10.1186/s12859-020-3427-8" TargetMode="External" /><Relationship Type="http://schemas.openxmlformats.org/officeDocument/2006/relationships/hyperlink" Id="rId88" Target="https://doi.org/10.1214/088342306000000682" TargetMode="External" /><Relationship Type="http://schemas.openxmlformats.org/officeDocument/2006/relationships/hyperlink" Id="rId86" Target="https://doi.org/10.1371/journal.pbio.0020108" TargetMode="External" /><Relationship Type="http://schemas.openxmlformats.org/officeDocument/2006/relationships/hyperlink" Id="rId100" Target="https://doi.org/10.18637/jss.v039.i05" TargetMode="External" /><Relationship Type="http://schemas.openxmlformats.org/officeDocument/2006/relationships/hyperlink" Id="rId58" Target="https://doi.org/10.3322/caac.70043" TargetMode="External" /><Relationship Type="http://schemas.openxmlformats.org/officeDocument/2006/relationships/hyperlink" Id="rId121" Target="https://doi.org/10.3390/cells11091421" TargetMode="External" /><Relationship Type="http://schemas.openxmlformats.org/officeDocument/2006/relationships/hyperlink" Id="rId110" Target="https://doi.org/10.4137/CIN.S606" TargetMode="External" /><Relationship Type="http://schemas.openxmlformats.org/officeDocument/2006/relationships/hyperlink" Id="rId52" Target="https://github.com/rashidlab/DeSurv" TargetMode="External" /><Relationship Type="http://schemas.openxmlformats.org/officeDocument/2006/relationships/hyperlink" Id="rId53" Target="https://github.com/rashidlab/DeSurv-paper" TargetMode="External" /><Relationship Type="http://schemas.openxmlformats.org/officeDocument/2006/relationships/hyperlink" Id="rId139" Target="https://portal.gdc.cancer.gov/projects/CPTAC-3" TargetMode="External" /><Relationship Type="http://schemas.openxmlformats.org/officeDocument/2006/relationships/hyperlink" Id="rId137" Target="https://portal.gdc.cancer.gov/projects/TCGA-PAAD" TargetMode="External" /><Relationship Type="http://schemas.openxmlformats.org/officeDocument/2006/relationships/hyperlink" Id="rId106" Target="https://proceedings.neurips.cc/paper/2012/hash/05311655a15b75fab86956663e1819cd-Abstract.html" TargetMode="External" /><Relationship Type="http://schemas.openxmlformats.org/officeDocument/2006/relationships/hyperlink" Id="rId143" Target="https://www.ebi.ac.uk/biostudies/arrayexpress/studies/E-MTAB-6134" TargetMode="External" /><Relationship Type="http://schemas.openxmlformats.org/officeDocument/2006/relationships/hyperlink" Id="rId141" Target="https://www.ebi.ac.uk/biostudies/arrayexpress/studies/E-MTAB-6830" TargetMode="External" /><Relationship Type="http://schemas.openxmlformats.org/officeDocument/2006/relationships/hyperlink" Id="rId147" Target="https://www.ncbi.nlm.nih.gov/geo/query/acc.cgi?acc=GSE36924" TargetMode="External" /><Relationship Type="http://schemas.openxmlformats.org/officeDocument/2006/relationships/hyperlink" Id="rId145"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02/path.6011" TargetMode="External" /><Relationship Type="http://schemas.openxmlformats.org/officeDocument/2006/relationships/hyperlink" Id="rId102" Target="https://doi.org/10.1016/j.ccell.2017.07.007" TargetMode="External" /><Relationship Type="http://schemas.openxmlformats.org/officeDocument/2006/relationships/hyperlink" Id="rId104" Target="https://doi.org/10.1016/j.cell.2021.08.023" TargetMode="External" /><Relationship Type="http://schemas.openxmlformats.org/officeDocument/2006/relationships/hyperlink" Id="rId119" Target="https://doi.org/10.1016/j.cmpb.2023.107966" TargetMode="External" /><Relationship Type="http://schemas.openxmlformats.org/officeDocument/2006/relationships/hyperlink" Id="rId66" Target="https://doi.org/10.1016/j.xcrm.2026.102611" TargetMode="External" /><Relationship Type="http://schemas.openxmlformats.org/officeDocument/2006/relationships/hyperlink" Id="rId80" Target="https://doi.org/10.1038/44565" TargetMode="External" /><Relationship Type="http://schemas.openxmlformats.org/officeDocument/2006/relationships/hyperlink" Id="rId74" Target="https://doi.org/10.1038/nature16965" TargetMode="External" /><Relationship Type="http://schemas.openxmlformats.org/officeDocument/2006/relationships/hyperlink" Id="rId92" Target="https://doi.org/10.1038/ncomms9971" TargetMode="External" /><Relationship Type="http://schemas.openxmlformats.org/officeDocument/2006/relationships/hyperlink" Id="rId62" Target="https://doi.org/10.1038/ng.3398" TargetMode="External" /><Relationship Type="http://schemas.openxmlformats.org/officeDocument/2006/relationships/hyperlink" Id="rId60" Target="https://doi.org/10.1038/nm.2344" TargetMode="External" /><Relationship Type="http://schemas.openxmlformats.org/officeDocument/2006/relationships/hyperlink" Id="rId84" Target="https://doi.org/10.1038/s41467-019-12517-7" TargetMode="External" /><Relationship Type="http://schemas.openxmlformats.org/officeDocument/2006/relationships/hyperlink" Id="rId72"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68" Target="https://doi.org/10.1038/s41587-019-0392-8" TargetMode="External" /><Relationship Type="http://schemas.openxmlformats.org/officeDocument/2006/relationships/hyperlink" Id="rId70" Target="https://doi.org/10.1038/s41588-022-01134-8" TargetMode="External" /><Relationship Type="http://schemas.openxmlformats.org/officeDocument/2006/relationships/hyperlink" Id="rId90"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82" Target="https://doi.org/10.1073/pnas.0308531101" TargetMode="External" /><Relationship Type="http://schemas.openxmlformats.org/officeDocument/2006/relationships/hyperlink" Id="rId112" Target="https://doi.org/10.1093/bioinformatics/btad449" TargetMode="External" /><Relationship Type="http://schemas.openxmlformats.org/officeDocument/2006/relationships/hyperlink" Id="rId78" Target="https://doi.org/10.1093/nar/gkae267" TargetMode="External" /><Relationship Type="http://schemas.openxmlformats.org/officeDocument/2006/relationships/hyperlink" Id="rId98" Target="https://doi.org/10.1093/narcan/zcac030" TargetMode="External" /><Relationship Type="http://schemas.openxmlformats.org/officeDocument/2006/relationships/hyperlink" Id="rId127" Target="https://doi.org/10.1097/SLA.0000000000006416" TargetMode="External" /><Relationship Type="http://schemas.openxmlformats.org/officeDocument/2006/relationships/hyperlink" Id="rId108" Target="https://doi.org/10.1109/JPROC.2015.2494218" TargetMode="External" /><Relationship Type="http://schemas.openxmlformats.org/officeDocument/2006/relationships/hyperlink" Id="rId114" Target="https://doi.org/10.1136/gutjnl-2018-317706" TargetMode="External" /><Relationship Type="http://schemas.openxmlformats.org/officeDocument/2006/relationships/hyperlink" Id="rId95" Target="https://doi.org/10.1155/2008/764206" TargetMode="External" /><Relationship Type="http://schemas.openxmlformats.org/officeDocument/2006/relationships/hyperlink" Id="rId76" Target="https://doi.org/10.1158/1078-0432.CCR-17-2994" TargetMode="External" /><Relationship Type="http://schemas.openxmlformats.org/officeDocument/2006/relationships/hyperlink" Id="rId64" Target="https://doi.org/10.1158/1078-0432.CCR-19-1467" TargetMode="External" /><Relationship Type="http://schemas.openxmlformats.org/officeDocument/2006/relationships/hyperlink" Id="rId123" Target="https://doi.org/10.1158/1078-0432.CCR-20-2298" TargetMode="External" /><Relationship Type="http://schemas.openxmlformats.org/officeDocument/2006/relationships/hyperlink" Id="rId135" Target="https://doi.org/10.1186/1471-2105-11-367" TargetMode="External" /><Relationship Type="http://schemas.openxmlformats.org/officeDocument/2006/relationships/hyperlink" Id="rId133" Target="https://doi.org/10.1186/s12859-020-3427-8" TargetMode="External" /><Relationship Type="http://schemas.openxmlformats.org/officeDocument/2006/relationships/hyperlink" Id="rId88" Target="https://doi.org/10.1214/088342306000000682" TargetMode="External" /><Relationship Type="http://schemas.openxmlformats.org/officeDocument/2006/relationships/hyperlink" Id="rId86" Target="https://doi.org/10.1371/journal.pbio.0020108" TargetMode="External" /><Relationship Type="http://schemas.openxmlformats.org/officeDocument/2006/relationships/hyperlink" Id="rId100" Target="https://doi.org/10.18637/jss.v039.i05" TargetMode="External" /><Relationship Type="http://schemas.openxmlformats.org/officeDocument/2006/relationships/hyperlink" Id="rId58" Target="https://doi.org/10.3322/caac.70043" TargetMode="External" /><Relationship Type="http://schemas.openxmlformats.org/officeDocument/2006/relationships/hyperlink" Id="rId121" Target="https://doi.org/10.3390/cells11091421" TargetMode="External" /><Relationship Type="http://schemas.openxmlformats.org/officeDocument/2006/relationships/hyperlink" Id="rId110" Target="https://doi.org/10.4137/CIN.S606" TargetMode="External" /><Relationship Type="http://schemas.openxmlformats.org/officeDocument/2006/relationships/hyperlink" Id="rId52" Target="https://github.com/rashidlab/DeSurv" TargetMode="External" /><Relationship Type="http://schemas.openxmlformats.org/officeDocument/2006/relationships/hyperlink" Id="rId53" Target="https://github.com/rashidlab/DeSurv-paper" TargetMode="External" /><Relationship Type="http://schemas.openxmlformats.org/officeDocument/2006/relationships/hyperlink" Id="rId139" Target="https://portal.gdc.cancer.gov/projects/CPTAC-3" TargetMode="External" /><Relationship Type="http://schemas.openxmlformats.org/officeDocument/2006/relationships/hyperlink" Id="rId137" Target="https://portal.gdc.cancer.gov/projects/TCGA-PAAD" TargetMode="External" /><Relationship Type="http://schemas.openxmlformats.org/officeDocument/2006/relationships/hyperlink" Id="rId106" Target="https://proceedings.neurips.cc/paper/2012/hash/05311655a15b75fab86956663e1819cd-Abstract.html" TargetMode="External" /><Relationship Type="http://schemas.openxmlformats.org/officeDocument/2006/relationships/hyperlink" Id="rId143" Target="https://www.ebi.ac.uk/biostudies/arrayexpress/studies/E-MTAB-6134" TargetMode="External" /><Relationship Type="http://schemas.openxmlformats.org/officeDocument/2006/relationships/hyperlink" Id="rId141" Target="https://www.ebi.ac.uk/biostudies/arrayexpress/studies/E-MTAB-6830" TargetMode="External" /><Relationship Type="http://schemas.openxmlformats.org/officeDocument/2006/relationships/hyperlink" Id="rId147" Target="https://www.ncbi.nlm.nih.gov/geo/query/acc.cgi?acc=GSE36924" TargetMode="External" /><Relationship Type="http://schemas.openxmlformats.org/officeDocument/2006/relationships/hyperlink" Id="rId145"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a survival-supervised matrix factorization, identifies a replicable tumor–stroma prognostic architecture in pancreatic cancer</dc:title>
  <dc:creator/>
  <cp:keywords>nonnegative matrix factorization, survival analysis, survival-supervised learning, tumor–stroma gene programs, pancreatic cancer</cp:keywords>
  <dcterms:created xsi:type="dcterms:W3CDTF">2026-09-06T16:07:35Z</dcterms:created>
  <dcterms:modified xsi:type="dcterms:W3CDTF">2026-09-06T16:07:35Z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but transcriptomic programs are typically discovered without outcome information, so the programs dominating expression variation need not be the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The frozen representation transferred across five external datasets spanning four independent cohorts, where the combined risk score remained prognostic (HR per SD, 1.42; 95% CI, 1.26–1.59), including after PurIST and DeCAF adjustment. Unsupervised factorization matched on program number and tuning budget did not recover D1, supporting survival supervision rather than model size or computational effort. In known-truth simulations,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