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3.png" ContentType="image/png"/>
  <Override PartName="/word/media/rId70.png" ContentType="image/png"/>
  <Override PartName="/word/media/rId55.png" ContentType="image/png"/>
  <Override PartName="/word/media/rId40.png" ContentType="image/png"/>
  <Override PartName="/word/media/rId30.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r>
                      <m:rPr>
                        <m:sty m:val="p"/>
                      </m:rPr>
                      <m:t>{</m:t>
                    </m:r>
                    <m:r>
                      <m:t>ξ</m:t>
                    </m:r>
                    <m:r>
                      <m:rPr>
                        <m:sty m:val="p"/>
                      </m:rPr>
                      <m:t>∥</m:t>
                    </m:r>
                    <m:r>
                      <m:t>β</m:t>
                    </m:r>
                    <m:sSub>
                      <m:e>
                        <m:r>
                          <m:rPr>
                            <m:sty m:val="p"/>
                          </m:rPr>
                          <m:t>∥</m:t>
                        </m:r>
                      </m:e>
                      <m:sub>
                        <m:r>
                          <m:t>1</m:t>
                        </m:r>
                      </m:sub>
                    </m:sSub>
                    <m:r>
                      <m:rPr>
                        <m:sty m:val="p"/>
                      </m:rPr>
                      <m:t>+</m:t>
                    </m:r>
                    <m:f>
                      <m:fPr>
                        <m:type m:val="lin"/>
                      </m:fPr>
                      <m:num>
                        <m:r>
                          <m:t>1</m:t>
                        </m:r>
                        <m:r>
                          <m:rPr>
                            <m:sty m:val="p"/>
                          </m:rPr>
                          <m:t>−</m:t>
                        </m:r>
                        <m:r>
                          <m:t>ξ</m:t>
                        </m:r>
                      </m:num>
                      <m:den>
                        <m:r>
                          <m:t>2</m:t>
                        </m:r>
                      </m:den>
                    </m:f>
                    <m:r>
                      <m:rPr>
                        <m:sty m:val="p"/>
                      </m:rPr>
                      <m:t>∥</m:t>
                    </m:r>
                    <m:r>
                      <m:t>β</m:t>
                    </m:r>
                    <m:sSubSup>
                      <m:e>
                        <m:r>
                          <m:rPr>
                            <m:sty m:val="p"/>
                          </m:rPr>
                          <m:t>∥</m:t>
                        </m:r>
                      </m:e>
                      <m:sub>
                        <m:r>
                          <m:t>2</m:t>
                        </m:r>
                      </m:sub>
                      <m:sup>
                        <m:r>
                          <m:t>2</m:t>
                        </m:r>
                      </m:sup>
                    </m:sSubSup>
                    <m:r>
                      <m:rPr>
                        <m:sty m:val="p"/>
                      </m:rPr>
                      <m:t>}</m:t>
                    </m:r>
                  </m:e>
                </m:d>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 and</w:t>
      </w:r>
      <w:r>
        <w:t xml:space="preserve"> </w:t>
      </w:r>
      <m:oMath>
        <m:r>
          <m:t>β</m:t>
        </m:r>
        <m:r>
          <m:rPr>
            <m:sty m:val="p"/>
          </m:rPr>
          <m:t>∈</m:t>
        </m:r>
        <m:sSup>
          <m:e>
            <m:r>
              <m:rPr>
                <m:sty m:val="p"/>
                <m:scr m:val="double-struck"/>
              </m:rPr>
              <m:t>R</m:t>
            </m:r>
          </m:e>
          <m:sup>
            <m:r>
              <m:t>k</m:t>
            </m:r>
          </m:sup>
        </m:sSup>
      </m:oMath>
      <w:r>
        <w:t xml:space="preserve"> </w:t>
      </w:r>
      <w:r>
        <w:t xml:space="preserve">are the Cox coefficients.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the</w:t>
      </w:r>
      <w:r>
        <w:t xml:space="preserve"> </w:t>
      </w:r>
      <w:r>
        <w:rPr>
          <w:rStyle w:val="VerbatimChar"/>
        </w:rPr>
        <w:t xml:space="preserve">glmnet</w:t>
      </w:r>
      <w:r>
        <w:t xml:space="preserve"> </w:t>
      </w:r>
      <w:r>
        <w:t xml:space="preserve">Coxnet routine used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r>
          <m:t>2</m:t>
        </m:r>
        <m:r>
          <m:rPr>
            <m:sty m:val="p"/>
          </m:rPr>
          <m:t>/</m:t>
        </m:r>
        <m:sSub>
          <m:e>
            <m:r>
              <m:t>n</m:t>
            </m:r>
          </m:e>
          <m:sub>
            <m:r>
              <m:rPr>
                <m:nor/>
                <m:sty m:val="p"/>
              </m:rPr>
              <m:t>event</m:t>
            </m:r>
          </m:sub>
        </m:sSub>
      </m:oMath>
      <w:r>
        <w:t xml:space="preserve">, and</w:t>
      </w:r>
      <w:r>
        <w:t xml:space="preserve"> </w:t>
      </w:r>
      <m:oMath>
        <m:r>
          <m:t>1</m:t>
        </m:r>
        <m:r>
          <m:rPr>
            <m:sty m:val="p"/>
          </m:rPr>
          <m:t>/</m:t>
        </m:r>
        <m:d>
          <m:dPr>
            <m:begChr m:val="("/>
            <m:endChr m:val=")"/>
            <m:sepChr m:val=""/>
            <m:grow/>
          </m:dPr>
          <m:e>
            <m:r>
              <m:t>2</m:t>
            </m:r>
            <m:r>
              <m:t>n</m:t>
            </m:r>
            <m:r>
              <m:t>k</m:t>
            </m:r>
          </m:e>
        </m:d>
      </m:oMath>
      <w:r>
        <w:t xml:space="preserve"> </w:t>
      </w:r>
      <w:r>
        <w:t xml:space="preserve">place the reconstruction, loadings-penalty, and survival terms on comparable numerical scales for stable optimization.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which at each outer iteration updates</w:t>
      </w:r>
      <w:r>
        <w:t xml:space="preserve"> </w:t>
      </w:r>
      <m:oMath>
        <m:r>
          <m:t>H</m:t>
        </m:r>
      </m:oMath>
      <w:r>
        <w:t xml:space="preserve">, then</w:t>
      </w:r>
      <w:r>
        <w:t xml:space="preserve"> </w:t>
      </w:r>
      <m:oMath>
        <m:r>
          <m:t>W</m:t>
        </m:r>
      </m:oMath>
      <w:r>
        <w:t xml:space="preserve">, then</w:t>
      </w:r>
      <w:r>
        <w:t xml:space="preserve"> </w:t>
      </w:r>
      <m:oMath>
        <m:r>
          <m:t>β</m:t>
        </m:r>
      </m:oMath>
      <w:r>
        <w:t xml:space="preserve"> </w:t>
      </w:r>
      <w:r>
        <w:t xml:space="preserve">while holding the other blocks fixed.</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oMath>
      <w:r>
        <w:t xml:space="preserve"> </w:t>
      </w:r>
      <w:r>
        <w:t xml:space="preserve">(e.g.,</w:t>
      </w:r>
      <w:r>
        <w:t xml:space="preserve"> </w:t>
      </w:r>
      <m:oMath>
        <m:sSup>
          <m:e>
            <m:r>
              <m:t>β</m:t>
            </m:r>
          </m:e>
          <m:sup>
            <m:d>
              <m:dPr>
                <m:begChr m:val="("/>
                <m:endChr m:val=")"/>
                <m:sepChr m:val=""/>
                <m:grow/>
              </m:dPr>
              <m:e>
                <m:r>
                  <m:t>0</m:t>
                </m:r>
              </m:e>
            </m:d>
          </m:sup>
        </m:sSup>
        <m:r>
          <m:rPr>
            <m:sty m:val="p"/>
          </m:rPr>
          <m:t>=</m:t>
        </m:r>
        <m:r>
          <m:rPr>
            <m:sty m:val="b"/>
          </m:rPr>
          <m:t>1</m:t>
        </m:r>
      </m:oMath>
      <w:r>
        <w:t xml:space="preserve">)</w:t>
      </w:r>
      <w:r>
        <w:br/>
      </w:r>
      <m:oMath>
        <m:r>
          <m:t>l</m:t>
        </m:r>
        <m:r>
          <m:t>o</m:t>
        </m:r>
        <m:r>
          <m:t>s</m:t>
        </m:r>
        <m:r>
          <m:t>s</m:t>
        </m:r>
        <m:r>
          <m:rPr>
            <m:sty m:val="p"/>
          </m:rPr>
          <m:t>=</m:t>
        </m:r>
        <m:r>
          <m:rPr>
            <m:sty m:val="p"/>
            <m:scr m:val="script"/>
          </m:rPr>
          <m:t>L</m:t>
        </m:r>
        <m:d>
          <m:dPr>
            <m:begChr m:val="("/>
            <m:endChr m:val=")"/>
            <m:sepChr m:val=""/>
            <m:grow/>
          </m:dPr>
          <m:e>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sSup>
              <m:e>
                <m:r>
                  <m:t>β</m:t>
                </m:r>
              </m:e>
              <m:sup>
                <m:d>
                  <m:dPr>
                    <m:begChr m:val="("/>
                    <m:endChr m:val=")"/>
                    <m:sepChr m:val=""/>
                    <m:grow/>
                  </m:dPr>
                  <m:e>
                    <m:r>
                      <m:t>0</m:t>
                    </m:r>
                  </m:e>
                </m:d>
              </m:sup>
            </m:sSup>
          </m:e>
        </m:d>
      </m:oMath>
      <w:r>
        <w:br/>
      </w:r>
      <m:oMath>
        <m:r>
          <m:t>e</m:t>
        </m:r>
        <m:r>
          <m:t>p</m:t>
        </m:r>
        <m:r>
          <m:t>s</m:t>
        </m:r>
        <m:r>
          <m:rPr>
            <m:sty m:val="p"/>
          </m:rPr>
          <m:t>=</m:t>
        </m:r>
        <m:r>
          <m:rPr>
            <m:sty m:val="p"/>
          </m:rPr>
          <m:t>∞</m:t>
        </m:r>
      </m:oMath>
      <w:r>
        <w:t xml:space="preserve">,</w:t>
      </w:r>
      <w:r>
        <w:t xml:space="preserve"> </w:t>
      </w:r>
      <m:oMath>
        <m:r>
          <m:t>t</m:t>
        </m:r>
        <m:r>
          <m:rPr>
            <m:sty m:val="p"/>
          </m:rPr>
          <m:t>=</m:t>
        </m:r>
        <m:r>
          <m:t>0</m:t>
        </m:r>
      </m:oMath>
      <w:r>
        <w:br/>
      </w:r>
      <w:r>
        <w:t xml:space="preserve">while</w:t>
      </w:r>
      <w:r>
        <w:t xml:space="preserve"> </w:t>
      </w:r>
      <m:oMath>
        <m:r>
          <m:t>e</m:t>
        </m:r>
        <m:r>
          <m:t>p</m:t>
        </m:r>
        <m:r>
          <m:t>s</m:t>
        </m:r>
        <m:r>
          <m:rPr>
            <m:sty m:val="p"/>
          </m:rPr>
          <m:t>≥</m:t>
        </m:r>
        <m:r>
          <m:t>t</m:t>
        </m:r>
        <m:r>
          <m:t>o</m:t>
        </m:r>
        <m:r>
          <m:t>l</m:t>
        </m:r>
      </m:oMath>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β</m:t>
            </m:r>
          </m:e>
          <m:sup>
            <m:d>
              <m:dPr>
                <m:begChr m:val="("/>
                <m:endChr m:val=")"/>
                <m:sepChr m:val=""/>
                <m:grow/>
              </m:dPr>
              <m:e>
                <m:r>
                  <m:t>t</m:t>
                </m:r>
                <m:r>
                  <m:rPr>
                    <m:sty m:val="p"/>
                  </m:rPr>
                  <m:t>+</m:t>
                </m:r>
                <m:r>
                  <m:t>1</m:t>
                </m:r>
              </m:e>
            </m:d>
          </m:sup>
        </m:sSup>
      </m:oMath>
      <w:r>
        <w:t xml:space="preserve"> </w:t>
      </w:r>
      <w:r>
        <w:t xml:space="preserve">by solving the elastic-net Cox subproblem using cyclic coordinate descent to numerical tolerance</w:t>
      </w:r>
      <w:r>
        <w:br/>
      </w:r>
      <w:r>
        <w:t xml:space="preserve">(Eq. [eqn:beta_update]), holding</w:t>
      </w:r>
      <w:r>
        <w:t xml:space="preserve"> </w:t>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w:t>
      </w:r>
      <w:r>
        <w:br/>
      </w:r>
      <m:oMath>
        <m:r>
          <m:t>l</m:t>
        </m:r>
        <m:r>
          <m:t>o</m:t>
        </m:r>
        <m:r>
          <m:t>s</m:t>
        </m:r>
        <m:r>
          <m:t>s</m:t>
        </m:r>
        <m:r>
          <m:t>N</m:t>
        </m:r>
        <m:r>
          <m:t>e</m:t>
        </m:r>
        <m:r>
          <m:t>w</m:t>
        </m:r>
        <m:r>
          <m:rPr>
            <m:sty m:val="p"/>
          </m:rPr>
          <m:t>=</m:t>
        </m:r>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br/>
      </w:r>
      <m:oMath>
        <m:r>
          <m:t>e</m:t>
        </m:r>
        <m:r>
          <m:t>p</m:t>
        </m:r>
        <m:r>
          <m:t>s</m:t>
        </m:r>
        <m:r>
          <m:rPr>
            <m:sty m:val="p"/>
          </m:rPr>
          <m:t>=</m:t>
        </m:r>
        <m:d>
          <m:dPr>
            <m:begChr m:val="|"/>
            <m:endChr m:val="|"/>
            <m:sepChr m:val=""/>
            <m:grow/>
          </m:dPr>
          <m:e>
            <m:r>
              <m:t>l</m:t>
            </m:r>
            <m:r>
              <m:t>o</m:t>
            </m:r>
            <m:r>
              <m:t>s</m:t>
            </m:r>
            <m:r>
              <m:t>s</m:t>
            </m:r>
            <m:r>
              <m:t>N</m:t>
            </m:r>
            <m:r>
              <m:t>e</m:t>
            </m:r>
            <m:r>
              <m:t>w</m:t>
            </m:r>
            <m:r>
              <m:rPr>
                <m:sty m:val="p"/>
              </m:rPr>
              <m:t>−</m:t>
            </m:r>
            <m:r>
              <m:t>l</m:t>
            </m:r>
            <m:r>
              <m:t>o</m:t>
            </m:r>
            <m:r>
              <m:t>s</m:t>
            </m:r>
            <m:r>
              <m:t>s</m:t>
            </m:r>
          </m:e>
        </m:d>
        <m:r>
          <m:rPr>
            <m:sty m:val="p"/>
          </m:rPr>
          <m:t>/</m:t>
        </m:r>
        <m:d>
          <m:dPr>
            <m:begChr m:val="|"/>
            <m:endChr m:val="|"/>
            <m:sepChr m:val=""/>
            <m:grow/>
          </m:dPr>
          <m:e>
            <m:r>
              <m:t>l</m:t>
            </m:r>
            <m:r>
              <m:t>o</m:t>
            </m:r>
            <m:r>
              <m:t>s</m:t>
            </m:r>
            <m:r>
              <m:t>s</m:t>
            </m:r>
          </m:e>
        </m:d>
      </m:oMath>
      <w:r>
        <w:br/>
      </w:r>
      <m:oMath>
        <m:r>
          <m:t>l</m:t>
        </m:r>
        <m:r>
          <m:t>o</m:t>
        </m:r>
        <m:r>
          <m:t>s</m:t>
        </m:r>
        <m:r>
          <m:t>s</m:t>
        </m:r>
        <m:r>
          <m:rPr>
            <m:sty m:val="p"/>
          </m:rPr>
          <m:t>=</m:t>
        </m:r>
        <m:r>
          <m:t>l</m:t>
        </m:r>
        <m:r>
          <m:t>o</m:t>
        </m:r>
        <m:r>
          <m:t>s</m:t>
        </m:r>
        <m:r>
          <m:t>s</m:t>
        </m:r>
        <m:r>
          <m:t>N</m:t>
        </m:r>
        <m:r>
          <m:t>e</m:t>
        </m:r>
        <m:r>
          <m:t>w</m:t>
        </m:r>
      </m:oMath>
      <w:r>
        <w:br/>
      </w:r>
      <m:oMath>
        <m:r>
          <m:t>t</m:t>
        </m:r>
        <m:r>
          <m:rPr>
            <m:sty m:val="p"/>
          </m:rPr>
          <m:t>=</m:t>
        </m:r>
        <m:r>
          <m:t>t</m:t>
        </m:r>
        <m:r>
          <m:rPr>
            <m:sty m:val="p"/>
          </m:rPr>
          <m:t>+</m:t>
        </m:r>
        <m:r>
          <m:t>1</m:t>
        </m:r>
      </m:oMath>
      <w:r>
        <w:br/>
      </w:r>
      <w:r>
        <w:t xml:space="preserve">end while</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p>
          <m:e>
            <m:r>
              <m:t>β</m:t>
            </m:r>
          </m:e>
          <m:sup>
            <m:d>
              <m:dPr>
                <m:begChr m:val="("/>
                <m:endChr m:val=")"/>
                <m:sepChr m:val=""/>
                <m:grow/>
              </m:dPr>
              <m:e>
                <m:r>
                  <m:t>t</m:t>
                </m:r>
              </m:e>
            </m:d>
          </m:sup>
        </m:sSup>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\nabla_W \mathcal{L}</w:t>
      </w:r>
      <w:r>
        <w:t xml:space="preserve">{\mathrm{Cox}}(W,\beta)</w:t>
      </w:r>
      <w:r>
        <w:t xml:space="preserve"> </w:t>
      </w:r>
      <w:r>
        <w:t xml:space="preserve">=</w:t>
      </w:r>
      <w:r>
        <w:t xml:space="preserve"> </w:t>
      </w:r>
      <w:r>
        <w:t xml:space="preserve">\frac{2}{n_{event}}\nabla_W \ell(W,\beta).</w:t>
      </w:r>
      <w:r>
        <w:t xml:space="preserve"> </w:t>
      </w:r>
      <w:r>
        <w:t xml:space="preserve">]</w:t>
      </w:r>
      <w:r>
        <w:t xml:space="preserve"> </w:t>
      </w:r>
      <w:r>
        <w:t xml:space="preserve">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denotes the Cox gradient with respect to</w:t>
      </w:r>
      <w:r>
        <w:t xml:space="preserve"> </w:t>
      </w:r>
      <m:oMath>
        <m:r>
          <m:t>W</m:t>
        </m:r>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num>
            <m:den>
              <m:sSub>
                <m:e>
                  <m:d>
                    <m:dPr>
                      <m:begChr m:val="∥"/>
                      <m:endChr m:val="∥"/>
                      <m:sepChr m:val=""/>
                      <m:grow/>
                    </m:dPr>
                    <m:e>
                      <m:r>
                        <m:t>α</m:t>
                      </m:r>
                      <m:sSub>
                        <m:e>
                          <m:r>
                            <m:rPr>
                              <m:sty m:val="p"/>
                            </m:rPr>
                            <m:t>∇</m:t>
                          </m:r>
                        </m:e>
                        <m:sub>
                          <m:r>
                            <m:t>W</m:t>
                          </m:r>
                        </m:sub>
                      </m:sSub>
                      <m:sSub>
                        <m:e>
                          <m:r>
                            <m:rPr>
                              <m:sty m:val="p"/>
                              <m:scr m:val="script"/>
                            </m:rPr>
                            <m:t>L</m:t>
                          </m:r>
                        </m:e>
                        <m:sub>
                          <m:r>
                            <m:t>C</m:t>
                          </m:r>
                          <m:r>
                            <m:t>o</m:t>
                          </m:r>
                          <m:r>
                            <m:t>x</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den>
          </m:f>
          <m:r>
            <m:rPr>
              <m:sty m:val="p"/>
            </m:rPr>
            <m:t>,</m:t>
          </m:r>
        </m:oMath>
      </m:oMathPara>
    </w:p>
    <w:p>
      <w:pPr>
        <w:pStyle w:val="FirstParagraph"/>
      </w:pPr>
      <w:r>
        <w:t xml:space="preserve">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The scaling removes differences in</w:t>
      </w:r>
      <w:r>
        <w:t xml:space="preserve"> </w:t>
      </w:r>
      <w:r>
        <w:t xml:space="preserve">the magnitudes of the weighted reconstruction and survival gradients before the</w:t>
      </w:r>
      <w:r>
        <w:t xml:space="preserve"> </w:t>
      </w:r>
      <w:r>
        <w:t xml:space="preserve">additional factor</w:t>
      </w:r>
      <w:r>
        <w:t xml:space="preserve"> </w:t>
      </w:r>
      <m:oMath>
        <m:r>
          <m:t>α</m:t>
        </m:r>
      </m:oMath>
      <w:r>
        <w:t xml:space="preserve"> </w:t>
      </w:r>
      <w:r>
        <w:t xml:space="preserve">below controls the relative Cox contribution. When</w:t>
      </w:r>
      <w:r>
        <w:t xml:space="preserve"> </w:t>
      </w:r>
      <w:r>
        <w:t xml:space="preserve">neither gradient is zero and the cap is inactive, the scaled Cox contribution</w:t>
      </w:r>
      <w:r>
        <w:t xml:space="preserve"> </w:t>
      </w:r>
      <w:r>
        <w:t xml:space="preserve">has Frobenius norm</w:t>
      </w:r>
      <w:r>
        <w:t xml:space="preserve"> </w:t>
      </w:r>
      <m:oMath>
        <m:r>
          <m:t>α</m:t>
        </m:r>
      </m:oMath>
      <w:r>
        <w:t xml:space="preserve"> </w:t>
      </w:r>
      <w:r>
        <w:t xml:space="preserve">times that of the weighted reconstruction gradient.</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w:t>
      </w:r>
      <w:r>
        <w:rPr>
          <w:rStyle w:val="VerbatimChar"/>
        </w:rPr>
        <w:t xml:space="preserve">code/26</w:t>
      </w:r>
      <w:r>
        <w:t xml:space="preserve">, which reconstructs the production optimization path from the</w:t>
      </w:r>
      <w:r>
        <w:t xml:space="preserve"> </w:t>
      </w:r>
      <w:r>
        <w:t xml:space="preserve">cached seed fits and checks it against the cached final fit to a declared</w:t>
      </w:r>
      <w:r>
        <w:t xml:space="preserve"> </w:t>
      </w:r>
      <w:r>
        <w:t xml:space="preserve">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 Value of</w:t>
      </w:r>
      <w:r>
        <w:t xml:space="preserve"> </w:t>
      </w:r>
      <m:oMath>
        <m:r>
          <m:t>W</m:t>
        </m:r>
      </m:oMath>
      <w:r>
        <w:t xml:space="preserve"> </w:t>
      </w:r>
      <w:r>
        <w:t xml:space="preserve">and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backtracking parameter</w:t>
      </w:r>
      <w:r>
        <w:t xml:space="preserve"> </w:t>
      </w:r>
      <m:oMath>
        <m:r>
          <m:t>ρ</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θ</m:t>
        </m:r>
        <m:r>
          <m:rPr>
            <m:sty m:val="p"/>
          </m:rPr>
          <m:t>=</m:t>
        </m:r>
        <m:sSub>
          <m:e>
            <m:r>
              <m:t>θ</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θ</m:t>
                    </m:r>
                  </m:e>
                </m:d>
                <m:r>
                  <m:rPr>
                    <m:sty m:val="p"/>
                  </m:rPr>
                  <m:t>+</m:t>
                </m:r>
                <m:r>
                  <m:t>θ</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θ</m:t>
        </m:r>
        <m:r>
          <m:rPr>
            <m:sty m:val="p"/>
          </m:rPr>
          <m:t>=</m:t>
        </m:r>
        <m:r>
          <m:t>θ</m:t>
        </m:r>
        <m:r>
          <m:rPr>
            <m:sty m:val="p"/>
          </m:rPr>
          <m:t>*</m:t>
        </m:r>
        <m:r>
          <m:t>ρ</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θ</m:t>
            </m:r>
          </m:e>
          <m:sub>
            <m:r>
              <m:t>0</m:t>
            </m:r>
          </m:sub>
        </m:sSub>
        <m:r>
          <m:rPr>
            <m:sty m:val="p"/>
          </m:rPr>
          <m:t>=</m:t>
        </m:r>
        <m:r>
          <m:t>0.5</m:t>
        </m:r>
      </m:oMath>
      <w:r>
        <w:t xml:space="preserve">,</w:t>
      </w:r>
      <w:r>
        <w:t xml:space="preserve"> </w:t>
      </w:r>
      <m:oMath>
        <m:r>
          <m:t>ρ</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Column normalization preserves the reconstruction</w:t>
      </w:r>
      <w:r>
        <w:t xml:space="preserve"> </w:t>
      </w:r>
      <m:oMath>
        <m:r>
          <m:t>W</m:t>
        </m:r>
        <m:r>
          <m:t>H</m:t>
        </m:r>
      </m:oMath>
      <w:r>
        <w:t xml:space="preserve"> </w:t>
      </w:r>
      <w:r>
        <w:t xml:space="preserve">and linear predictor</w:t>
      </w:r>
      <w:r>
        <w:t xml:space="preserve"> </w:t>
      </w:r>
      <m:oMath>
        <m:r>
          <m:t>W</m:t>
        </m:r>
        <m:r>
          <m:t>β</m:t>
        </m:r>
      </m:oMath>
      <w:r>
        <w:t xml:space="preserve">. Because the accompanying rescaling can alter penalization terms, the</w:t>
      </w:r>
      <w:r>
        <w:t xml:space="preserve"> </w:t>
      </w:r>
      <w:r>
        <w:t xml:space="preserve">normalized proposal is evaluated using the full penalized objective within the</w:t>
      </w:r>
      <w:r>
        <w:t xml:space="preserve"> </w:t>
      </w:r>
      <w:r>
        <w:t xml:space="preserve">backtracking procedure, which accepts the update only if it does not increase</w:t>
      </w:r>
      <w:r>
        <w:t xml:space="preserve"> </w:t>
      </w:r>
      <m:oMath>
        <m:r>
          <m:rPr>
            <m:sty m:val="p"/>
            <m:scr m:val="script"/>
          </m:rPr>
          <m:t>L</m:t>
        </m:r>
      </m:oMath>
      <w:r>
        <w:t xml:space="preserve">.</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(Equation 1) and is</w:t>
      </w:r>
      <w:r>
        <w:t xml:space="preserve"> </w:t>
      </w:r>
      <w:r>
        <w:t xml:space="preserve">dropped here, as it does not affect the minimizer:</w:t>
      </w:r>
      <w:r>
        <w:t xml:space="preserve"> </w:t>
      </w:r>
      <w:r>
        <w:t xml:space="preserve">[</w:t>
      </w:r>
      <w:r>
        <w:t xml:space="preserve"> </w:t>
      </w:r>
      <w:r>
        <w:t xml:space="preserve">\min_{\beta \in \mathbb{R}^k}</w:t>
      </w:r>
      <w:r>
        <w:t xml:space="preserve"> </w:t>
      </w:r>
      <w:r>
        <w:t xml:space="preserve">\left{</w:t>
      </w:r>
      <w:r>
        <w:t xml:space="preserve"> </w:t>
      </w:r>
      <w:r>
        <w:t xml:space="preserve">-\frac{2}{n_{\mathrm{event}}},\ell(W,\beta)</w:t>
      </w:r>
      <w:r>
        <w:t xml:space="preserve"> </w:t>
      </w:r>
      <w:r>
        <w:t xml:space="preserve">+</w:t>
      </w:r>
      <w:r>
        <w:t xml:space="preserve"> </w:t>
      </w:r>
      <w:r>
        <w:t xml:space="preserve">\lambda\left(</w:t>
      </w:r>
      <w:r>
        <w:t xml:space="preserve"> </w:t>
      </w:r>
      <w:r>
        <w:t xml:space="preserve">\xi \lVert \beta \rVert_1</w:t>
      </w:r>
      <w:r>
        <w:t xml:space="preserve"> </w:t>
      </w:r>
      <w:r>
        <w:t xml:space="preserve">+\frac{1-\xi}{2} \lVert \beta \rVert_2^2</w:t>
      </w:r>
      <w:r>
        <w:t xml:space="preserve"> </w:t>
      </w:r>
      <w:r>
        <w:t xml:space="preserve">\right)</w:t>
      </w:r>
      <w:r>
        <w:t xml:space="preserve"> </w:t>
      </w:r>
      <w:r>
        <w:t xml:space="preserve">\right}.</w:t>
      </w:r>
      <w:r>
        <w:t xml:space="preserve"> </w:t>
      </w:r>
      <w:r>
        <w:t xml:space="preserve">]</w:t>
      </w:r>
      <w:r>
        <w:t xml:space="preserve"> </w:t>
      </w:r>
      <w:r>
        <w:t xml:space="preserve">We solve this subproblem by cyclic coordinate descent following</w:t>
      </w:r>
      <w:hyperlink w:anchor="ref-simon2011regularization">
        <w:r>
          <w:rPr>
            <w:rStyle w:val="Hyperlink"/>
            <w:vertAlign w:val="superscript"/>
          </w:rPr>
          <w:t xml:space="preserve">3</w:t>
        </w:r>
      </w:hyperlink>
      <w:r>
        <w:t xml:space="preserve">. Writing</w:t>
      </w:r>
      <w:r>
        <w:t xml:space="preserve"> </w:t>
      </w:r>
      <m:oMath>
        <m:r>
          <m:rPr>
            <m:sty m:val="p"/>
          </m:rPr>
          <m:t>ℓ</m:t>
        </m:r>
        <m:d>
          <m:dPr>
            <m:begChr m:val="("/>
            <m:endChr m:val=")"/>
            <m:sepChr m:val=""/>
            <m:grow/>
          </m:dPr>
          <m:e>
            <m:r>
              <m:t>β</m:t>
            </m:r>
          </m:e>
        </m:d>
        <m:r>
          <m:rPr>
            <m:sty m:val="p"/>
          </m:rPr>
          <m:t>=</m:t>
        </m:r>
        <m:r>
          <m:rPr>
            <m:sty m:val="p"/>
          </m:rPr>
          <m:t>ℓ</m:t>
        </m:r>
        <m:d>
          <m:dPr>
            <m:begChr m:val="("/>
            <m:endChr m:val=")"/>
            <m:sepChr m:val=""/>
            <m:grow/>
          </m:dPr>
          <m:e>
            <m:r>
              <m:t>W</m:t>
            </m:r>
            <m:r>
              <m:rPr>
                <m:sty m:val="p"/>
              </m:rPr>
              <m:t>,</m:t>
            </m:r>
            <m:r>
              <m:t>β</m:t>
            </m:r>
          </m:e>
        </m:d>
      </m:oMath>
      <w:r>
        <w:t xml:space="preserve"> </w:t>
      </w:r>
      <w:r>
        <w:t xml:space="preserve">and</w:t>
      </w:r>
      <w:r>
        <w:t xml:space="preserve"> </w:t>
      </w:r>
      <m:oMath>
        <m:sSub>
          <m:e>
            <m:acc>
              <m:accPr>
                <m:chr m:val="̃"/>
              </m:accPr>
              <m:e>
                <m:r>
                  <m:t>η</m:t>
                </m:r>
              </m:e>
            </m:acc>
          </m:e>
          <m:sub>
            <m:r>
              <m:t>i</m:t>
            </m:r>
          </m:sub>
        </m:sSub>
        <m:r>
          <m:rPr>
            <m:sty m:val="p"/>
          </m:rPr>
          <m:t>=</m:t>
        </m:r>
        <m:sSubSup>
          <m:e>
            <m:r>
              <m:t>Z</m:t>
            </m:r>
          </m:e>
          <m:sub>
            <m:r>
              <m:t>i</m:t>
            </m:r>
          </m:sub>
          <m:sup>
            <m:r>
              <m:rPr>
                <m:sty m:val="p"/>
              </m:rPr>
              <m:t>⊤</m:t>
            </m:r>
          </m:sup>
        </m:sSubSup>
        <m:r>
          <m:t>β</m:t>
        </m:r>
      </m:oMath>
      <w:r>
        <w:t xml:space="preserve">,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β</m:t>
                  </m:r>
                </m:e>
              </m:acc>
            </m:e>
            <m:sub>
              <m:r>
                <m:t>r</m:t>
              </m:r>
            </m:sub>
          </m:sSub>
          <m:r>
            <m:rPr>
              <m:sty m:val="p"/>
            </m:rPr>
            <m:t>=</m:t>
          </m:r>
          <m:f>
            <m:fPr>
              <m:type m:val="bar"/>
            </m:fPr>
            <m:num>
              <m:r>
                <m:t>S</m:t>
              </m:r>
              <m:r>
                <m:t>​</m:t>
              </m:r>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β</m:t>
                          </m:r>
                        </m:e>
                        <m:sub>
                          <m:r>
                            <m:t>j</m:t>
                          </m:r>
                        </m:sub>
                      </m:sSub>
                    </m:e>
                  </m:d>
                  <m:r>
                    <m:rPr>
                      <m:sty m:val="p"/>
                    </m:rPr>
                    <m:t>,</m:t>
                  </m:r>
                  <m:r>
                    <m:t>λ</m:t>
                  </m:r>
                  <m:r>
                    <m:t>ξ</m:t>
                  </m:r>
                </m:e>
              </m:d>
            </m:num>
            <m:den>
              <m:f>
                <m:fPr>
                  <m:type m:val="bar"/>
                </m:fPr>
                <m:num>
                  <m:r>
                    <m:t>1</m:t>
                  </m:r>
                </m:num>
                <m:den>
                  <m:r>
                    <m:t>n</m:t>
                  </m:r>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 and</w:t>
      </w:r>
      <w:r>
        <w:t xml:space="preserve"> </w:t>
      </w:r>
      <m:oMath>
        <m:r>
          <m:t>w</m:t>
        </m:r>
        <m:d>
          <m:dPr>
            <m:begChr m:val="("/>
            <m:endChr m:val=")"/>
            <m:sepChr m:val=""/>
            <m:grow/>
          </m:dPr>
          <m:e>
            <m:acc>
              <m:accPr>
                <m:chr m:val="̃"/>
              </m:accPr>
              <m:e>
                <m:r>
                  <m:t>η</m:t>
                </m:r>
              </m:e>
            </m:acc>
          </m:e>
        </m:d>
      </m:oMath>
      <w:r>
        <w:t xml:space="preserve">,</w:t>
      </w:r>
      <w:r>
        <w:t xml:space="preserve"> </w:t>
      </w:r>
      <m:oMath>
        <m:r>
          <m:t>v</m:t>
        </m:r>
        <m:d>
          <m:dPr>
            <m:begChr m:val="("/>
            <m:endChr m:val=")"/>
            <m:sepChr m:val=""/>
            <m:grow/>
          </m:dPr>
          <m:e>
            <m:acc>
              <m:accPr>
                <m:chr m:val="̃"/>
              </m:accPr>
              <m:e>
                <m:r>
                  <m:t>η</m:t>
                </m:r>
              </m:e>
            </m:acc>
          </m:e>
        </m:d>
      </m:oMath>
      <w:r>
        <w:t xml:space="preserve"> </w:t>
      </w:r>
      <w:r>
        <w:t xml:space="preserve">are standard local</w:t>
      </w:r>
      <w:r>
        <w:t xml:space="preserve"> </w:t>
      </w:r>
      <w:r>
        <w:t xml:space="preserve">quadratic approximations of the Cox log-partial likelihood</w:t>
      </w:r>
      <w:hyperlink w:anchor="ref-simon2011regularization">
        <w:r>
          <w:rPr>
            <w:rStyle w:val="Hyperlink"/>
            <w:vertAlign w:val="superscript"/>
          </w:rPr>
          <w:t xml:space="preserve">3</w:t>
        </w:r>
      </w:hyperlink>
      <w:r>
        <w:t xml:space="preserve">.</w:t>
      </w:r>
      <w:r>
        <w:t xml:space="preserve"> </w:t>
      </w:r>
      <w:r>
        <w:t xml:space="preserve">We iterate coordinate updates until the subproblem converges to numerical</w:t>
      </w:r>
      <w:r>
        <w:t xml:space="preserve"> </w:t>
      </w:r>
      <w:r>
        <w:t xml:space="preserve">tolerance, yielding a minimizer in</w:t>
      </w:r>
      <w:r>
        <w:t xml:space="preserve"> </w:t>
      </w:r>
      <m:oMath>
        <m:r>
          <m:t>β</m:t>
        </m:r>
      </m:oMath>
      <w:r>
        <w:t xml:space="preserve"> </w:t>
      </w:r>
      <w:r>
        <w:t xml:space="preserve">for the current</w:t>
      </w:r>
      <w:r>
        <w:t xml:space="preserve"> </w:t>
      </w:r>
      <m:oMath>
        <m:r>
          <m:t>W</m:t>
        </m:r>
      </m:oMath>
      <w:r>
        <w:t xml:space="preserve">.</w:t>
      </w:r>
    </w:p>
    <w:bookmarkEnd w:id="25"/>
    <w:bookmarkStart w:id="26" w:name="normalization-of-w"/>
    <w:p>
      <w:pPr>
        <w:pStyle w:val="Heading2"/>
      </w:pPr>
      <w:r>
        <w:t xml:space="preserve">Normalization of W</w:t>
      </w:r>
    </w:p>
    <w:p>
      <w:pPr>
        <w:pStyle w:val="FirstParagraph"/>
      </w:pPr>
      <w:r>
        <w:t xml:space="preserve">After each accepted</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of column</w:t>
      </w:r>
      <w:r>
        <w:t xml:space="preserve"> </w:t>
      </w:r>
      <m:oMath>
        <m:sSub>
          <m:e>
            <m:r>
              <m:rPr>
                <m:sty m:val="p"/>
              </m:rPr>
              <m:t>ℓ</m:t>
            </m:r>
          </m:e>
          <m:sub>
            <m:r>
              <m:t>2</m:t>
            </m:r>
          </m:sub>
        </m:sSub>
      </m:oMath>
      <w:r>
        <w:t xml:space="preserve">-norms of</w:t>
      </w:r>
      <w:r>
        <w:t xml:space="preserve"> </w:t>
      </w:r>
      <m:oMath>
        <m:r>
          <m:t>W</m:t>
        </m:r>
      </m:oMath>
      <w:r>
        <w:t xml:space="preserve">.</w:t>
      </w:r>
      <w:r>
        <w:t xml:space="preserve"> </w:t>
      </w:r>
      <w:r>
        <w:t xml:space="preserve">This preserves the reconstruction</w:t>
      </w:r>
      <w:r>
        <w:t xml:space="preserve"> </w:t>
      </w:r>
      <m:oMath>
        <m:r>
          <m:t>W</m:t>
        </m:r>
        <m:r>
          <m:t>H</m:t>
        </m:r>
      </m:oMath>
      <w:r>
        <w:t xml:space="preserve"> </w:t>
      </w:r>
      <w:r>
        <w:t xml:space="preserve">and the linear predictor</w:t>
      </w:r>
      <w:r>
        <w:t xml:space="preserve"> </w:t>
      </w:r>
      <m:oMath>
        <m:r>
          <m:t>W</m:t>
        </m:r>
        <m:r>
          <m:t>β</m:t>
        </m:r>
      </m:oMath>
      <w:r>
        <w:t xml:space="preserve">; because</w:t>
      </w:r>
      <w:r>
        <w:t xml:space="preserve"> </w:t>
      </w:r>
      <w:r>
        <w:t xml:space="preserve">the accompanying rescaling of</w:t>
      </w:r>
      <w:r>
        <w:t xml:space="preserve"> </w:t>
      </w:r>
      <m:oMath>
        <m:r>
          <m:t>H</m:t>
        </m:r>
      </m:oMath>
      <w:r>
        <w:t xml:space="preserve"> </w:t>
      </w:r>
      <w:r>
        <w:t xml:space="preserve">and</w:t>
      </w:r>
      <w:r>
        <w:t xml:space="preserve"> </w:t>
      </w:r>
      <m:oMath>
        <m:r>
          <m:t>β</m:t>
        </m:r>
      </m:oMath>
      <w:r>
        <w:t xml:space="preserve"> </w:t>
      </w:r>
      <w:r>
        <w:t xml:space="preserve">can alter the penalization terms,</w:t>
      </w:r>
      <w:r>
        <w:t xml:space="preserve"> </w:t>
      </w:r>
      <w:r>
        <w:t xml:space="preserve">the normalized proposal is evaluated under the full penalized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the gradient of the DeSurv loss with respect to the programs is</w:t>
      </w:r>
      <w:r>
        <w:t xml:space="preserve"> </w:t>
      </w:r>
      <w:r>
        <w:t xml:space="preserve">[</w:t>
      </w:r>
      <w:r>
        <w:t xml:space="preserve"> </w:t>
      </w:r>
      <w:r>
        <w:t xml:space="preserve">\nabla \mathcal{L} = (1-\alpha) \nabla_W \mathcal{L}</w:t>
      </w:r>
      <w:r>
        <w:rPr>
          <w:iCs/>
          <w:i/>
        </w:rPr>
        <w:t xml:space="preserve">{\mathrm{NMF}}(W,H) - \alpha\nabla_W \mathcal{L}</w:t>
      </w:r>
      <w:r>
        <w:t xml:space="preserve">{\mathrm{Cox}}(W,\beta),</w:t>
      </w:r>
      <w:r>
        <w:t xml:space="preserve"> </w:t>
      </w:r>
      <w:r>
        <w:t xml:space="preserve">]</w:t>
      </w:r>
      <w:r>
        <w:t xml:space="preserve"> </w:t>
      </w:r>
      <w:r>
        <w:t xml:space="preserve">and accordingly the update for</w:t>
      </w:r>
      <w:r>
        <w:t xml:space="preserve"> </w:t>
      </w:r>
      <m:oMath>
        <m:r>
          <m:t>W</m:t>
        </m:r>
      </m:oMath>
      <w:r>
        <w:t xml:space="preserve"> </w:t>
      </w:r>
      <w:r>
        <w:t xml:space="preserve">in Equation [eqn:W_update] relies on both the reconstruction term and the supervision term. As such, the gene-program definitions are directly shaped by their association with survival. The supervision term therefore shifts the update toward the survival gradient.</w:t>
      </w:r>
    </w:p>
    <w:p>
      <w:pPr>
        <w:pStyle w:val="BodyText"/>
      </w:pPr>
      <w:r>
        <w:t xml:space="preserve">By contrast, if supervision were applied to the sample loadings (H), the model</w:t>
      </w:r>
      <w:r>
        <w:t xml:space="preserve"> </w:t>
      </w:r>
      <w:r>
        <w:t xml:space="preserve">could reduce the Cox loss by redistributing patient-specific coefficients while</w:t>
      </w:r>
      <w:r>
        <w:t xml:space="preserve"> </w:t>
      </w:r>
      <w:r>
        <w:t xml:space="preserve">leaving the gene-level programs (W) nearly unchanged, a behavior documented for</w:t>
      </w:r>
      <w:r>
        <w:t xml:space="preserve"> </w:t>
      </w:r>
      <w:r>
        <w:t xml:space="preserve">supervised topic models, where supervision applied only to the coefficient</w:t>
      </w:r>
      <w:r>
        <w:t xml:space="preserve"> </w:t>
      </w:r>
      <w:r>
        <w:t xml:space="preserve">matrix modifies (H) but not the basis (W)</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w:t>
      </w:r>
    </w:p>
    <w:p>
      <w:pPr>
        <w:pStyle w:val="BodyText"/>
      </w:pPr>
      <w:r>
        <w:t xml:space="preserve">Supervising through (W) therefore shapes the gene programs toward prognostic</w:t>
      </w:r>
      <w:r>
        <w:t xml:space="preserve"> </w:t>
      </w:r>
      <w:r>
        <w:t xml:space="preserve">directions and yields biologically interpretable signatures that generalize</w:t>
      </w:r>
      <w:r>
        <w:t xml:space="preserve"> </w:t>
      </w:r>
      <w:r>
        <w:t xml:space="preserve">across cohorts.</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behaviour; no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θ</m:t>
        </m:r>
      </m:oMath>
      <w:r>
        <w:t xml:space="preserve"> </w:t>
      </w:r>
      <w:r>
        <w:t xml:space="preserve">collect the tuned parameters (at minimum</w:t>
      </w:r>
      <w:r>
        <w:t xml:space="preserve"> </w:t>
      </w:r>
      <m:oMath>
        <m:r>
          <m:t>θ</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θ</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\hat{c}(\theta) = \frac{1}{F} \sum_{f=1}^F \hat{c}_{(f)}(\theta).</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θ</m:t>
            </m:r>
          </m:e>
        </m:d>
      </m:oMath>
      <w:r>
        <w:t xml:space="preserve"> </w:t>
      </w:r>
      <w:r>
        <w:t xml:space="preserve">is expensive to evaluate and non-differentiable with</w:t>
      </w:r>
      <w:r>
        <w:t xml:space="preserve"> </w:t>
      </w:r>
      <w:r>
        <w:t xml:space="preserve">respect to</w:t>
      </w:r>
      <w:r>
        <w:t xml:space="preserve"> </w:t>
      </w:r>
      <m:oMath>
        <m:r>
          <m:t>θ</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θ</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θ</m:t>
                </m:r>
                <m:r>
                  <m:rPr>
                    <m:sty m:val="p"/>
                  </m:rPr>
                  <m:t>,</m:t>
                </m:r>
                <m:r>
                  <m:t>θ</m:t>
                </m:r>
                <m:r>
                  <m:rPr>
                    <m:sty m:val="p"/>
                  </m:rPr>
                  <m:t>′</m:t>
                </m:r>
              </m:e>
            </m:d>
          </m:e>
        </m:d>
      </m:oMath>
      <w:r>
        <w:t xml:space="preserve"> </w:t>
      </w:r>
      <w:r>
        <w:t xml:space="preserve">with a Mat'ern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After an initial batch of evaluations,</w:t>
      </w:r>
      <w:r>
        <w:t xml:space="preserve"> </w:t>
      </w:r>
      <w:r>
        <w:t xml:space="preserve">the GP is refit after each new observation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θ</m:t>
            </m:r>
          </m:e>
        </m:d>
      </m:oMath>
      <w:r>
        <w:t xml:space="preserve"> </w:t>
      </w:r>
      <w:r>
        <w:t xml:space="preserve">and</w:t>
      </w:r>
      <w:r>
        <w:t xml:space="preserve"> </w:t>
      </w:r>
      <m:oMath>
        <m:sSub>
          <m:e>
            <m:r>
              <m:t>σ</m:t>
            </m:r>
          </m:e>
          <m:sub>
            <m:r>
              <m:t>t</m:t>
            </m:r>
          </m:sub>
        </m:sSub>
        <m:d>
          <m:dPr>
            <m:begChr m:val="("/>
            <m:endChr m:val=")"/>
            <m:sepChr m:val=""/>
            <m:grow/>
          </m:dPr>
          <m:e>
            <m:r>
              <m:t>θ</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\operatorname{EI}(\theta) =</w:t>
      </w:r>
      <w:r>
        <w:t xml:space="preserve"> </w:t>
      </w:r>
      <w:r>
        <w:t xml:space="preserve">\left(\mu_t(\theta) - f_\star - \kappa\right)\Phi(Z(\theta))</w:t>
      </w:r>
      <w:r>
        <w:t xml:space="preserve"> </w:t>
      </w:r>
      <w:r>
        <w:t xml:space="preserve">+ \sigma_t(\theta)\phi(Z(\theta)),</w:t>
      </w:r>
      <w:r>
        <w:t xml:space="preserve"> </w:t>
      </w:r>
      <w:r>
        <w:t xml:space="preserve">\quad</w:t>
      </w:r>
      <w:r>
        <w:t xml:space="preserve"> </w:t>
      </w:r>
      <w:r>
        <w:t xml:space="preserve">Z(\theta) = \frac{\mu_t(\theta) - f_\star - \kappa}{\sigma_t(\theta)},</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folds stratified by cohort under</w:t>
      </w:r>
      <w:r>
        <w:t xml:space="preserve"> </w:t>
      </w:r>
      <w:r>
        <w:t xml:space="preserve">a fixed seed (123); each configuration was evaluated from 30 random</w:t>
      </w:r>
      <w:r>
        <w:t xml:space="preserve"> </w:t>
      </w:r>
      <w:r>
        <w:t xml:space="preserve">initializations and its C-index averaged across them.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θ</m:t>
            </m:r>
          </m:e>
        </m:d>
      </m:oMath>
      <w:r>
        <w:t xml:space="preserve"> </w:t>
      </w:r>
      <w:r>
        <w:t xml:space="preserve">as the</w:t>
      </w:r>
      <w:r>
        <w:t xml:space="preserve"> </w:t>
      </w:r>
      <w:r>
        <w:t xml:space="preserve">optimal configuration. When fold-level standard errors are available, we apply</w:t>
      </w:r>
      <w:r>
        <w:t xml:space="preserve"> </w:t>
      </w:r>
      <w:r>
        <w:t xml:space="preserve">a one-standard-error rule for</w:t>
      </w:r>
      <w:r>
        <w:t xml:space="preserve"> </w:t>
      </w:r>
      <m:oMath>
        <m:r>
          <m:t>k</m:t>
        </m:r>
      </m:oMath>
      <w:r>
        <w:t xml:space="preserve">: for each rank we retain the configuration</w:t>
      </w:r>
      <w:r>
        <w:t xml:space="preserve"> </w:t>
      </w:r>
      <w:r>
        <w:t xml:space="preserve">with the highest observed mean cross-validated C-index, set the threshold one</w:t>
      </w:r>
      <w:r>
        <w:t xml:space="preserve"> </w:t>
      </w:r>
      <w:r>
        <w:t xml:space="preserve">fold-level standard error below the overall best configuration’s mean, and</w:t>
      </w:r>
      <w:r>
        <w:t xml:space="preserve"> </w:t>
      </w:r>
      <w:r>
        <w:t xml:space="preserve">select the smallest rank whose 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within</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The nearest evaluated point is in the</w:t>
      </w:r>
      <w:r>
        <w:t xml:space="preserve"> </w:t>
      </w:r>
      <w:r>
        <w:t xml:space="preserve">fixed-hyperparameter sensitivity grid (Cross-validated C-index across</w:t>
      </w:r>
      <w:r>
        <w:t xml:space="preserve"> </w:t>
      </w:r>
      <w:r>
        <w:t xml:space="preserve">factorization rank), which holds the same</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w:t>
      </w:r>
      <w:r>
        <w:t xml:space="preserve"> </w:t>
      </w:r>
      <w:r>
        <w:t xml:space="preserve">at</w:t>
      </w:r>
      <w:r>
        <w:t xml:space="preserve"> </w:t>
      </w:r>
      <m:oMath>
        <m:r>
          <m:t>k</m:t>
        </m:r>
        <m:r>
          <m:rPr>
            <m:sty m:val="p"/>
          </m:rPr>
          <m:t>=</m:t>
        </m:r>
        <m:r>
          <m:t>3</m:t>
        </m:r>
      </m:oMath>
      <w:r>
        <w:t xml:space="preserve">,</w:t>
      </w:r>
      <w:r>
        <w:t xml:space="preserve"> </w:t>
      </w:r>
      <m:oMath>
        <m:r>
          <m:t>α</m:t>
        </m:r>
        <m:r>
          <m:rPr>
            <m:sty m:val="p"/>
          </m:rPr>
          <m:t>=</m:t>
        </m:r>
        <m:r>
          <m:t>0.35</m:t>
        </m:r>
      </m:oMath>
      <w:r>
        <w:t xml:space="preserve">, the five-fold</w:t>
      </w:r>
      <w:r>
        <w:t xml:space="preserve"> </w:t>
      </w:r>
      <w:r>
        <w:t xml:space="preserve">cross-validated C-index was</w:t>
      </w:r>
      <w:r>
        <w:t xml:space="preserve"> </w:t>
      </w:r>
      <m:oMath>
        <m:r>
          <m:t>0.656</m:t>
        </m:r>
      </m:oMath>
      <w:r>
        <w:t xml:space="preserve"> </w:t>
      </w:r>
      <w:r>
        <w:t xml:space="preserve">(standard</w:t>
      </w:r>
      <w:r>
        <w:t xml:space="preserve"> </w:t>
      </w:r>
      <w:r>
        <w:t xml:space="preserve">error</w:t>
      </w:r>
      <w:r>
        <w:t xml:space="preserve"> </w:t>
      </w:r>
      <m:oMath>
        <m:r>
          <m:t>0.010</m:t>
        </m:r>
      </m:oMath>
      <w:r>
        <w:t xml:space="preserve">).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(when tuned) 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factor-specific gene support used for projection and, in the final consensus procedure, the gene sets from each restart that enter the consensus initialization. After factorization, each sample’s score for factor</w:t>
      </w:r>
      <w:r>
        <w:t xml:space="preserve"> </w:t>
      </w:r>
      <m:oMath>
        <m:r>
          <m:t>j</m:t>
        </m:r>
      </m:oMath>
      <w:r>
        <w:t xml:space="preserve"> </w:t>
      </w:r>
      <w:r>
        <w:t xml:space="preserve">is computed as</w:t>
      </w:r>
      <w:r>
        <w:t xml:space="preserve"> </w:t>
      </w:r>
      <m:oMath>
        <m:sSubSup>
          <m:e>
            <m:acc>
              <m:accPr>
                <m:chr m:val="̃"/>
              </m:accPr>
              <m:e>
                <m:r>
                  <m:t>W</m:t>
                </m:r>
              </m:e>
            </m:acc>
          </m:e>
          <m:sub>
            <m:r>
              <m:t>j</m:t>
            </m:r>
          </m:sub>
          <m:sup>
            <m:r>
              <m:rPr>
                <m:sty m:val="p"/>
              </m:rPr>
              <m:t>⊤</m:t>
            </m:r>
          </m:sup>
        </m:sSubSup>
        <m:r>
          <m:t>x</m:t>
        </m:r>
      </m:oMath>
      <w:r>
        <w:t xml:space="preserve">, where</w:t>
      </w:r>
      <w:r>
        <w:t xml:space="preserve"> </w:t>
      </w:r>
      <m:oMath>
        <m:sSub>
          <m:e>
            <m:acc>
              <m:accPr>
                <m:chr m:val="̃"/>
              </m:accPr>
              <m:e>
                <m:r>
                  <m:t>W</m:t>
                </m:r>
              </m:e>
            </m:acc>
          </m:e>
          <m:sub>
            <m:r>
              <m:t>j</m:t>
            </m:r>
          </m:sub>
        </m:sSub>
      </m:oMath>
      <w:r>
        <w:t xml:space="preserve"> </w:t>
      </w:r>
      <w:r>
        <w:t xml:space="preserve">retains only the</w:t>
      </w:r>
      <w:r>
        <w:t xml:space="preserve"> </w:t>
      </w:r>
      <m:oMath>
        <m:sSub>
          <m:e>
            <m:r>
              <m:t>n</m:t>
            </m:r>
          </m:e>
          <m:sub>
            <m:r>
              <m:rPr>
                <m:nor/>
                <m:sty m:val="p"/>
              </m:rPr>
              <m:t>top</m:t>
            </m:r>
          </m:sub>
        </m:sSub>
      </m:oMath>
      <w:r>
        <w:t xml:space="preserve"> </w:t>
      </w:r>
      <w:r>
        <w:t xml:space="preserve">genes with the largest factor-specificity scores</w:t>
      </w:r>
      <w:r>
        <w:t xml:space="preserve"> </w:t>
      </w:r>
      <m:oMath>
        <m:sSub>
          <m:e>
            <m:r>
              <m:t>s</m:t>
            </m:r>
          </m:e>
          <m:sub>
            <m:r>
              <m:t>i</m:t>
            </m:r>
            <m:r>
              <m:t>j</m:t>
            </m:r>
          </m:sub>
        </m:sSub>
      </m:oMath>
      <w:r>
        <w:t xml:space="preserve"> </w:t>
      </w:r>
      <w:r>
        <w:t xml:space="preserve">(Supplementary Information, Section [sec:gene-program-correlation]); genes outside this set still shape the factorization but do not enter the linear predictor.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most influential coordinates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maximized at intermediate supervision and moderate rank and degrades toward the unsupervised corner (</w:t>
      </w:r>
      <m:oMath>
        <m:r>
          <m:t>α</m:t>
        </m:r>
        <m:r>
          <m:rPr>
            <m:sty m:val="p"/>
          </m:rPr>
          <m:t>=</m:t>
        </m:r>
        <m:r>
          <m:t>0</m:t>
        </m:r>
      </m:oMath>
      <w:r>
        <w:t xml:space="preserve">), consistent with a benefit of survival supervision.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with discrimination degrading toward the unsupervised (</w:t>
      </w:r>
      <m:oMath>
        <m:r>
          <m:t>α</m:t>
        </m:r>
        <m:r>
          <m:rPr>
            <m:sty m:val="p"/>
          </m:rPr>
          <m:t>=</m:t>
        </m:r>
        <m:r>
          <m:t>0</m:t>
        </m:r>
      </m:oMath>
      <w:r>
        <w:rPr>
          <w:iCs/>
          <w:i/>
        </w:rPr>
        <w:t xml:space="preserve">) boundary. This is empirical model-selection tuning on the training data, not a simulation result.</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expression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the RNA-seq cohort received a</w:t>
      </w:r>
      <w:r>
        <w:t xml:space="preserve"> </w:t>
      </w:r>
      <w:r>
        <w:t xml:space="preserve">``_seq’’ suffix on sample IDs to avoid collisions with the array cohort.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by mean expression and by variance independently; the 3,000 genes with the</w:t>
      </w:r>
      <w:r>
        <w:t xml:space="preserve"> </w:t>
      </w:r>
      <w:r>
        <w:t xml:space="preserve">lowest sum of these two ranks were retained, selecting genes that are both</w:t>
      </w:r>
      <w:r>
        <w:t xml:space="preserve"> </w:t>
      </w:r>
      <w:r>
        <w:t xml:space="preserve">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6"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were</w:t>
      </w:r>
      <w:r>
        <w:t xml:space="preserve"> </w:t>
      </w:r>
      <w:r>
        <w:t xml:space="preserve">computed as</w:t>
      </w:r>
      <w:r>
        <w:t xml:space="preserve"> </w:t>
      </w:r>
      <m:oMath>
        <m:r>
          <m:t>Z</m:t>
        </m:r>
        <m:r>
          <m:rPr>
            <m:sty m:val="p"/>
          </m:rPr>
          <m:t>=</m:t>
        </m:r>
        <m:sSup>
          <m:e>
            <m:acc>
              <m:accPr>
                <m:chr m:val="̃"/>
              </m:accPr>
              <m:e>
                <m:r>
                  <m:t>W</m:t>
                </m:r>
              </m:e>
            </m:acc>
          </m:e>
          <m:sup>
            <m:r>
              <m:rPr>
                <m:sty m:val="p"/>
              </m:rPr>
              <m:t>⊤</m:t>
            </m:r>
          </m:sup>
        </m:sSup>
        <m:r>
          <m:t>X</m:t>
        </m:r>
      </m:oMath>
      <w:r>
        <w:t xml:space="preserve"> </w:t>
      </w:r>
      <w:r>
        <w:t xml:space="preserve">and standardized using the training mean and</w:t>
      </w:r>
      <w:r>
        <w:t xml:space="preserve"> </w:t>
      </w:r>
      <w:r>
        <w:t xml:space="preserve">standard deviation before constructing the linear predictor</w:t>
      </w:r>
      <w:r>
        <w:t xml:space="preserve"> </w:t>
      </w:r>
      <m:oMath>
        <m:acc>
          <m:accPr>
            <m:chr m:val="̂"/>
          </m:accPr>
          <m:e>
            <m:r>
              <m:t>η</m:t>
            </m:r>
          </m:e>
        </m:acc>
        <m:r>
          <m:rPr>
            <m:sty m:val="p"/>
          </m:rPr>
          <m:t>=</m:t>
        </m:r>
        <m:r>
          <m:t>Z</m:t>
        </m:r>
        <m:acc>
          <m:accPr>
            <m:chr m:val="̂"/>
          </m:accPr>
          <m:e>
            <m:r>
              <m:t>β</m:t>
            </m:r>
          </m:e>
        </m:acc>
      </m:oMath>
      <w:r>
        <w:t xml:space="preserve">. For the per-factor associations shown in the</w:t>
      </w:r>
      <w:r>
        <w:t xml:space="preserve"> </w:t>
      </w:r>
      <w:r>
        <w:t xml:space="preserve">validation forest plot, each individual factor score was standardized to zero</w:t>
      </w:r>
      <w:r>
        <w:t xml:space="preserve"> </w:t>
      </w:r>
      <w:r>
        <w:t xml:space="preserve">mean and unit standard deviation within its own cohort, so that per-factor</w:t>
      </w:r>
      <w:r>
        <w:t xml:space="preserve"> </w:t>
      </w:r>
      <w:r>
        <w:t xml:space="preserve">hazard ratios are expressed per one standard-deviation increment. The</w:t>
      </w:r>
      <w:r>
        <w:t xml:space="preserve"> </w:t>
      </w:r>
      <w:r>
        <w:t xml:space="preserve">multivariable linear predictor was likewise reported per standard deviation. Prognostic performance was summarized using the</w:t>
      </w:r>
      <w:r>
        <w:t xml:space="preserve"> </w:t>
      </w:r>
      <w:r>
        <w:t xml:space="preserve">concordance index as defined above. When multiple datasets were pooled, Cox models were stratified</w:t>
      </w:r>
      <w:r>
        <w:t xml:space="preserve"> </w:t>
      </w:r>
      <w:r>
        <w:t xml:space="preserve">by dataset to allow cohort-specific baseline hazards.</w:t>
      </w:r>
    </w:p>
    <w:bookmarkEnd w:id="36"/>
    <w:bookmarkStart w:id="37"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Reference gene programs displayed spanned classical and basal-like tumor</w:t>
      </w:r>
      <w:r>
        <w:t xml:space="preserve"> </w:t>
      </w:r>
      <w:r>
        <w:t xml:space="preserve">signatures and activated/immune stromal programs from Moffitt et al.</w:t>
      </w:r>
      <w:r>
        <w:br/>
      </w:r>
      <w:hyperlink w:anchor="ref-moffitt2015virtual">
        <w:r>
          <w:rPr>
            <w:rStyle w:val="Hyperlink"/>
            <w:vertAlign w:val="superscript"/>
          </w:rPr>
          <w:t xml:space="preserve">14</w:t>
        </w:r>
      </w:hyperlink>
      <w:r>
        <w:t xml:space="preserve">; classical and exocrine subtypes from Collisson et al.</w:t>
      </w:r>
      <w:r>
        <w:br/>
      </w:r>
      <w:hyperlink w:anchor="ref-collisson2011subtypes">
        <w:r>
          <w:rPr>
            <w:rStyle w:val="Hyperlink"/>
            <w:vertAlign w:val="superscript"/>
          </w:rPr>
          <w:t xml:space="preserve">19</w:t>
        </w:r>
      </w:hyperlink>
      <w:r>
        <w:t xml:space="preserve">; classical-tumor, basal-like-tumor, exocrine, and</w:t>
      </w:r>
      <w:r>
        <w:t xml:space="preserve"> </w:t>
      </w:r>
      <w:r>
        <w:t xml:space="preserve">activated-stroma compartment signatures from DECODER</w:t>
      </w:r>
      <w:hyperlink w:anchor="ref-peng2019novo">
        <w:r>
          <w:rPr>
            <w:rStyle w:val="Hyperlink"/>
            <w:vertAlign w:val="superscript"/>
          </w:rPr>
          <w:t xml:space="preserve">20</w:t>
        </w:r>
      </w:hyperlink>
      <w:r>
        <w:t xml:space="preserve">; the pure</w:t>
      </w:r>
      <w:r>
        <w:t xml:space="preserve"> </w:t>
      </w:r>
      <w:r>
        <w:t xml:space="preserve">classical, immune classical, desmoplastic, and basal-like tumor</w:t>
      </w:r>
      <w:r>
        <w:t xml:space="preserve"> </w:t>
      </w:r>
      <w:r>
        <w:t xml:space="preserve">microenvironment programs from Puleo et al. </w:t>
      </w:r>
      <w:hyperlink w:anchor="ref-puleo2018stratification">
        <w:r>
          <w:rPr>
            <w:rStyle w:val="Hyperlink"/>
            <w:vertAlign w:val="superscript"/>
          </w:rPr>
          <w:t xml:space="preserve">16</w:t>
        </w:r>
      </w:hyperlink>
      <w:r>
        <w:t xml:space="preserve">; the ECM</w:t>
      </w:r>
      <w:r>
        <w:t xml:space="preserve"> </w:t>
      </w:r>
      <w:r>
        <w:t xml:space="preserve">and immune programs from Maurer et al. </w:t>
      </w:r>
      <w:hyperlink w:anchor="ref-Maurer2019">
        <w:r>
          <w:rPr>
            <w:rStyle w:val="Hyperlink"/>
            <w:vertAlign w:val="superscript"/>
          </w:rPr>
          <w:t xml:space="preserve">21</w:t>
        </w:r>
      </w:hyperlink>
      <w:r>
        <w:t xml:space="preserve">; the iCAF</w:t>
      </w:r>
      <w:r>
        <w:t xml:space="preserve"> </w:t>
      </w:r>
      <w:r>
        <w:t xml:space="preserve">cancer-associated fibroblast signature from Elyada et al. </w:t>
      </w:r>
      <w:hyperlink w:anchor="ref-elyada2019cross">
        <w:r>
          <w:rPr>
            <w:rStyle w:val="Hyperlink"/>
            <w:vertAlign w:val="superscript"/>
          </w:rPr>
          <w:t xml:space="preserve">22</w:t>
        </w:r>
      </w:hyperlink>
      <w:r>
        <w:t xml:space="preserve">;</w:t>
      </w:r>
      <w:r>
        <w:t xml:space="preserve"> </w:t>
      </w:r>
      <w:r>
        <w:t xml:space="preserve">the proCAF, restCAF, and panCAF fibroblast subtypes from SCISSORS</w:t>
      </w:r>
      <w:hyperlink w:anchor="ref-leary2023s">
        <w:r>
          <w:rPr>
            <w:rStyle w:val="Hyperlink"/>
            <w:vertAlign w:val="superscript"/>
          </w:rPr>
          <w:t xml:space="preserve">23</w:t>
        </w:r>
      </w:hyperlink>
      <w:r>
        <w:t xml:space="preserve">; the proCAF and restCAF programs from the DeCAF study</w:t>
      </w:r>
      <w:hyperlink w:anchor="ref-peng2024determination">
        <w:r>
          <w:rPr>
            <w:rStyle w:val="Hyperlink"/>
            <w:vertAlign w:val="superscript"/>
          </w:rPr>
          <w:t xml:space="preserve">18</w:t>
        </w:r>
      </w:hyperlink>
      <w:r>
        <w:t xml:space="preserve">; the classical A subtype from Chan-Seng-Yue et al.</w:t>
      </w:r>
      <w:r>
        <w:br/>
      </w:r>
      <w:hyperlink w:anchor="ref-chansengyue2020transcription">
        <w:r>
          <w:rPr>
            <w:rStyle w:val="Hyperlink"/>
            <w:vertAlign w:val="superscript"/>
          </w:rPr>
          <w:t xml:space="preserve">24</w:t>
        </w:r>
      </w:hyperlink>
      <w:r>
        <w:t xml:space="preserve">; and the ADEX (aberrantly differentiated</w:t>
      </w:r>
      <w:r>
        <w:t xml:space="preserve"> </w:t>
      </w:r>
      <w:r>
        <w:t xml:space="preserve">endocrine exocrine) program from Bailey et al. </w:t>
      </w:r>
      <w:hyperlink w:anchor="ref-Bailey2016">
        <w:r>
          <w:rPr>
            <w:rStyle w:val="Hyperlink"/>
            <w:vertAlign w:val="superscript"/>
          </w:rPr>
          <w:t xml:space="preserve">15</w:t>
        </w:r>
      </w:hyperlink>
      <w:r>
        <w:t xml:space="preserve">. Bailey’s ADEX</w:t>
      </w:r>
      <w:r>
        <w:t xml:space="preserve"> </w:t>
      </w:r>
      <w:r>
        <w:t xml:space="preserve">program is retained because it is unique, whereas redundant Bailey programs,</w:t>
      </w:r>
      <w:r>
        <w:t xml:space="preserve"> </w:t>
      </w:r>
      <w:r>
        <w:t xml:space="preserve">periductal subtypes, and MSI subtypes were dropped as exact duplicates of, or</w:t>
      </w:r>
      <w:r>
        <w:t xml:space="preserve"> </w:t>
      </w:r>
      <w:r>
        <w:t xml:space="preserve">low-correlation relative to, other retained programs.</w:t>
      </w:r>
    </w:p>
    <w:bookmarkEnd w:id="37"/>
    <w:bookmarkStart w:id="38"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 additive decomposition of reconstruction that</w:t>
      </w:r>
      <w:r>
        <w:t xml:space="preserve"> </w:t>
      </w:r>
      <w:r>
        <w:t xml:space="preserve">sums to one; individual shares may be signed in principle but were all positive</w:t>
      </w:r>
      <w:r>
        <w:t xml:space="preserve"> </w:t>
      </w:r>
      <w:r>
        <w:t xml:space="preserve">in the reported PDAC models.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the reduction in Cox partial log-likelihood when factor</w:t>
      </w:r>
      <w:r>
        <w:t xml:space="preserve"> </w:t>
      </w:r>
      <m:oMath>
        <m:r>
          <m:t>j</m:t>
        </m:r>
      </m:oMath>
      <w:r>
        <w:t xml:space="preserve"> </w:t>
      </w:r>
      <w:r>
        <w:t xml:space="preserve">is 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negligible.</w:t>
      </w:r>
    </w:p>
    <w:bookmarkEnd w:id="38"/>
    <w:bookmarkStart w:id="5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an arbitrary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Start w:id="39" w:name="Xe6ac4b0c6b90b090fd37dec025b0814a2daa6b9"/>
    <w:p>
      <w:pPr>
        <w:pStyle w:val="Heading2"/>
      </w:pPr>
      <w:r>
        <w:t xml:space="preserve">Cross-method reconstructability and reconstruction fidelity</w:t>
      </w:r>
    </w:p>
    <w:p>
      <w:pPr>
        <w:pStyle w:val="FirstParagraph"/>
      </w:pPr>
      <w:r>
        <w:t xml:space="preserve">The correlation heatmap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other basis</w:t>
            </w:r>
          </w:p>
        </w:tc>
        <w:tc>
          <w:tcPr/>
          <w:p>
            <w:pPr>
              <w:pStyle w:val="Compact"/>
              <w:jc w:val="left"/>
            </w:pPr>
            <w:r>
              <w:t xml:space="preserve">Linear reconstructability</w:t>
            </w:r>
          </w:p>
        </w:tc>
      </w:tr>
      <w:tr>
        <w:tc>
          <w:tcPr/>
          <w:p>
            <w:pPr>
              <w:pStyle w:val="Compact"/>
              <w:jc w:val="left"/>
            </w:pPr>
            <w:r>
              <w:t xml:space="preserve">NMF N1 (tumor)</w:t>
            </w:r>
          </w:p>
        </w:tc>
        <w:tc>
          <w:tcPr/>
          <w:p>
            <w:pPr>
              <w:pStyle w:val="Compact"/>
              <w:jc w:val="left"/>
            </w:pPr>
            <w:r>
              <w:t xml:space="preserve">0.90</w:t>
            </w:r>
          </w:p>
        </w:tc>
        <w:tc>
          <w:tcPr/>
          <w:p>
            <w:pPr>
              <w:pStyle w:val="Compact"/>
              <w:jc w:val="left"/>
            </w:pPr>
            <w:r>
              <w:t xml:space="preserve">well reconstructed</w:t>
            </w:r>
          </w:p>
        </w:tc>
      </w:tr>
      <w:tr>
        <w:tc>
          <w:tcPr/>
          <w:p>
            <w:pPr>
              <w:pStyle w:val="Compact"/>
              <w:jc w:val="left"/>
            </w:pPr>
            <w:r>
              <w:t xml:space="preserve">NMF N2 (exocrine)</w:t>
            </w:r>
          </w:p>
        </w:tc>
        <w:tc>
          <w:tcPr/>
          <w:p>
            <w:pPr>
              <w:pStyle w:val="Compact"/>
              <w:jc w:val="left"/>
            </w:pPr>
            <w:r>
              <w:t xml:space="preserve">0.38</w:t>
            </w:r>
          </w:p>
        </w:tc>
        <w:tc>
          <w:tcPr/>
          <w:p>
            <w:pPr>
              <w:pStyle w:val="Compact"/>
              <w:jc w:val="left"/>
            </w:pPr>
            <w:r>
              <w:t xml:space="preserve">poorly reconstructed</w:t>
            </w:r>
          </w:p>
        </w:tc>
      </w:tr>
      <w:tr>
        <w:tc>
          <w:tcPr/>
          <w:p>
            <w:pPr>
              <w:pStyle w:val="Compact"/>
              <w:jc w:val="left"/>
            </w:pPr>
            <w:r>
              <w:t xml:space="preserve">NMF N3 (microenviron.)</w:t>
            </w:r>
          </w:p>
        </w:tc>
        <w:tc>
          <w:tcPr/>
          <w:p>
            <w:pPr>
              <w:pStyle w:val="Compact"/>
              <w:jc w:val="left"/>
            </w:pPr>
            <w:r>
              <w:t xml:space="preserve">0.88</w:t>
            </w:r>
          </w:p>
        </w:tc>
        <w:tc>
          <w:tcPr/>
          <w:p>
            <w:pPr>
              <w:pStyle w:val="Compact"/>
              <w:jc w:val="left"/>
            </w:pPr>
            <w:r>
              <w:t xml:space="preserve">well reconstructed</w:t>
            </w:r>
          </w:p>
        </w:tc>
      </w:tr>
      <w:tr>
        <w:tc>
          <w:tcPr/>
          <w:p>
            <w:pPr>
              <w:pStyle w:val="Compact"/>
              <w:jc w:val="left"/>
            </w:pPr>
            <w:r>
              <w:t xml:space="preserve">DeSurv D1 (classical/restCAF-like)</w:t>
            </w:r>
          </w:p>
        </w:tc>
        <w:tc>
          <w:tcPr/>
          <w:p>
            <w:pPr>
              <w:pStyle w:val="Compact"/>
              <w:jc w:val="left"/>
            </w:pPr>
            <w:r>
              <w:t xml:space="preserve">0.09</w:t>
            </w:r>
          </w:p>
        </w:tc>
        <w:tc>
          <w:tcPr/>
          <w:p>
            <w:pPr>
              <w:pStyle w:val="Compact"/>
              <w:jc w:val="left"/>
            </w:pPr>
            <w:r>
              <w:t xml:space="preserve">not linearly reconstructable</w:t>
            </w:r>
          </w:p>
        </w:tc>
      </w:tr>
      <w:tr>
        <w:tc>
          <w:tcPr/>
          <w:p>
            <w:pPr>
              <w:pStyle w:val="Compact"/>
              <w:jc w:val="left"/>
            </w:pPr>
            <w:r>
              <w:t xml:space="preserve">DeSurv D2 (proCAF-like)</w:t>
            </w:r>
          </w:p>
        </w:tc>
        <w:tc>
          <w:tcPr/>
          <w:p>
            <w:pPr>
              <w:pStyle w:val="Compact"/>
              <w:jc w:val="left"/>
            </w:pPr>
            <w:r>
              <w:t xml:space="preserve">0.81</w:t>
            </w:r>
          </w:p>
        </w:tc>
        <w:tc>
          <w:tcPr/>
          <w:p>
            <w:pPr>
              <w:pStyle w:val="Compact"/>
              <w:jc w:val="left"/>
            </w:pPr>
            <w:r>
              <w:t xml:space="preserve">reconstructable (</w:t>
            </w:r>
            <m:oMath>
              <m:r>
                <m:rPr>
                  <m:sty m:val="p"/>
                </m:rPr>
                <m:t>≈</m:t>
              </m:r>
            </m:oMath>
            <w:r>
              <w:t xml:space="preserve">N3)</w:t>
            </w:r>
          </w:p>
        </w:tc>
      </w:tr>
      <w:tr>
        <w:tc>
          <w:tcPr/>
          <w:p>
            <w:pPr>
              <w:pStyle w:val="Compact"/>
              <w:jc w:val="left"/>
            </w:pPr>
            <w:r>
              <w:t xml:space="preserve">DeSurv D3 (basal-like)</w:t>
            </w:r>
          </w:p>
        </w:tc>
        <w:tc>
          <w:tcPr/>
          <w:p>
            <w:pPr>
              <w:pStyle w:val="Compact"/>
              <w:jc w:val="left"/>
            </w:pPr>
            <w:r>
              <w:t xml:space="preserve">0.75</w:t>
            </w:r>
          </w:p>
        </w:tc>
        <w:tc>
          <w:tcPr/>
          <w:p>
            <w:pPr>
              <w:pStyle w:val="Compact"/>
              <w:jc w:val="left"/>
            </w:pPr>
            <w:r>
              <w:t xml:space="preserve">reconstructable (</w:t>
            </w:r>
            <m:oMath>
              <m:r>
                <m:rPr>
                  <m:sty m:val="p"/>
                </m:rPr>
                <m:t>≈</m:t>
              </m:r>
            </m:oMath>
            <w:r>
              <w:t xml:space="preserve">N1)</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i.e. not well reconstructed as a linear combination of the NMF factors,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only for comparability with the code. On the centered definition DeSurv gives up 6.0 percentage points of reconstruction relative to NMF (1.5 on the uncentered scale).</w:t>
      </w:r>
    </w:p>
    <w:p>
      <w:pPr>
        <w:pStyle w:val="BodyText"/>
      </w:pPr>
      <w:r>
        <w:t xml:space="preserve">On the uncentered scale used by</w:t>
      </w:r>
      <w:r>
        <w:t xml:space="preserve"> </w:t>
      </w:r>
      <w:r>
        <w:t xml:space="preserve">the reconstruction helper the gap is only</w:t>
      </w:r>
      <w:r>
        <w:t xml:space="preserve"> </w:t>
      </w:r>
      <m:oMath>
        <m:r>
          <m:t>1.5</m:t>
        </m:r>
      </m:oMath>
      <w:r>
        <w:t xml:space="preserve"> </w:t>
      </w:r>
      <w:r>
        <w:t xml:space="preserve">percentage points, but that scale flatters any nonnegative low-rank fit to a</w:t>
      </w:r>
      <w:r>
        <w:t xml:space="preserve"> </w:t>
      </w:r>
      <w:r>
        <w:t xml:space="preserve">rank matrix, and on the conventional centered definition DeSurv gives up</w:t>
      </w:r>
      <w:r>
        <w:t xml:space="preserve"> </w:t>
      </w:r>
      <m:oMath>
        <m:r>
          <m:t>6.0</m:t>
        </m:r>
      </m:oMath>
      <w:r>
        <w:t xml:space="preserve"> </w:t>
      </w:r>
      <w:r>
        <w:t xml:space="preserve">percentage points of reconstruction</w:t>
      </w:r>
      <w:r>
        <w:t xml:space="preserve"> </w:t>
      </w:r>
      <m:oMath>
        <m:sSup>
          <m:e>
            <m:r>
              <m:t>R</m:t>
            </m:r>
          </m:e>
          <m:sup>
            <m:r>
              <m:t>2</m:t>
            </m:r>
          </m:sup>
        </m:sSup>
      </m:oMath>
      <w:r>
        <w:t xml:space="preserve"> </w:t>
      </w:r>
      <w:r>
        <w:t xml:space="preserve">relative to unsupervised NMF (Table [tab:overall-r2]), a relative loss of</w:t>
      </w:r>
      <w:r>
        <w:t xml:space="preserve"> </w:t>
      </w:r>
      <w:r>
        <w:t xml:space="preserve">about</w:t>
      </w:r>
      <w:r>
        <w:t xml:space="preserve"> </w:t>
      </w:r>
      <m:oMath>
        <m:r>
          <m:t>7</m:t>
        </m:r>
      </m:oMath>
      <w:r>
        <w:t xml:space="preserve">%. We report the</w:t>
      </w:r>
      <w:r>
        <w:t xml:space="preserve"> </w:t>
      </w:r>
      <w:r>
        <w:t xml:space="preserve">centered figure in the main text.</w:t>
      </w:r>
    </w:p>
    <w:bookmarkEnd w:id="39"/>
    <w:bookmarkStart w:id="43" w:name="the-d1-axis-is-not-specific-to-desurv"/>
    <w:p>
      <w:pPr>
        <w:pStyle w:val="Heading2"/>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selected genes),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and each aligned specifically with</w:t>
      </w:r>
      <w:r>
        <w:t xml:space="preserve"> </w:t>
      </w:r>
      <w:r>
        <w:t xml:space="preserve">D1 rather than the stromal D2 or basal-like D3 programs</w:t>
      </w:r>
      <w:r>
        <w:t xml:space="preserve"> </w:t>
      </w:r>
      <w:r>
        <w:t xml:space="preserve">(Fig. [fig:suprec]).</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a variance-dominant unsupervised direction)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survival-supervised methods, not an idiosyncrasy of the DeSurv</w:t>
      </w:r>
      <w:r>
        <w:t xml:space="preserve"> </w:t>
      </w:r>
      <w:r>
        <w:t xml:space="preserve">algorithm.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1" name="Picture"/>
            <a:graphic>
              <a:graphicData uri="http://schemas.openxmlformats.org/drawingml/2006/picture">
                <pic:pic>
                  <pic:nvPicPr>
                    <pic:cNvPr descr=".docx_media/figures_fig_supervised_recovery.png" id="42" name="Picture"/>
                    <pic:cNvPicPr>
                      <a:picLocks noChangeArrowheads="1" noChangeAspect="1"/>
                    </pic:cNvPicPr>
                  </pic:nvPicPr>
                  <pic:blipFill>
                    <a:blip r:embed="rId40"/>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Independent survival-supervised methods recover the D1 axis; an unsupervised method does not.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3"/>
    <w:bookmarkStart w:id="44" w:name="X9757ed67decbd0705bb487c4901c09b15a3ba5f"/>
    <w:p>
      <w:pPr>
        <w:pStyle w:val="Heading2"/>
      </w:pPr>
      <w:r>
        <w:t xml:space="preserve">Robustness to tuned supervised comparators and compartment attribution</w:t>
      </w:r>
    </w:p>
    <w:p>
      <w:pPr>
        <w:pStyle w:val="FirstParagraph"/>
      </w:pPr>
      <w:r>
        <w:t xml:space="preserve">The analyses above establish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penalized (lasso) Cox (</w:t>
      </w:r>
      <w:r>
        <w:rPr>
          <w:rStyle w:val="VerbatimChar"/>
        </w:rPr>
        <w:t xml:space="preserve">glmnet</w:t>
      </w:r>
      <w:r>
        <w:t xml:space="preserve">,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unavailable in our environment. All methods used the same 1,970-gene universe selected from the training data by expression and variance and performed its own feature selection; DeSurv was scored with its Bayesian-optimization-selected top-270-per-factor programs;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penalized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penalized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penalized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penalized Cox and</w:t>
      </w:r>
      <w:r>
        <w:t xml:space="preserve"> </w:t>
      </w:r>
      <m:oMath>
        <m:r>
          <m:t>0.14</m:t>
        </m:r>
      </m:oMath>
      <w:r>
        <w:t xml:space="preserve"> </w:t>
      </w:r>
      <w:r>
        <w:t xml:space="preserve">for supervised PCA): a single supervised risk axis captures the dominant tumour-axis signal but not the separate stromal program.</w:t>
      </w:r>
    </w:p>
    <w:p>
      <w:pPr>
        <w:pStyle w:val="BodyText"/>
      </w:pPr>
      <w:r>
        <w:t xml:space="preserve">The compartment attribution made this explicit. Because D1 runs from a classical-tumour, restraining-stroma protective pole to a basal-like high-risk pole, a sparse supervised risk score aligned with D1 is naturally composed of basal-like tumour markers. Accordingly, across 12 cross-validation seeds the genes selected by both methods were reproducibly enriched (hypergeometric</w:t>
      </w:r>
      <w:r>
        <w:t xml:space="preserve"> </w:t>
      </w:r>
      <m:oMath>
        <m:r>
          <m:t>P</m:t>
        </m:r>
        <m:r>
          <m:rPr>
            <m:sty m:val="p"/>
          </m:rPr>
          <m:t>&lt;</m:t>
        </m:r>
        <m:r>
          <m:t>0.01</m:t>
        </m:r>
      </m:oMath>
      <w:r>
        <w:t xml:space="preserve">) for the basal-like tumour program (in 12/12 seeds for penalized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penalized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supervised risk scores retained modest stromal signal but did not resolve it as a distinct program. DeSurv instead placed the dominant survival-associated direction within a three-program representation containing separately measurable classical/restCAF-like, proCAF-like and basal-like programs. Thus, the distinction is representational: DeSurv preserves stromal context as an explicit program even when that program does not contribute independently to the fitted linear predictor.</w:t>
      </w:r>
    </w:p>
    <w:bookmarkEnd w:id="44"/>
    <w:bookmarkStart w:id="45" w:name="Xa2ff139905cf53f2ad50f77e672e78f3363c375"/>
    <w:p>
      <w:pPr>
        <w:pStyle w:val="Heading2"/>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Because Harrell’s C can be optimistic when</w:t>
      </w:r>
      <w:r>
        <w:t xml:space="preserve"> </w:t>
      </w:r>
      <w:r>
        <w:t xml:space="preserve">hazards are non-proportional</w:t>
      </w:r>
      <w:hyperlink w:anchor="ref-birolo2025beyondcox">
        <w:r>
          <w:rPr>
            <w:rStyle w:val="Hyperlink"/>
            <w:vertAlign w:val="superscript"/>
          </w:rPr>
          <w:t xml:space="preserve">26</w:t>
        </w:r>
      </w:hyperlink>
      <w:r>
        <w:rPr>
          <w:vertAlign w:val="superscript"/>
        </w:rPr>
        <w:t xml:space="preserve">,</w:t>
      </w:r>
      <w:hyperlink w:anchor="ref-hao2021dnnsurv">
        <w:r>
          <w:rPr>
            <w:rStyle w:val="Hyperlink"/>
            <w:vertAlign w:val="superscript"/>
          </w:rPr>
          <w:t xml:space="preserve">27</w:t>
        </w:r>
      </w:hyperlink>
      <w:r>
        <w:t xml:space="preserve">, we additionally</w:t>
      </w:r>
      <w:r>
        <w:t xml:space="preserve"> </w:t>
      </w:r>
      <w:r>
        <w:t xml:space="preserve">evaluated the DeSurv linear predictor, its direction frozen from training, with</w:t>
      </w:r>
      <w:r>
        <w:t xml:space="preserve"> </w:t>
      </w:r>
      <w:r>
        <w:t xml:space="preserve">a proper score, the integrated Brier score (IBS), in each validation cohort,</w:t>
      </w:r>
      <w:r>
        <w:t xml:space="preserve"> </w:t>
      </w:r>
      <w:r>
        <w:t xml:space="preserve">recalibrating only its scalar slope and baseline hazard</w:t>
      </w:r>
      <w:r>
        <w:t xml:space="preserve"> </w:t>
      </w:r>
      <w:r>
        <w:t xml:space="preserve">within each cohort and scoring over that cohort’s follow-up. For a single</w:t>
      </w:r>
      <w:r>
        <w:t xml:space="preserve"> </w:t>
      </w:r>
      <w:r>
        <w:t xml:space="preserve">time-invariant risk score under proportional hazards the monotone score-to-survival</w:t>
      </w:r>
      <w:r>
        <w:t xml:space="preserve"> </w:t>
      </w:r>
      <w:r>
        <w:t xml:space="preserve">map preserves the concordance ordering, so Antolini’s time-dependent concordance</w:t>
      </w:r>
      <w:r>
        <w:t xml:space="preserve"> </w:t>
      </w:r>
      <w:r>
        <w:t xml:space="preserve">coincides with Harrell’s C; the additional performance measure is therefore the proper score rather than a second concordance statistic.</w:t>
      </w:r>
    </w:p>
    <w:p>
      <w:pPr>
        <w:pStyle w:val="BodyText"/>
      </w:pPr>
      <w:r>
        <w:t xml:space="preserve">Across the 5 cohorts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(per-cohort range</w:t>
      </w:r>
      <w:r>
        <w:t xml:space="preserve"> </w:t>
      </w:r>
      <w:r>
        <w:t xml:space="preserve">2.9–9.4%). Because each</w:t>
      </w:r>
      <w:r>
        <w:t xml:space="preserve"> </w:t>
      </w:r>
      <w:r>
        <w:t xml:space="preserve">cohort’s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per-cohort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cohort’s</w:t>
      </w:r>
      <w:r>
        <w:t xml:space="preserve"> </w:t>
      </w:r>
      <w:r>
        <w:t xml:space="preserve">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and are optimistic. Both caveats weaken the evidentiary value of the apparent improvement, because in-sample recalibration is optimistically biased, and the improvement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tumour- and stroma-associated decomposition</w:t>
      </w:r>
      <w:r>
        <w:t xml:space="preserve"> </w:t>
      </w:r>
      <w:r>
        <w:t xml:space="preserve">rather than higher predictive accuracy.</w:t>
      </w:r>
    </w:p>
    <w:bookmarkEnd w:id="45"/>
    <w:bookmarkStart w:id="46" w:name="proportional-hazards-diagnostic"/>
    <w:p>
      <w:pPr>
        <w:pStyle w:val="Heading2"/>
      </w:pPr>
      <w:r>
        <w:t xml:space="preserve">Proportional-hazards diagnostic</w:t>
      </w:r>
    </w:p>
    <w:p>
      <w:pPr>
        <w:pStyle w:val="FirstParagraph"/>
      </w:pPr>
      <w:r>
        <w:t xml:space="preserve">Because the pooled hazard ratio assumes proportional hazards, we tested the scaled Schoenfeld residuals of the stratified validation model (</w:t>
      </w:r>
      <m:oMath>
        <m:r>
          <m:rPr>
            <m:sty m:val="p"/>
          </m:rPr>
          <m:t>S</m:t>
        </m:r>
        <m:r>
          <m:rPr>
            <m:sty m:val="p"/>
          </m:rPr>
          <m:t>u</m:t>
        </m:r>
        <m:r>
          <m:rPr>
            <m:sty m:val="p"/>
          </m:rPr>
          <m:t>r</m:t>
        </m:r>
        <m:r>
          <m:rPr>
            <m:sty m:val="p"/>
          </m:rPr>
          <m:t>v</m:t>
        </m:r>
        <m:d>
          <m:dPr>
            <m:begChr m:val="("/>
            <m:endChr m:val=")"/>
            <m:sepChr m:val=""/>
            <m:grow/>
          </m:dPr>
          <m:e>
            <m:r>
              <m:t>t</m:t>
            </m:r>
            <m:r>
              <m:rPr>
                <m:sty m:val="p"/>
              </m:rPr>
              <m:t>,</m:t>
            </m:r>
            <m:r>
              <m:t>δ</m:t>
            </m:r>
          </m:e>
        </m:d>
        <m:r>
          <m:rPr>
            <m:sty m:val="p"/>
          </m:rPr>
          <m:t>∼</m:t>
        </m:r>
        <m:r>
          <m:rPr>
            <m:nor/>
            <m:sty m:val="p"/>
          </m:rPr>
          <m:t>risk_z</m:t>
        </m:r>
        <m:r>
          <m:rPr>
            <m:sty m:val="p"/>
          </m:rPr>
          <m:t>+</m:t>
        </m:r>
        <m:r>
          <m:rPr>
            <m:sty m:val="p"/>
          </m:rPr>
          <m:t>s</m:t>
        </m:r>
        <m:r>
          <m:rPr>
            <m:sty m:val="p"/>
          </m:rPr>
          <m:t>t</m:t>
        </m:r>
        <m:r>
          <m:rPr>
            <m:sty m:val="p"/>
          </m:rPr>
          <m:t>r</m:t>
        </m:r>
        <m:r>
          <m:rPr>
            <m:sty m:val="p"/>
          </m:rPr>
          <m:t>a</m:t>
        </m:r>
        <m:r>
          <m:rPr>
            <m:sty m:val="p"/>
          </m:rPr>
          <m:t>t</m:t>
        </m:r>
        <m:r>
          <m:rPr>
            <m:sty m:val="p"/>
          </m:rPr>
          <m:t>a</m:t>
        </m:r>
        <m:d>
          <m:dPr>
            <m:begChr m:val="("/>
            <m:endChr m:val=")"/>
            <m:sepChr m:val=""/>
            <m:grow/>
          </m:dPr>
          <m:e>
            <m:r>
              <m:rPr>
                <m:nor/>
                <m:sty m:val="p"/>
              </m:rPr>
              <m:t>dataset</m:t>
            </m:r>
          </m:e>
        </m:d>
      </m:oMath>
      <w:r>
        <w:t xml:space="preserve">) with</w:t>
      </w:r>
      <w:r>
        <w:t xml:space="preserve"> </w:t>
      </w:r>
      <w:r>
        <w:rPr>
          <w:rStyle w:val="VerbatimChar"/>
        </w:rPr>
        <w:t xml:space="preserve">survival::cox.zph</w:t>
      </w:r>
      <w:r>
        <w:t xml:space="preserve">.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t>e</m:t>
        </m:r>
        <m:r>
          <m:rPr>
            <m:sty m:val="p"/>
          </m:rPr>
          <m:t>−</m:t>
        </m:r>
        <m:r>
          <m:t>04</m:t>
        </m:r>
      </m:oMath>
      <w:r>
        <w:t xml:space="preserve">), with the association attenuating over follow-up (the scaled Schoenfeld residuals, an estimate of the time-varying coefficient, decline with Kaplan–Meier-transformed time, slope</w:t>
      </w:r>
      <w:r>
        <w:t xml:space="preserve"> </w:t>
      </w:r>
      <m:oMath>
        <m:r>
          <m:rPr>
            <m:sty m:val="p"/>
          </m:rPr>
          <m:t>−</m:t>
        </m:r>
        <m:r>
          <m:t>0.92</m:t>
        </m:r>
      </m:oMath>
      <w:r>
        <w:t xml:space="preserve">, against a positive coefficient). The reported pooled hazard ratio is therefore a time-averaged summary of that association, not a constant multiplicative effect. The horizon-integrated proper-scoring (IBS/IPA) sensitivity above complements it, integrating prediction accuracy over each cohort’s event-time horizon (to the 80th percentile of event times) rather than through a single hazard-ratio summary.</w:t>
      </w:r>
    </w:p>
    <w:bookmarkEnd w:id="46"/>
    <w:bookmarkStart w:id="47" w:name="Xaec9edd6711a52a4732157f98ee6881b605b395"/>
    <w:p>
      <w:pPr>
        <w:pStyle w:val="Heading2"/>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subsection are patient-level and de-duplicated by the shared rule of</w:t>
      </w:r>
      <w:r>
        <w:t xml:space="preserve"> </w:t>
      </w:r>
      <w:r>
        <w:rPr>
          <w:rStyle w:val="VerbatimChar"/>
        </w:rPr>
        <w:t xml:space="preserve">R/paca\_dedup.R</w:t>
      </w:r>
      <w:r>
        <w:t xml:space="preserve">: a patient profiled on both PACA-AU platforms is represented once, by the RNA-seq record, leaving 69 PACA-AU patients (17 array-only and 52 RNA-seq) and 570 unique patients with 388 deaths in total (</w:t>
      </w:r>
      <w:r>
        <w:rPr>
          <w:rStyle w:val="VerbatimChar"/>
        </w:rPr>
        <w:t xml:space="preserve">code/25</w:t>
      </w:r>
      <w:r>
        <w:t xml:space="preserve">).</w:t>
      </w:r>
    </w:p>
    <w:p>
      <w:pPr>
        <w:pStyle w:val="BodyText"/>
      </w:pPr>
      <w:r>
        <w:t xml:space="preserve">The DeSurv linear predictor was standardized</w:t>
      </w:r>
      <w:r>
        <w:t xml:space="preserve"> </w:t>
      </w:r>
      <w:r>
        <w:rPr>
          <w:iCs/>
          <w:i/>
        </w:rPr>
        <w:t xml:space="preserve">within</w:t>
      </w:r>
      <w:r>
        <w:t xml:space="preserve"> </w:t>
      </w:r>
      <w:r>
        <w:t xml:space="preserve">cohort,</w:t>
      </w:r>
      <w:r>
        <w:t xml:space="preserve"> </w:t>
      </w:r>
      <w:r>
        <w:rPr>
          <w:rStyle w:val="VerbatimChar"/>
        </w:rPr>
        <w:t xml:space="preserve">ave(risk\_score, cohort, FUN = scale)</w:t>
      </w:r>
      <w:r>
        <w:t xml:space="preserve">, the same convention used for the per-factor forest estimates in main-text Fig. [fig:val]a and deliberately not the pooled-standard-deviation convention used for the headline pooled hazard ratio. Within-cohort standardization removes the scale degree of freedom (every cohort’s score then has mean zero and unit standard deviation by construction), so a cohort-by-score interaction can only be testing whether the slope per within-cohort standard deviation differs between cohorts, and not whether the score is more dispersed in one cohort than another. Comparing a common-slope model (</w:t>
      </w:r>
      <w:r>
        <w:rPr>
          <w:rStyle w:val="VerbatimChar"/>
        </w:rPr>
        <w:t xml:space="preserve">Surv(time, event) $\sim$ score\_z + strata(cohort)</w:t>
      </w:r>
      <w:r>
        <w:t xml:space="preserve">) with a cohort-specific-slope model (</w:t>
      </w:r>
      <w:r>
        <w:rPr>
          <w:rStyle w:val="VerbatimChar"/>
        </w:rPr>
        <w:t xml:space="preserve">Surv(time, event) $\sim$ score\_z + score\_z:cohort + strata(cohort)</w:t>
      </w:r>
      <w:r>
        <w:t xml:space="preserve">)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1000</m:t>
        </m:r>
      </m:oMath>
      <w:r>
        <w:t xml:space="preserve"> </w:t>
      </w:r>
      <w:r>
        <w:t xml:space="preserve">replicates, seed 1, percentile intervals). The PACA-AU stratum contains its 17 array-only and 52 RNA-seq patient records. Concordance was evaluated with</w:t>
      </w:r>
      <w:r>
        <w:t xml:space="preserve"> </w:t>
      </w:r>
      <w:r>
        <w:rPr>
          <w:rStyle w:val="VerbatimChar"/>
        </w:rPr>
        <w:t xml:space="preserve">survival::concordance(Surv(time, event) $\sim$ risk\_score, reverse = TRUE)</w:t>
      </w:r>
      <w:r>
        <w:t xml:space="preserve">, the convention of</w:t>
      </w:r>
      <w:r>
        <w:t xml:space="preserve"> </w:t>
      </w:r>
      <w:r>
        <w:rPr>
          <w:rStyle w:val="VerbatimChar"/>
        </w:rPr>
        <w:t xml:space="preserve">R/predict\_validation\_scores.R</w:t>
      </w:r>
      <w:r>
        <w:t xml:space="preserve"> </w:t>
      </w:r>
      <w:r>
        <w:t xml:space="preserve">and</w:t>
      </w:r>
      <w:r>
        <w:t xml:space="preserve"> </w:t>
      </w:r>
      <w:r>
        <w:rPr>
          <w:rStyle w:val="VerbatimChar"/>
        </w:rPr>
        <w:t xml:space="preserve">code/05</w:t>
      </w:r>
      <w:r>
        <w:t xml:space="preserve">, which</w:t>
      </w:r>
      <w:r>
        <w:t xml:space="preserve"> </w:t>
      </w:r>
      <w:r>
        <w:rPr>
          <w:rStyle w:val="VerbatimChar"/>
        </w:rPr>
        <w:t xml:space="preserve">code/25</w:t>
      </w:r>
      <w:r>
        <w:t xml:space="preserve"> </w:t>
      </w:r>
      <w:r>
        <w:t xml:space="preserve">verifies reproduces the per-dataset C-indices of Supplementary Table [tab:tab-cindex-comparison] exactly. The combined value is the event-weighted mean of the cohort C-indices, as in</w:t>
      </w:r>
      <w:r>
        <w:t xml:space="preserve"> </w:t>
      </w:r>
      <w:r>
        <w:rPr>
          <w:rStyle w:val="VerbatimChar"/>
        </w:rPr>
        <w:t xml:space="preserve">code/17</w:t>
      </w:r>
      <w:r>
        <w:t xml:space="preserve"> </w:t>
      </w:r>
      <w:r>
        <w:t xml:space="preserve">and</w:t>
      </w:r>
      <w:r>
        <w:t xml:space="preserve"> </w:t>
      </w:r>
      <w:r>
        <w:rPr>
          <w:rStyle w:val="VerbatimChar"/>
        </w:rPr>
        <w:t xml:space="preserve">code/19</w:t>
      </w:r>
      <w:r>
        <w:t xml:space="preserve">,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47"/>
    <w:bookmarkStart w:id="48"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48"/>
    <w:bookmarkStart w:id="49" w:name="variance-partition-of-the-d1-score"/>
    <w:p>
      <w:pPr>
        <w:pStyle w:val="Heading2"/>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w:t>
      </w:r>
      <w:r>
        <w:rPr>
          <w:rStyle w:val="VerbatimChar"/>
        </w:rPr>
        <w:t xml:space="preserve">code/14</w:t>
      </w:r>
      <w:r>
        <w:t xml:space="preserve">). D1 scores are first</w:t>
      </w:r>
      <w:r>
        <w:t xml:space="preserve"> </w:t>
      </w:r>
      <w:r>
        <w:t xml:space="preserve">standardized within cohort, and an ordinary least-squares model is then fitted</w:t>
      </w:r>
      <w:r>
        <w:t xml:space="preserve"> </w:t>
      </w:r>
      <w:r>
        <w:t xml:space="preserve">with cohort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cohort</w:t>
      </w:r>
      <w:r>
        <w:t xml:space="preserve"> </w:t>
      </w:r>
      <w:r>
        <w:t xml:space="preserve">before fitting, the cohort main effect absorbs essentially no variance, so the</w:t>
      </w:r>
      <w:r>
        <w:t xml:space="preserve"> </w:t>
      </w:r>
      <w:r>
        <w:t xml:space="preserve">within-cohort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cohort-stratified Cox model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We tested this by adding D1 to a cohort-stratified Cox model that</w:t>
      </w:r>
      <w:r>
        <w:t xml:space="preserve"> </w:t>
      </w:r>
      <w:r>
        <w:t xml:space="preserve">already contains the PurIST-by-DeCAF interaction</w:t>
      </w:r>
      <w:r>
        <w:t xml:space="preserve"> </w:t>
      </w:r>
      <w:r>
        <w:t xml:space="preserve">(</w:t>
      </w:r>
      <w:r>
        <w:rPr>
          <w:rStyle w:val="VerbatimChar"/>
        </w:rPr>
        <w:t xml:space="preserve">code/14</w:t>
      </w:r>
      <w:r>
        <w:t xml:space="preserve">).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49"/>
    <w:bookmarkStart w:id="50" w:name="Xddc27719868698939a9a11e7f4ff5bdee7456c2"/>
    <w:p>
      <w:pPr>
        <w:pStyle w:val="Heading2"/>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Adjusted 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unadjusted versus 1.45 adjusted, PACA-AU RNA-seq 1.66 versus 1.65, TCGA 3.50 versus 3.60), providing no evidence that the association was explained by measured tumor purity. The exception, Moffitt, has purity for only 29 of its 123 patients.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0"/>
    <w:bookmarkEnd w:id="51"/>
    <w:bookmarkStart w:id="52" w:name="supplementary-results"/>
    <w:p>
      <w:pPr>
        <w:pStyle w:val="Heading1"/>
      </w:pPr>
      <w:r>
        <w:t xml:space="preserve">Supplementary Results</w:t>
      </w:r>
    </w:p>
    <w:bookmarkEnd w:id="52"/>
    <w:bookmarkStart w:id="53"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both because the reported analyses set the loadings ridge penalty to zero (</w:t>
      </w:r>
      <m:oMath>
        <m:sSub>
          <m:e>
            <m:r>
              <m:t>λ</m:t>
            </m:r>
          </m:e>
          <m:sub>
            <m:r>
              <m:t>H</m:t>
            </m:r>
          </m:sub>
        </m:sSub>
        <m:r>
          <m:rPr>
            <m:sty m:val="p"/>
          </m:rPr>
          <m:t>=</m:t>
        </m:r>
        <m:r>
          <m:t>0</m:t>
        </m:r>
      </m:oMath>
      <w:r>
        <w:t xml:space="preserve">) and because the implemented algorithm combines column normalization, gradient balancing between the reconstruction and Cox terms,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and a maximum of 4,000 iterations.</w:t>
      </w:r>
    </w:p>
    <w:p>
      <w:pPr>
        <w:pStyle w:val="BodyText"/>
      </w:pPr>
      <w:r>
        <w:t xml:space="preserve">All 100 runs terminated on the stopping criterion rather than the iteration cap, none failed numerically, and in every run the recorded penalized objective decreased monotonically to a numerically stable value; the median number of iterations was 38 (range 17–233).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 These analyses document empirical optimization behavior for the reported application rather than providing a formal convergence guarantee.</w:t>
      </w:r>
    </w:p>
    <w:bookmarkEnd w:id="53"/>
    <w:bookmarkStart w:id="54"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w:t>
      </w:r>
      <w:r>
        <w:rPr>
          <w:rStyle w:val="VerbatimChar"/>
        </w:rPr>
        <w:t xml:space="preserve">code/20</w:t>
      </w:r>
      <w:r>
        <w:t xml:space="preserve">,</w:t>
      </w:r>
      <w:r>
        <w:t xml:space="preserve"> </w:t>
      </w:r>
      <w:r>
        <w:rPr>
          <w:rStyle w:val="VerbatimChar"/>
        </w:rPr>
        <w:t xml:space="preserve">code/21</w:t>
      </w:r>
      <w:r>
        <w:t xml:space="preserve">). No model was refitted for the restart analysis.</w:t>
      </w:r>
    </w:p>
    <w:p>
      <w:pPr>
        <w:pStyle w:val="BodyText"/>
      </w:pPr>
      <w:r>
        <w:rPr>
          <w:bCs/>
          <w:b/>
        </w:rPr>
        <w:t xml:space="preserve">Individual restarts are highly dispersed.</w:t>
      </w:r>
      <w:r>
        <w:t xml:space="preserve"> </w:t>
      </w:r>
      <w:r>
        <w:t xml:space="preserve">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rPr>
          <w:bCs/>
          <w:b/>
        </w:rPr>
        <w:t xml:space="preserve">The reported procedure is reproducible with respect to initialization.</w:t>
      </w:r>
      <w:r>
        <w:t xml:space="preserve"> </w:t>
      </w:r>
      <w:r>
        <w:t xml:space="preserve">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Two independently</w:t>
      </w:r>
      <w:r>
        <w:t xml:space="preserve"> </w:t>
      </w:r>
      <w:r>
        <w:t xml:space="preserve">seeded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Splitting the restarts halves the</w:t>
      </w:r>
      <w:r>
        <w:t xml:space="preserve"> </w:t>
      </w:r>
      <w:r>
        <w:t xml:space="preserve">number aggregated relative to the reported procedure, so these figures are</w:t>
      </w:r>
      <w:r>
        <w:t xml:space="preserve"> </w:t>
      </w:r>
      <w:r>
        <w:t xml:space="preserve">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w:t>
      </w:r>
      <w:r>
        <w:rPr>
          <w:rStyle w:val="VerbatimChar"/>
        </w:rPr>
        <w:t xml:space="preserve">code/26</w:t>
      </w:r>
      <w:r>
        <w:t xml:space="preserve">). 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a stable object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rPr>
          <w:bCs/>
          <w:b/>
        </w:rPr>
        <w:t xml:space="preserve">Stability under data perturbation is a separate and weaker property.</w:t>
      </w:r>
      <w:r>
        <w:t xml:space="preserve"> </w:t>
      </w:r>
      <w:r>
        <w:t xml:space="preserve">The</w:t>
      </w:r>
      <w:r>
        <w:t xml:space="preserve"> </w:t>
      </w:r>
      <w:r>
        <w:t xml:space="preserve">analyses above vary the initialization while holding the data fixed. Refitting</w:t>
      </w:r>
      <w:r>
        <w:t xml:space="preserve"> </w:t>
      </w:r>
      <w:r>
        <w:t xml:space="preserve">on repeated 80% subsamples of the training cohort and comparing top-100 gene</w:t>
      </w:r>
      <w:r>
        <w:t xml:space="preserve"> </w:t>
      </w:r>
      <w:r>
        <w:t xml:space="preserve">sets instead gives a mean pairwise 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This comparison favours dense methods by</w:t>
      </w:r>
      <w:r>
        <w:t xml:space="preserve"> </w:t>
      </w:r>
      <w:r>
        <w:t xml:space="preserve">construction, because a score that spreads weight across many genes has a more</w:t>
      </w:r>
      <w:r>
        <w:t xml:space="preserve"> </w:t>
      </w:r>
      <w:r>
        <w:t xml:space="preserve">stable top-100 list than one built from a selective basis, as the sparse Cox</w:t>
      </w:r>
      <w:r>
        <w:t xml:space="preserve"> </w:t>
      </w:r>
      <w:r>
        <w:t xml:space="preserve">value illustrates. Gene-level resampling stability addresses a complementary property distinct</w:t>
      </w:r>
      <w:r>
        <w:t xml:space="preserve"> </w:t>
      </w:r>
      <w:r>
        <w:t xml:space="preserve">from reproducibility of the frozen end-to-end procedure.</w:t>
      </w:r>
    </w:p>
    <w:bookmarkEnd w:id="54"/>
    <w:bookmarkStart w:id="58"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outcome-neutral background signal, and survival depended on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t>
      </w:r>
      <m:oMath>
        <m:r>
          <m:t>β</m:t>
        </m:r>
        <m:r>
          <m:rPr>
            <m:sty m:val="p"/>
          </m:rPr>
          <m:t>=</m:t>
        </m:r>
        <m:r>
          <m:t>0</m:t>
        </m:r>
      </m:oMath>
      <w:r>
        <w:t xml:space="preserve">), so no prognostic structure existed. In the mixed scenario, survival depended on 300 genes per lethal factor, of which 50% were factor-specific markers and 50% were background genes with loadings shared across all factors. All scenarios used</w:t>
      </w:r>
      <w:r>
        <w:t xml:space="preserve"> </w:t>
      </w:r>
      <m:oMath>
        <m:r>
          <m:t>G</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and identical gamma distribution parameters for the gene loading matrix</w:t>
      </w:r>
      <w:r>
        <w:t xml:space="preserve"> </w:t>
      </w:r>
      <m:oMath>
        <m:r>
          <m:t>W</m:t>
        </m:r>
      </m:oMath>
      <w:r>
        <w:t xml:space="preserve"> </w:t>
      </w:r>
      <w:r>
        <w:t xml:space="preserve">(see Methods). Performance was evaluated using cross-validated concordance index (C-index), precision of recovered prognostic gene sets, and the distribution of selected ranks across simulation replicates.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DeSurv therefore showed no out-of-sample prognostic discrimination when no survival signal existed.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when they partially overlapped (mixed, as background-gene dilution reduced the discrimination gain),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6" name="Picture"/>
            <a:graphic>
              <a:graphicData uri="http://schemas.openxmlformats.org/drawingml/2006/picture">
                <pic:pic>
                  <pic:nvPicPr>
                    <pic:cNvPr descr=".docx_media/figures_fig_sim_null_mixed_1.png" id="57" name="Picture"/>
                    <pic:cNvPicPr>
                      <a:picLocks noChangeArrowheads="1" noChangeAspect="1"/>
                    </pic:cNvPicPr>
                  </pic:nvPicPr>
                  <pic:blipFill>
                    <a:blip r:embed="rId55"/>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58"/>
    <w:bookmarkStart w:id="62"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the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t>
      </w:r>
      <w:r>
        <w:t xml:space="preserve">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and applying the same one-standard-error rule to this fixed-hyperparameter sensitivity grid also selects</w:t>
      </w:r>
      <w:r>
        <w:t xml:space="preserve"> </w:t>
      </w:r>
      <m:oMath>
        <m:r>
          <m:t>k</m:t>
        </m:r>
        <m:r>
          <m:rPr>
            <m:sty m:val="p"/>
          </m:rPr>
          <m:t>=</m:t>
        </m:r>
        <m:r>
          <m:t>3</m:t>
        </m:r>
      </m:oMath>
      <w:r>
        <w:t xml:space="preserve">. The selection depends on the gene-selection setting: under panel (b), with all genes retained, the same rule selects</w:t>
      </w:r>
      <w:r>
        <w:t xml:space="preserve"> </w:t>
      </w:r>
      <m:oMath>
        <m:r>
          <m:t>k</m:t>
        </m:r>
        <m:r>
          <m:rPr>
            <m:sty m:val="p"/>
          </m:rPr>
          <m:t>=</m:t>
        </m:r>
        <m:r>
          <m:t>2</m:t>
        </m:r>
      </m:oMath>
      <w:r>
        <w:t xml:space="preserve">. DeSurv had a higher point estimate than its unsupervised limit at every</w:t>
      </w:r>
      <w:r>
        <w:t xml:space="preserve"> </w:t>
      </w:r>
      <m:oMath>
        <m:r>
          <m:t>k</m:t>
        </m:r>
      </m:oMath>
      <w:r>
        <w:t xml:space="preserve"> </w:t>
      </w:r>
      <w:r>
        <w:t xml:space="preserve">examined. The external-validation curve is shown only descriptively (validation outcomes were used for no part of rank or hyperparameter selection) and is consistent with this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0" name="Picture"/>
            <a:graphic>
              <a:graphicData uri="http://schemas.openxmlformats.org/drawingml/2006/picture">
                <pic:pic>
                  <pic:nvPicPr>
                    <pic:cNvPr descr=".docx_media/figures_fig_cindex_by_k_1.png" id="61" name="Picture"/>
                    <pic:cNvPicPr>
                      <a:picLocks noChangeArrowheads="1" noChangeAspect="1"/>
                    </pic:cNvPicPr>
                  </pic:nvPicPr>
                  <pic:blipFill>
                    <a:blip r:embed="rId59"/>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2"/>
    <w:bookmarkStart w:id="66"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clear elbow (Fig. [fig:nmf-diagnostics]a).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4" name="Picture"/>
            <a:graphic>
              <a:graphicData uri="http://schemas.openxmlformats.org/drawingml/2006/picture">
                <pic:pic>
                  <pic:nvPicPr>
                    <pic:cNvPr descr=".docx_media/figures_fig_nmf_diagnostics_1.png" id="65" name="Picture"/>
                    <pic:cNvPicPr>
                      <a:picLocks noChangeArrowheads="1" noChangeAspect="1"/>
                    </pic:cNvPicPr>
                  </pic:nvPicPr>
                  <pic:blipFill>
                    <a:blip r:embed="rId63"/>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across multiple distance metrics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6"/>
    <w:bookmarkStart w:id="76"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Bayesian optimization at</w:t>
      </w:r>
      <w:r>
        <w:t xml:space="preserve"> </w:t>
      </w:r>
      <m:oMath>
        <m:r>
          <m:t>α</m:t>
        </m:r>
        <m:r>
          <m:rPr>
            <m:sty m:val="p"/>
          </m:rPr>
          <m:t>=</m:t>
        </m:r>
        <m:r>
          <m:t>0</m:t>
        </m:r>
      </m:oMath>
      <w:r>
        <w:t xml:space="preserve"> </w:t>
      </w:r>
      <w:r>
        <w:t xml:space="preserve">selects</w:t>
      </w:r>
      <w:r>
        <w:t xml:space="preserve"> </w:t>
      </w:r>
      <m:oMath>
        <m:r>
          <m:t>k</m:t>
        </m:r>
        <m:r>
          <m:rPr>
            <m:sty m:val="p"/>
          </m:rPr>
          <m:t>=</m:t>
        </m:r>
        <m:r>
          <m:t>7</m:t>
        </m:r>
      </m:oMath>
      <w:r>
        <w:t xml:space="preserve"> </w:t>
      </w:r>
      <w:r>
        <w:t xml:space="preserve">(the rank-optimized unsupervised control), whereas the one-standard-error rule applied to the supervised DeSurv BO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r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68" name="Picture"/>
            <a:graphic>
              <a:graphicData uri="http://schemas.openxmlformats.org/drawingml/2006/picture">
                <pic:pic>
                  <pic:nvPicPr>
                    <pic:cNvPr descr="figures/fig-nmf-k7-heatmap-1.png" id="69" name="Picture"/>
                    <pic:cNvPicPr>
                      <a:picLocks noChangeArrowheads="1" noChangeAspect="1"/>
                    </pic:cNvPicPr>
                  </pic:nvPicPr>
                  <pic:blipFill>
                    <a:blip r:embed="rId67"/>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w:t>
      </w:r>
      <w:r>
        <w:t xml:space="preserve"> </w:t>
      </w:r>
      <m:oMath>
        <m:r>
          <m:t>r</m:t>
        </m:r>
        <m:r>
          <m:rPr>
            <m:sty m:val="p"/>
          </m:rPr>
          <m:t>&gt;</m:t>
        </m:r>
        <m:r>
          <m:t>0.2</m:t>
        </m:r>
      </m:oMath>
      <w:r>
        <w:t xml:space="preserve"> </w:t>
      </w:r>
      <w:r>
        <w:t xml:space="preserve">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3"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r</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r</m:t>
        </m:r>
        <m:r>
          <m:rPr>
            <m:sty m:val="p"/>
          </m:rPr>
          <m:t>&gt;</m:t>
        </m:r>
        <m:r>
          <m:t>0.2</m:t>
        </m:r>
      </m:oMath>
      <w:r>
        <w:t xml:space="preserve">. Edges is the total number of (factor, reference-program) pairs at</w:t>
      </w:r>
      <w:r>
        <w:t xml:space="preserve"> </w:t>
      </w:r>
      <m:oMath>
        <m:r>
          <m:t>r</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w:t>
      </w:r>
      <w:r>
        <w:rPr>
          <w:rStyle w:val="VerbatimChar"/>
        </w:rPr>
        <w:t xml:space="preserve">results/cv\_grid</w:t>
      </w:r>
      <w:r>
        <w:t xml:space="preserve">):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consensus-fit anchors are overlaid: DeSurv (</w:t>
      </w:r>
      <m:oMath>
        <m:r>
          <m:t>k</m:t>
        </m:r>
        <m:r>
          <m:rPr>
            <m:sty m:val="p"/>
          </m:rPr>
          <m:t>=</m:t>
        </m:r>
        <m:r>
          <m:t>3</m:t>
        </m:r>
      </m:oMath>
      <w:r>
        <w:t xml:space="preserve">), standard NMF at matched rank (</w:t>
      </w:r>
      <m:oMath>
        <m:r>
          <m:t>k</m:t>
        </m:r>
        <m:r>
          <m:rPr>
            <m:sty m:val="p"/>
          </m:rPr>
          <m:t>=</m:t>
        </m:r>
        <m:r>
          <m:t>3</m:t>
        </m:r>
      </m:oMath>
      <w:r>
        <w:t xml:space="preserve">; Lee NMF), and the rank-optimized unsupervised control (</w:t>
      </w:r>
      <m:oMath>
        <m:r>
          <m:t>k</m:t>
        </m:r>
        <m:r>
          <m:rPr>
            <m:sty m:val="p"/>
          </m:rPr>
          <m:t>=</m:t>
        </m:r>
        <m:r>
          <m:t>7</m:t>
        </m:r>
      </m:oMath>
      <w:r>
        <w:t xml:space="preserve">,</w:t>
      </w:r>
      <w:r>
        <w:t xml:space="preserve"> </w:t>
      </w:r>
      <m:oMath>
        <m:r>
          <m:t>α</m:t>
        </m:r>
        <m:r>
          <m:rPr>
            <m:sty m:val="p"/>
          </m:rPr>
          <m:t>=</m:t>
        </m:r>
        <m:r>
          <m:t>0</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1" name="Picture"/>
            <a:graphic>
              <a:graphicData uri="http://schemas.openxmlformats.org/drawingml/2006/picture">
                <pic:pic>
                  <pic:nvPicPr>
                    <pic:cNvPr descr=".docx_media/figures_fig_reference_program_multiplicity.png" id="72" name="Picture"/>
                    <pic:cNvPicPr>
                      <a:picLocks noChangeArrowheads="1" noChangeAspect="1"/>
                    </pic:cNvPicPr>
                  </pic:nvPicPr>
                  <pic:blipFill>
                    <a:blip r:embed="rId70"/>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w:t>
      </w:r>
      <w:r>
        <w:rPr>
          <w:iCs/>
          <w:i/>
        </w:rPr>
        <w:t xml:space="preserve"> </w:t>
      </w:r>
      <m:oMath>
        <m:r>
          <m:t>r</m:t>
        </m:r>
        <m:r>
          <m:rPr>
            <m:sty m:val="p"/>
          </m:rPr>
          <m:t>&gt;</m:t>
        </m:r>
        <m:r>
          <m:t>0.2</m:t>
        </m:r>
      </m:oMath>
      <w:r>
        <w:rPr>
          <w:iCs/>
          <w:i/>
        </w:rPr>
        <w:t xml:space="preserve"> </w:t>
      </w:r>
      <w:r>
        <w:rPr>
          <w:iCs/>
          <w:i/>
        </w:rPr>
        <w:t xml:space="preserve">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consensus-fit anchors (DeSurv</w:t>
      </w:r>
      <w:r>
        <w:rPr>
          <w:iCs/>
          <w:i/>
        </w:rPr>
        <w:t xml:space="preserve"> </w:t>
      </w:r>
      <m:oMath>
        <m:r>
          <m:t>k</m:t>
        </m:r>
        <m:r>
          <m:rPr>
            <m:sty m:val="p"/>
          </m:rPr>
          <m:t>=</m:t>
        </m:r>
        <m:r>
          <m:t>3</m:t>
        </m:r>
      </m:oMath>
      <w:r>
        <w:rPr>
          <w:iCs/>
          <w:i/>
        </w:rPr>
        <w:t xml:space="preserve">, matched-rank standard NMF</w:t>
      </w:r>
      <w:r>
        <w:rPr>
          <w:iCs/>
          <w:i/>
        </w:rPr>
        <w:t xml:space="preserve"> </w:t>
      </w:r>
      <m:oMath>
        <m:r>
          <m:t>k</m:t>
        </m:r>
        <m:r>
          <m:rPr>
            <m:sty m:val="p"/>
          </m:rPr>
          <m:t>=</m:t>
        </m:r>
        <m:r>
          <m:t>3</m:t>
        </m:r>
      </m:oMath>
      <w:r>
        <w:rPr>
          <w:iCs/>
          <w:i/>
        </w:rPr>
        <w:t xml:space="preserve">, rank-optimized unsupervised control</w:t>
      </w:r>
      <w:r>
        <w:rPr>
          <w:iCs/>
          <w:i/>
        </w:rPr>
        <w:t xml:space="preserve"> </w:t>
      </w:r>
      <m:oMath>
        <m:r>
          <m:t>k</m:t>
        </m:r>
        <m:r>
          <m:rPr>
            <m:sty m:val="p"/>
          </m:rPr>
          <m:t>=</m:t>
        </m:r>
        <m:r>
          <m:t>7</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Cohort</w:t>
            </w:r>
          </w:p>
        </w:tc>
        <w:tc>
          <w:tcPr/>
          <w:p>
            <w:pPr>
              <w:pStyle w:val="Compact"/>
              <w:jc w:val="left"/>
            </w:pPr>
            <w:r>
              <w:t xml:space="preserve">DeSurv (K=3)</w:t>
            </w:r>
          </w:p>
        </w:tc>
        <w:tc>
          <w:tcPr/>
          <w:p>
            <w:pPr>
              <w:pStyle w:val="Compact"/>
              <w:jc w:val="left"/>
            </w:pPr>
            <w:r>
              <w:t xml:space="preserve">Lee NMF (K=3)</w:t>
            </w:r>
          </w:p>
        </w:tc>
        <w:tc>
          <w:tcPr/>
          <w:p>
            <w:pPr>
              <w:pStyle w:val="Compact"/>
              <w:jc w:val="left"/>
            </w:pPr>
            <w:r>
              <w:t xml:space="preserve">Matched-budget control (K=3,</w:t>
            </w:r>
            <w:r>
              <w:t xml:space="preserve"> </w:t>
            </w:r>
            <m:oMath>
              <m:r>
                <m:t>α</m:t>
              </m:r>
            </m:oMath>
            <w:r>
              <w:t xml:space="preserve">=0)</w:t>
            </w:r>
          </w:p>
        </w:tc>
        <w:tc>
          <w:tcPr/>
          <w:p>
            <w:pPr>
              <w:pStyle w:val="Compact"/>
              <w:jc w:val="left"/>
            </w:pPr>
            <w:r>
              <w:t xml:space="preserve">Lee NMF (K=5, elbow)</w:t>
            </w:r>
          </w:p>
        </w:tc>
        <w:tc>
          <w:tcPr/>
          <w:p>
            <w:pPr>
              <w:pStyle w:val="Compact"/>
              <w:jc w:val="left"/>
            </w:pPr>
            <w:r>
              <w:t xml:space="preserve">Rank-optimized control (K=7,</w:t>
            </w:r>
            <w:r>
              <w:t xml:space="preserve"> </w:t>
            </w:r>
            <m:oMath>
              <m:r>
                <m:t>α</m:t>
              </m:r>
            </m:oMath>
            <w:r>
              <w:t xml:space="preserve">=0)</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Moffitt_GEO_array</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PACA_AU_array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PACA_AU_seq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Puleo_array</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cohort.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therefore varies only supervision and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All columns are scored on the same union-of-top-genes support (</w:t>
      </w:r>
      <m:oMath>
        <m:sSub>
          <m:e>
            <m:r>
              <m:t>n</m:t>
            </m:r>
          </m:e>
          <m:sub>
            <m:r>
              <m:rPr>
                <m:nor/>
                <m:sty m:val="p"/>
              </m:rPr>
              <m:t>top</m:t>
            </m:r>
          </m:sub>
        </m:sSub>
        <m:r>
          <m:rPr>
            <m:sty m:val="p"/>
          </m:rPr>
          <m:t>=</m:t>
        </m:r>
        <m:r>
          <m:t>270</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3"/>
    <w:bookmarkStart w:id="74"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w:t>
      </w:r>
      <w:r>
        <w:rPr>
          <w:rStyle w:val="VerbatimChar"/>
        </w:rPr>
        <w:t xml:space="preserve">code/23</w:t>
      </w:r>
      <w:r>
        <w:t xml:space="preserve">).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enriched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analysed genes</w:t>
      </w:r>
      <w:r>
        <w:t xml:space="preserve"> </w:t>
      </w:r>
      <w:r>
        <w:t xml:space="preserve">with signature membership,</w:t>
      </w:r>
      <w:r>
        <w:t xml:space="preserve"> </w:t>
      </w:r>
      <w:r>
        <w:rPr>
          <w:bCs/>
          <w:b/>
        </w:rPr>
        <w:t xml:space="preserve">no method separates restCAF from proCAF</w:t>
      </w:r>
      <w:r>
        <w:t xml:space="preserve">: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4"/>
    <w:bookmarkStart w:id="75"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control using the same rank, optimizer, search budget, gene filter, cross-validation folds and consensus-fitting procedure as DeSurv, while re-optimizing the remaining hyperparameters with</w:t>
      </w:r>
      <w:r>
        <w:t xml:space="preserve"> </w:t>
      </w:r>
      <m:oMath>
        <m:r>
          <m:t>α</m:t>
        </m:r>
      </m:oMath>
      <w:r>
        <w:t xml:space="preserve"> </w:t>
      </w:r>
      <w:r>
        <w:t xml:space="preserve">fixed at 0. Bayesian optimization was run with</w:t>
      </w:r>
      <w:r>
        <w:t xml:space="preserve"> </w:t>
      </w:r>
      <m:oMath>
        <m:r>
          <m:t>α</m:t>
        </m:r>
      </m:oMath>
      <w:r>
        <w:t xml:space="preserve"> </w:t>
      </w:r>
      <w:r>
        <w:t xml:space="preserve">pinned to</w:t>
      </w:r>
      <w:r>
        <w:t xml:space="preserve"> </w:t>
      </w:r>
      <m:oMath>
        <m:r>
          <m:t>0</m:t>
        </m:r>
      </m:oMath>
      <w:r>
        <w:t xml:space="preserve"> </w:t>
      </w:r>
      <w:r>
        <w:t xml:space="preserve">and the rank pinned to DeSurv’s selected</w:t>
      </w:r>
      <w:r>
        <w:t xml:space="preserve"> </w:t>
      </w:r>
      <m:oMath>
        <m:r>
          <m:t>k</m:t>
        </m:r>
        <m:r>
          <m:rPr>
            <m:sty m:val="p"/>
          </m:rPr>
          <m:t>=</m:t>
        </m:r>
        <m:r>
          <m:t>3</m:t>
        </m:r>
      </m:oMath>
      <w:r>
        <w:t xml:space="preserve">, using the same</w:t>
      </w:r>
      <w:r>
        <w:t xml:space="preserve"> </w:t>
      </w:r>
      <w:r>
        <w:t xml:space="preserve">optimizer (</w:t>
      </w:r>
      <w:r>
        <w:rPr>
          <w:rStyle w:val="VerbatimChar"/>
        </w:rPr>
        <w:t xml:space="preserve">desurv\_cv\_bayesopt\_refine</w:t>
      </w:r>
      <w:r>
        <w:t xml:space="preserve">), the same search budget, the</w:t>
      </w:r>
      <w:r>
        <w:t xml:space="preserve"> </w:t>
      </w:r>
      <w:r>
        <w:t xml:space="preserve">same gene filter and the same cross-validation folds; the resulting model was</w:t>
      </w:r>
      <w:r>
        <w:t xml:space="preserve"> </w:t>
      </w:r>
      <w:r>
        <w:t xml:space="preserve">then fit by the same 100-restart consensus procedure used for DeSurv</w:t>
      </w:r>
      <w:r>
        <w:t xml:space="preserve"> </w:t>
      </w:r>
      <w:r>
        <w:t xml:space="preserve">(</w:t>
      </w:r>
      <w:r>
        <w:rPr>
          <w:rStyle w:val="VerbatimChar"/>
        </w:rPr>
        <w:t xml:space="preserve">code/03</w:t>
      </w:r>
      <w:r>
        <w:t xml:space="preserve"> </w:t>
      </w:r>
      <w:r>
        <w:t xml:space="preserve">section 5,</w:t>
      </w:r>
      <w:r>
        <w:t xml:space="preserve"> </w:t>
      </w:r>
      <w:r>
        <w:rPr>
          <w:rStyle w:val="VerbatimChar"/>
        </w:rPr>
        <w:t xml:space="preserve">code/04</w:t>
      </w:r>
      <w:r>
        <w:t xml:space="preserve"> </w:t>
      </w:r>
      <w:r>
        <w:t xml:space="preserve">sections 1d–1e).</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Because</w:t>
      </w:r>
      <w:r>
        <w:t xml:space="preserve"> </w:t>
      </w:r>
      <m:oMath>
        <m:r>
          <m:t>α</m:t>
        </m:r>
        <m:r>
          <m:rPr>
            <m:sty m:val="p"/>
          </m:rPr>
          <m:t>=</m:t>
        </m:r>
        <m:r>
          <m:t>0</m:t>
        </m:r>
      </m:oMath>
      <w:r>
        <w:t xml:space="preserve"> </w:t>
      </w:r>
      <w:r>
        <w:t xml:space="preserve">removes the</w:t>
      </w:r>
      <w:r>
        <w:t xml:space="preserve"> </w:t>
      </w:r>
      <w:r>
        <w:t xml:space="preserve">survival term, the selected</w:t>
      </w:r>
      <w:r>
        <w:t xml:space="preserve"> </w:t>
      </w:r>
      <m:oMath>
        <m:r>
          <m:t>λ</m:t>
        </m:r>
      </m:oMath>
      <w:r>
        <w:t xml:space="preserve"> </w:t>
      </w:r>
      <w:r>
        <w:t xml:space="preserve">is not comparable like-for-like with the</w:t>
      </w:r>
      <w:r>
        <w:t xml:space="preserve"> </w:t>
      </w:r>
      <w:r>
        <w:t xml:space="preserve">supervised model’s.</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matches or exceeds DeSurv’s per-cohort C-index in most cohorts, indicating that unsupervised factorization can approach supervised concordance given enough factors. This comes at the cost of a less parsimonious factorization: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The DeSurv linear predictor, by contrast, retains significant prognostic value after adjustment for established classifiers with only three factors (main-text Table [tab:hr-adjusted]).</w:t>
      </w:r>
    </w:p>
    <w:bookmarkEnd w:id="75"/>
    <w:bookmarkEnd w:id="76"/>
    <w:bookmarkStart w:id="77"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(Factor D1 (classical tumor +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(Factor D3 (basal-like tumor)), ranked by factor specificity score</w:t>
      </w:r>
      <w:r>
        <w:rPr>
          <w:iCs/>
          <w:i/>
        </w:rPr>
        <w:t xml:space="preserve"> </w:t>
      </w:r>
      <m:oMath>
        <m:sSub>
          <m:e>
            <m:r>
              <m:t>s</m:t>
            </m:r>
          </m:e>
          <m:sub>
            <m:r>
              <m:t>i</m:t>
            </m:r>
            <m:r>
              <m:t>j</m:t>
            </m:r>
          </m:sub>
        </m:sSub>
      </m:oMath>
      <w:r>
        <w:rPr>
          <w:iCs/>
          <w:i/>
        </w:rPr>
        <w:t xml:space="preserve">.</w:t>
      </w:r>
    </w:p>
    <w:bookmarkEnd w:id="77"/>
    <w:bookmarkStart w:id="81" w:name="Xc366cc8287655072a40c91c62548747255be0d8"/>
    <w:p>
      <w:pPr>
        <w:pStyle w:val="Heading1"/>
      </w:pPr>
      <w:r>
        <w:t xml:space="preserve">Translational transportability into independently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First,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Second, the borderline-resectable / locally advanced Linehan cohort, in which paired pre- and post-treatment biopsies allow a within-patient test of whether the stromal</w:t>
      </w:r>
      <w:r>
        <w:t xml:space="preserve"> </w:t>
      </w:r>
      <m:oMath>
        <m:sSub>
          <m:e>
            <m:r>
              <m:t>D</m:t>
            </m:r>
          </m:e>
          <m:sub>
            <m:r>
              <m:t>2</m:t>
            </m:r>
          </m:sub>
        </m:sSub>
      </m:oMath>
      <w:r>
        <w:t xml:space="preserve"> </w:t>
      </w:r>
      <w:r>
        <w:t xml:space="preserve">program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78"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w:t>
      </w:r>
      <w:r>
        <w:t xml:space="preserve">(</w:t>
      </w:r>
      <m:oMath>
        <m:r>
          <m:t>0.61</m:t>
        </m:r>
      </m:oMath>
      <w:r>
        <w:t xml:space="preserve">–</w:t>
      </w:r>
      <m:oMath>
        <m:r>
          <m:t>1.03</m:t>
        </m:r>
      </m:oMath>
      <w:r>
        <w:t xml:space="preserve">)), gemcitabine/nab-paclitaxel (HR</w:t>
      </w:r>
      <w:r>
        <w:t xml:space="preserve"> </w:t>
      </w:r>
      <m:oMath>
        <m:r>
          <m:t>0.57</m:t>
        </m:r>
      </m:oMath>
      <w:r>
        <w:t xml:space="preserve"> </w:t>
      </w:r>
      <w:r>
        <w:t xml:space="preserve">(</w:t>
      </w:r>
      <m:oMath>
        <m:r>
          <m:t>0.37</m:t>
        </m:r>
      </m:oMath>
      <w:r>
        <w:t xml:space="preserve">–</w:t>
      </w:r>
      <m:oMath>
        <m:r>
          <m:t>0.86</m:t>
        </m:r>
      </m:oMath>
      <w:r>
        <w:t xml:space="preserve">)) and the GA/experimental arm (HR</w:t>
      </w:r>
      <w:r>
        <w:t xml:space="preserve"> </w:t>
      </w:r>
      <m:oMath>
        <m:r>
          <m:t>0.83</m:t>
        </m:r>
      </m:oMath>
      <w:r>
        <w:t xml:space="preserve"> </w:t>
      </w:r>
      <w:r>
        <w:t xml:space="preserve">(</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w:t>
      </w:r>
      <w:r>
        <w:t xml:space="preserve">(</w:t>
      </w:r>
      <m:oMath>
        <m:r>
          <m:t>0.62</m:t>
        </m:r>
      </m:oMath>
      <w:r>
        <w:t xml:space="preserve">–</w:t>
      </w:r>
      <m:oMath>
        <m:r>
          <m:t>0.90</m:t>
        </m:r>
      </m:oMath>
      <w:r>
        <w:t xml:space="preserve">) (</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78"/>
    <w:bookmarkStart w:id="79" w:name="treatment-associated-change-in-d2"/>
    <w:p>
      <w:pPr>
        <w:pStyle w:val="Heading2"/>
      </w:pPr>
      <w:r>
        <w:t xml:space="preserve">Treatment-associated change in D2</w:t>
      </w:r>
    </w:p>
    <w:p>
      <w:pPr>
        <w:pStyle w:val="FirstParagraph"/>
      </w:pPr>
      <w:r>
        <w:t xml:space="preserve">In the 29 Linehan patients with paired pre- and post-treatment biopsies,</w:t>
      </w:r>
      <w:r>
        <w:t xml:space="preserve"> </w:t>
      </w:r>
      <m:oMath>
        <m:sSub>
          <m:e>
            <m:r>
              <m:t>D</m:t>
            </m:r>
          </m:e>
          <m:sub>
            <m:r>
              <m:t>2</m:t>
            </m:r>
          </m:sub>
        </m:sSub>
      </m:oMath>
      <w:r>
        <w:t xml:space="preserve"> </w:t>
      </w:r>
      <w:r>
        <w:t xml:space="preserve">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79"/>
    <w:bookmarkStart w:id="80" w:name="caveats"/>
    <w:p>
      <w:pPr>
        <w:pStyle w:val="Heading2"/>
      </w:pPr>
      <w:r>
        <w:t xml:space="preserve">Caveats</w:t>
      </w:r>
    </w:p>
    <w:p>
      <w:pPr>
        <w:pStyle w:val="FirstParagraph"/>
      </w:pPr>
      <w:r>
        <w:t xml:space="preserve">These analyses are exploratory and prognostic, not predictive: treatment, stage and cohort are confounded, the treated cohorts are modestly sized, and no analysis plan was preregistered. Each analysis is confined to a single cohort; nothing is pooled across cohorts, and the O’Kane/COMPASS common slope is estimated from a model with arm-specific baseline hazards; it is not a pooled estimate across cohorts. We do not test a survival association for</w:t>
      </w:r>
      <w:r>
        <w:t xml:space="preserve"> </w:t>
      </w:r>
      <m:oMath>
        <m:sSub>
          <m:e>
            <m:r>
              <m:t>D</m:t>
            </m:r>
          </m:e>
          <m:sub>
            <m:r>
              <m:t>2</m:t>
            </m:r>
          </m:sub>
        </m:sSub>
      </m:oMath>
      <w:r>
        <w:t xml:space="preserve"> </w:t>
      </w:r>
      <w:r>
        <w:t xml:space="preserve">in the paired bulk-treatment cohort; the O’Kane/COMPASS specimens are laser-capture epithelium, not bulk tissue. Robust treated-cohort validation, and any assessment of whether the programs predict differential treatment benefit, will require larger harmonized series with adequately powered treatment-by-program interaction analyses.</w:t>
      </w:r>
    </w:p>
    <w:bookmarkEnd w:id="80"/>
    <w:bookmarkEnd w:id="81"/>
    <w:bookmarkStart w:id="132" w:name="bibliography"/>
    <w:p>
      <w:pPr>
        <w:pStyle w:val="Heading1"/>
      </w:pPr>
      <w:r>
        <w:t xml:space="preserve">SI References</w:t>
      </w:r>
    </w:p>
    <w:bookmarkStart w:id="131" w:name="refs"/>
    <w:bookmarkStart w:id="82"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2"/>
    <w:bookmarkStart w:id="84"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3">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4"/>
    <w:bookmarkStart w:id="86" w:name="ref-simon2011regularization"/>
    <w:p>
      <w:pPr>
        <w:pStyle w:val="Bibliography"/>
      </w:pPr>
      <w:r>
        <w:t xml:space="preserve">3.</w:t>
      </w:r>
      <w:r>
        <w:t xml:space="preserve"> </w:t>
      </w:r>
      <w:r>
        <w:t xml:space="preserve">	</w:t>
      </w:r>
      <w:r>
        <w:t xml:space="preserve">Simon, N., Friedman, J. H., Hastie, T. &amp; Tibshirani, R.</w:t>
      </w:r>
      <w:r>
        <w:t xml:space="preserve"> </w:t>
      </w:r>
      <w:hyperlink r:id="rId85">
        <w:r>
          <w:rPr>
            <w:rStyle w:val="Hyperlink"/>
          </w:rPr>
          <w:t xml:space="preserve">Regularization paths for cox’s 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6"/>
    <w:bookmarkStart w:id="87"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7"/>
    <w:bookmarkStart w:id="89"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88">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89"/>
    <w:bookmarkStart w:id="90"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0"/>
    <w:bookmarkStart w:id="92" w:name="ref-brunet2004metagenes"/>
    <w:p>
      <w:pPr>
        <w:pStyle w:val="Bibliography"/>
      </w:pPr>
      <w:r>
        <w:t xml:space="preserve">7.</w:t>
      </w:r>
      <w:r>
        <w:t xml:space="preserve"> </w:t>
      </w:r>
      <w:r>
        <w:t xml:space="preserve">	</w:t>
      </w:r>
      <w:r>
        <w:t xml:space="preserve">Brunet, J.-P., Tamayo, P., Golub, T. R. &amp; Mesirov, J. P.</w:t>
      </w:r>
      <w:r>
        <w:t xml:space="preserve"> </w:t>
      </w:r>
      <w:hyperlink r:id="rId91">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2"/>
    <w:bookmarkStart w:id="94"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3">
        <w:r>
          <w:rPr>
            <w:rStyle w:val="Hyperlink"/>
          </w:rPr>
          <w:t xml:space="preserve">https://faculty.cc.gatech.edu/~hpark/papers/GT-CSE-08-01.pdf</w:t>
        </w:r>
      </w:hyperlink>
      <w:r>
        <w:t xml:space="preserve"> </w:t>
      </w:r>
      <w:r>
        <w:t xml:space="preserve">(2008).</w:t>
      </w:r>
    </w:p>
    <w:bookmarkEnd w:id="94"/>
    <w:bookmarkStart w:id="96" w:name="ref-gillis2012accelerated"/>
    <w:p>
      <w:pPr>
        <w:pStyle w:val="Bibliography"/>
      </w:pPr>
      <w:r>
        <w:t xml:space="preserve">9.</w:t>
      </w:r>
      <w:r>
        <w:t xml:space="preserve"> </w:t>
      </w:r>
      <w:r>
        <w:t xml:space="preserve">	</w:t>
      </w:r>
      <w:r>
        <w:t xml:space="preserve">Gillis, N. &amp; Glineur, F.</w:t>
      </w:r>
      <w:r>
        <w:t xml:space="preserve"> </w:t>
      </w:r>
      <w:hyperlink r:id="rId95">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6"/>
    <w:bookmarkStart w:id="97"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7"/>
    <w:bookmarkStart w:id="99"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98">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99"/>
    <w:bookmarkStart w:id="101"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0">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1"/>
    <w:bookmarkStart w:id="103"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2">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3"/>
    <w:bookmarkStart w:id="105"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4">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5"/>
    <w:bookmarkStart w:id="107"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6">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7"/>
    <w:bookmarkStart w:id="109"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08">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09"/>
    <w:bookmarkStart w:id="111"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0">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1"/>
    <w:bookmarkStart w:id="113"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2">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3"/>
    <w:bookmarkStart w:id="115" w:name="ref-collisson2011subtypes"/>
    <w:p>
      <w:pPr>
        <w:pStyle w:val="Bibliography"/>
      </w:pPr>
      <w:r>
        <w:t xml:space="preserve">19.</w:t>
      </w:r>
      <w:r>
        <w:t xml:space="preserve"> </w:t>
      </w:r>
      <w:r>
        <w:t xml:space="preserve">	</w:t>
      </w:r>
      <w:r>
        <w:t xml:space="preserve">Collisson, E. A.</w:t>
      </w:r>
      <w:r>
        <w:t xml:space="preserve"> </w:t>
      </w:r>
      <w:r>
        <w:rPr>
          <w:iCs/>
          <w:i/>
        </w:rPr>
        <w:t xml:space="preserve">et al.</w:t>
      </w:r>
      <w:r>
        <w:t xml:space="preserve"> </w:t>
      </w:r>
      <w:hyperlink r:id="rId114">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5"/>
    <w:bookmarkStart w:id="117" w:name="ref-peng2019novo"/>
    <w:p>
      <w:pPr>
        <w:pStyle w:val="Bibliography"/>
      </w:pPr>
      <w:r>
        <w:t xml:space="preserve">20.</w:t>
      </w:r>
      <w:r>
        <w:t xml:space="preserve"> </w:t>
      </w:r>
      <w:r>
        <w:t xml:space="preserve">	</w:t>
      </w:r>
      <w:r>
        <w:t xml:space="preserve">Peng, X. L., Moffitt, R. A., Torphy, R. J., Volmar, K. E. &amp; Yeh, J. J.</w:t>
      </w:r>
      <w:r>
        <w:t xml:space="preserve"> </w:t>
      </w:r>
      <w:hyperlink r:id="rId116">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7"/>
    <w:bookmarkStart w:id="119" w:name="ref-Maurer2019"/>
    <w:p>
      <w:pPr>
        <w:pStyle w:val="Bibliography"/>
      </w:pPr>
      <w:r>
        <w:t xml:space="preserve">21.</w:t>
      </w:r>
      <w:r>
        <w:t xml:space="preserve"> </w:t>
      </w:r>
      <w:r>
        <w:t xml:space="preserve">	</w:t>
      </w:r>
      <w:r>
        <w:t xml:space="preserve">Maurer, C.</w:t>
      </w:r>
      <w:r>
        <w:t xml:space="preserve"> </w:t>
      </w:r>
      <w:r>
        <w:rPr>
          <w:iCs/>
          <w:i/>
        </w:rPr>
        <w:t xml:space="preserve">et al.</w:t>
      </w:r>
      <w:r>
        <w:t xml:space="preserve"> </w:t>
      </w:r>
      <w:hyperlink r:id="rId118">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9"/>
    <w:bookmarkStart w:id="121" w:name="ref-elyada2019cross"/>
    <w:p>
      <w:pPr>
        <w:pStyle w:val="Bibliography"/>
      </w:pPr>
      <w:r>
        <w:t xml:space="preserve">22.</w:t>
      </w:r>
      <w:r>
        <w:t xml:space="preserve"> </w:t>
      </w:r>
      <w:r>
        <w:t xml:space="preserve">	</w:t>
      </w:r>
      <w:r>
        <w:t xml:space="preserve">Elyada, E.</w:t>
      </w:r>
      <w:r>
        <w:t xml:space="preserve"> </w:t>
      </w:r>
      <w:r>
        <w:rPr>
          <w:iCs/>
          <w:i/>
        </w:rPr>
        <w:t xml:space="preserve">et al.</w:t>
      </w:r>
      <w:r>
        <w:t xml:space="preserve"> </w:t>
      </w:r>
      <w:hyperlink r:id="rId120">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1"/>
    <w:bookmarkStart w:id="123" w:name="ref-leary2023s"/>
    <w:p>
      <w:pPr>
        <w:pStyle w:val="Bibliography"/>
      </w:pPr>
      <w:r>
        <w:t xml:space="preserve">23.</w:t>
      </w:r>
      <w:r>
        <w:t xml:space="preserve"> </w:t>
      </w:r>
      <w:r>
        <w:t xml:space="preserve">	</w:t>
      </w:r>
      <w:r>
        <w:t xml:space="preserve">Leary, J. R.</w:t>
      </w:r>
      <w:r>
        <w:t xml:space="preserve"> </w:t>
      </w:r>
      <w:r>
        <w:rPr>
          <w:iCs/>
          <w:i/>
        </w:rPr>
        <w:t xml:space="preserve">et al.</w:t>
      </w:r>
      <w:r>
        <w:t xml:space="preserve"> </w:t>
      </w:r>
      <w:hyperlink r:id="rId122">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3"/>
    <w:bookmarkStart w:id="125" w:name="ref-chansengyue2020transcription"/>
    <w:p>
      <w:pPr>
        <w:pStyle w:val="Bibliography"/>
      </w:pPr>
      <w:r>
        <w:t xml:space="preserve">24.</w:t>
      </w:r>
      <w:r>
        <w:t xml:space="preserve"> </w:t>
      </w:r>
      <w:r>
        <w:t xml:space="preserve">	</w:t>
      </w:r>
      <w:r>
        <w:t xml:space="preserve">Chan-Seng-Yue, M.</w:t>
      </w:r>
      <w:r>
        <w:t xml:space="preserve"> </w:t>
      </w:r>
      <w:r>
        <w:rPr>
          <w:iCs/>
          <w:i/>
        </w:rPr>
        <w:t xml:space="preserve">et al.</w:t>
      </w:r>
      <w:r>
        <w:t xml:space="preserve"> </w:t>
      </w:r>
      <w:hyperlink r:id="rId124">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5"/>
    <w:bookmarkStart w:id="126"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6"/>
    <w:bookmarkStart w:id="128" w:name="ref-birolo2025beyondcox"/>
    <w:p>
      <w:pPr>
        <w:pStyle w:val="Bibliography"/>
      </w:pPr>
      <w:r>
        <w:t xml:space="preserve">26.</w:t>
      </w:r>
      <w:r>
        <w:t xml:space="preserve"> </w:t>
      </w:r>
      <w:r>
        <w:t xml:space="preserve">	</w:t>
      </w:r>
      <w:r>
        <w:t xml:space="preserve">Birolo, G.</w:t>
      </w:r>
      <w:r>
        <w:t xml:space="preserve"> </w:t>
      </w:r>
      <w:r>
        <w:rPr>
          <w:iCs/>
          <w:i/>
        </w:rPr>
        <w:t xml:space="preserve">et al.</w:t>
      </w:r>
      <w:r>
        <w:t xml:space="preserve"> </w:t>
      </w:r>
      <w:hyperlink r:id="rId127">
        <w:r>
          <w:rPr>
            <w:rStyle w:val="Hyperlink"/>
          </w:rPr>
          <w:t xml:space="preserve">Beyond</w:t>
        </w:r>
        <w:r>
          <w:rPr>
            <w:rStyle w:val="Hyperlink"/>
          </w:rPr>
          <w:t xml:space="preserve"> </w:t>
        </w:r>
        <w:r>
          <w:rPr>
            <w:rStyle w:val="Hyperlink"/>
          </w:rPr>
          <w:t xml:space="preserve">Cox</w:t>
        </w:r>
        <w:r>
          <w:rPr>
            <w:rStyle w:val="Hyperlink"/>
          </w:rPr>
          <w:t xml:space="preserve"> </w:t>
        </w:r>
        <w:r>
          <w:rPr>
            <w:rStyle w:val="Hyperlink"/>
          </w:rPr>
          <w:t xml:space="preserve">models: Assessing the performance of machine-learning methods in non-proportional hazards and non-linear survival analysis</w:t>
        </w:r>
      </w:hyperlink>
      <w:r>
        <w:t xml:space="preserve">.</w:t>
      </w:r>
      <w:r>
        <w:t xml:space="preserve"> </w:t>
      </w:r>
      <w:r>
        <w:rPr>
          <w:iCs/>
          <w:i/>
        </w:rPr>
        <w:t xml:space="preserve">Computers in Biology and Medicine</w:t>
      </w:r>
      <w:r>
        <w:t xml:space="preserve"> </w:t>
      </w:r>
      <w:r>
        <w:rPr>
          <w:bCs/>
          <w:b/>
        </w:rPr>
        <w:t xml:space="preserve">198</w:t>
      </w:r>
      <w:r>
        <w:t xml:space="preserve">, 111176 (2025).</w:t>
      </w:r>
    </w:p>
    <w:bookmarkEnd w:id="128"/>
    <w:bookmarkStart w:id="130" w:name="ref-hao2021dnnsurv"/>
    <w:p>
      <w:pPr>
        <w:pStyle w:val="Bibliography"/>
      </w:pPr>
      <w:r>
        <w:t xml:space="preserve">27.</w:t>
      </w:r>
      <w:r>
        <w:t xml:space="preserve"> </w:t>
      </w:r>
      <w:r>
        <w:t xml:space="preserve">	</w:t>
      </w:r>
      <w:r>
        <w:t xml:space="preserve">Hao, L., Kim, J., Kwon, S. &amp; Ha, I. D.</w:t>
      </w:r>
      <w:r>
        <w:t xml:space="preserve"> </w:t>
      </w:r>
      <w:hyperlink r:id="rId129">
        <w:r>
          <w:rPr>
            <w:rStyle w:val="Hyperlink"/>
          </w:rPr>
          <w:t xml:space="preserve">Deep learning-based survival analysis for high-dimensional survival data</w:t>
        </w:r>
      </w:hyperlink>
      <w:r>
        <w:t xml:space="preserve">.</w:t>
      </w:r>
      <w:r>
        <w:t xml:space="preserve"> </w:t>
      </w:r>
      <w:r>
        <w:rPr>
          <w:iCs/>
          <w:i/>
        </w:rPr>
        <w:t xml:space="preserve">Mathematics</w:t>
      </w:r>
      <w:r>
        <w:t xml:space="preserve"> </w:t>
      </w:r>
      <w:r>
        <w:rPr>
          <w:bCs/>
          <w:b/>
        </w:rPr>
        <w:t xml:space="preserve">9</w:t>
      </w:r>
      <w:r>
        <w:t xml:space="preserve">, 1244 (2021).</w:t>
      </w:r>
    </w:p>
    <w:bookmarkEnd w:id="130"/>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67" Target="media/rId67.png" /><Relationship Type="http://schemas.openxmlformats.org/officeDocument/2006/relationships/hyperlink" Id="rId98" Target="https://doi.org/10.1016/j.ccell.2017.07.007" TargetMode="External" /><Relationship Type="http://schemas.openxmlformats.org/officeDocument/2006/relationships/hyperlink" Id="rId100" Target="https://doi.org/10.1016/j.cell.2021.08.023" TargetMode="External" /><Relationship Type="http://schemas.openxmlformats.org/officeDocument/2006/relationships/hyperlink" Id="rId127" Target="https://doi.org/10.1016/j.compbiomed.2025.111176" TargetMode="External" /><Relationship Type="http://schemas.openxmlformats.org/officeDocument/2006/relationships/hyperlink" Id="rId112" Target="https://doi.org/10.1016/j.xcrm.2026.102611" TargetMode="External" /><Relationship Type="http://schemas.openxmlformats.org/officeDocument/2006/relationships/hyperlink" Id="rId106" Target="https://doi.org/10.1038/nature16965" TargetMode="External" /><Relationship Type="http://schemas.openxmlformats.org/officeDocument/2006/relationships/hyperlink" Id="rId104" Target="https://doi.org/10.1038/ng.3398" TargetMode="External" /><Relationship Type="http://schemas.openxmlformats.org/officeDocument/2006/relationships/hyperlink" Id="rId114"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2" Target="https://doi.org/10.1038/s41598-019-56826-9" TargetMode="External" /><Relationship Type="http://schemas.openxmlformats.org/officeDocument/2006/relationships/hyperlink" Id="rId108" Target="https://doi.org/10.1053/j.gastro.2018.08.033" TargetMode="External" /><Relationship Type="http://schemas.openxmlformats.org/officeDocument/2006/relationships/hyperlink" Id="rId91" Target="https://doi.org/10.1073/pnas.0308531101" TargetMode="External" /><Relationship Type="http://schemas.openxmlformats.org/officeDocument/2006/relationships/hyperlink" Id="rId122" Target="https://doi.org/10.1093/bioinformatics/btad449" TargetMode="External" /><Relationship Type="http://schemas.openxmlformats.org/officeDocument/2006/relationships/hyperlink" Id="rId83" Target="https://doi.org/10.1109/TPAMI.2006.60" TargetMode="External" /><Relationship Type="http://schemas.openxmlformats.org/officeDocument/2006/relationships/hyperlink" Id="rId118" Target="https://doi.org/10.1136/gutjnl-2018-317706" TargetMode="External" /><Relationship Type="http://schemas.openxmlformats.org/officeDocument/2006/relationships/hyperlink" Id="rId88" Target="https://doi.org/10.1155/2008/764206" TargetMode="External" /><Relationship Type="http://schemas.openxmlformats.org/officeDocument/2006/relationships/hyperlink" Id="rId110" Target="https://doi.org/10.1158/1078-0432.CCR-19-1467" TargetMode="External" /><Relationship Type="http://schemas.openxmlformats.org/officeDocument/2006/relationships/hyperlink" Id="rId120" Target="https://doi.org/10.1158/2159-8290.CD-19-0094" TargetMode="External" /><Relationship Type="http://schemas.openxmlformats.org/officeDocument/2006/relationships/hyperlink" Id="rId95" Target="https://doi.org/10.1162/NECO_a_00256" TargetMode="External" /><Relationship Type="http://schemas.openxmlformats.org/officeDocument/2006/relationships/hyperlink" Id="rId85" Target="https://doi.org/10.18637/jss.v039.i05" TargetMode="External" /><Relationship Type="http://schemas.openxmlformats.org/officeDocument/2006/relationships/hyperlink" Id="rId129" Target="https://doi.org/10.3390/math9111244" TargetMode="External" /><Relationship Type="http://schemas.openxmlformats.org/officeDocument/2006/relationships/hyperlink" Id="rId93"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j.ccell.2017.07.007" TargetMode="External" /><Relationship Type="http://schemas.openxmlformats.org/officeDocument/2006/relationships/hyperlink" Id="rId100" Target="https://doi.org/10.1016/j.cell.2021.08.023" TargetMode="External" /><Relationship Type="http://schemas.openxmlformats.org/officeDocument/2006/relationships/hyperlink" Id="rId127" Target="https://doi.org/10.1016/j.compbiomed.2025.111176" TargetMode="External" /><Relationship Type="http://schemas.openxmlformats.org/officeDocument/2006/relationships/hyperlink" Id="rId112" Target="https://doi.org/10.1016/j.xcrm.2026.102611" TargetMode="External" /><Relationship Type="http://schemas.openxmlformats.org/officeDocument/2006/relationships/hyperlink" Id="rId106" Target="https://doi.org/10.1038/nature16965" TargetMode="External" /><Relationship Type="http://schemas.openxmlformats.org/officeDocument/2006/relationships/hyperlink" Id="rId104" Target="https://doi.org/10.1038/ng.3398" TargetMode="External" /><Relationship Type="http://schemas.openxmlformats.org/officeDocument/2006/relationships/hyperlink" Id="rId114"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2" Target="https://doi.org/10.1038/s41598-019-56826-9" TargetMode="External" /><Relationship Type="http://schemas.openxmlformats.org/officeDocument/2006/relationships/hyperlink" Id="rId108" Target="https://doi.org/10.1053/j.gastro.2018.08.033" TargetMode="External" /><Relationship Type="http://schemas.openxmlformats.org/officeDocument/2006/relationships/hyperlink" Id="rId91" Target="https://doi.org/10.1073/pnas.0308531101" TargetMode="External" /><Relationship Type="http://schemas.openxmlformats.org/officeDocument/2006/relationships/hyperlink" Id="rId122" Target="https://doi.org/10.1093/bioinformatics/btad449" TargetMode="External" /><Relationship Type="http://schemas.openxmlformats.org/officeDocument/2006/relationships/hyperlink" Id="rId83" Target="https://doi.org/10.1109/TPAMI.2006.60" TargetMode="External" /><Relationship Type="http://schemas.openxmlformats.org/officeDocument/2006/relationships/hyperlink" Id="rId118" Target="https://doi.org/10.1136/gutjnl-2018-317706" TargetMode="External" /><Relationship Type="http://schemas.openxmlformats.org/officeDocument/2006/relationships/hyperlink" Id="rId88" Target="https://doi.org/10.1155/2008/764206" TargetMode="External" /><Relationship Type="http://schemas.openxmlformats.org/officeDocument/2006/relationships/hyperlink" Id="rId110" Target="https://doi.org/10.1158/1078-0432.CCR-19-1467" TargetMode="External" /><Relationship Type="http://schemas.openxmlformats.org/officeDocument/2006/relationships/hyperlink" Id="rId120" Target="https://doi.org/10.1158/2159-8290.CD-19-0094" TargetMode="External" /><Relationship Type="http://schemas.openxmlformats.org/officeDocument/2006/relationships/hyperlink" Id="rId95" Target="https://doi.org/10.1162/NECO_a_00256" TargetMode="External" /><Relationship Type="http://schemas.openxmlformats.org/officeDocument/2006/relationships/hyperlink" Id="rId85" Target="https://doi.org/10.18637/jss.v039.i05" TargetMode="External" /><Relationship Type="http://schemas.openxmlformats.org/officeDocument/2006/relationships/hyperlink" Id="rId129" Target="https://doi.org/10.3390/math9111244" TargetMode="External" /><Relationship Type="http://schemas.openxmlformats.org/officeDocument/2006/relationships/hyperlink" Id="rId93"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2026-09-06T16:07:36Z</dcterms:created>
  <dcterms:modified xsi:type="dcterms:W3CDTF">2026-09-06T16:07:36Z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a survival-supervised matrix factorization, identifies a replicable tumor–stroma prognostic architecture in pancreatic cancer</vt:lpwstr>
  </property>
</Properties>
</file>