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other</w:t>
      </w:r>
      <w:r>
        <w:t xml:space="preserve"> </w:t>
      </w:r>
      <w:r>
        <w:t xml:space="preserve">microenvironmental</w:t>
      </w:r>
      <w:r>
        <w:t xml:space="preserve"> </w:t>
      </w:r>
      <w:r>
        <w:t xml:space="preserve">biology.</w:t>
      </w:r>
      <w:r>
        <w:t xml:space="preserve"> </w:t>
      </w:r>
      <w:r>
        <w:t xml:space="preserve">Expression-driven</w:t>
      </w:r>
      <w:r>
        <w:t xml:space="preserve"> </w:t>
      </w:r>
      <w:r>
        <w:t xml:space="preserve">discovery</w:t>
      </w:r>
      <w:r>
        <w:t xml:space="preserve"> </w:t>
      </w:r>
      <w:r>
        <w:t xml:space="preserve">can</w:t>
      </w:r>
      <w:r>
        <w:t xml:space="preserve"> </w:t>
      </w:r>
      <w:r>
        <w:t xml:space="preserve">overlook</w:t>
      </w:r>
      <w:r>
        <w:t xml:space="preserve"> </w:t>
      </w:r>
      <w:r>
        <w:t xml:space="preserve">prognostically</w:t>
      </w:r>
      <w:r>
        <w:t xml:space="preserve"> </w:t>
      </w:r>
      <w:r>
        <w:t xml:space="preserve">relevant</w:t>
      </w:r>
      <w:r>
        <w:t xml:space="preserve"> </w:t>
      </w:r>
      <w:r>
        <w:t xml:space="preserve">programs</w:t>
      </w:r>
      <w:r>
        <w:t xml:space="preserve"> </w:t>
      </w:r>
      <w:r>
        <w:t xml:space="preserve">that</w:t>
      </w:r>
      <w:r>
        <w:t xml:space="preserve"> </w:t>
      </w:r>
      <w:r>
        <w:t xml:space="preserve">contribute</w:t>
      </w:r>
      <w:r>
        <w:t xml:space="preserve"> </w:t>
      </w:r>
      <w:r>
        <w:t xml:space="preserve">relatively</w:t>
      </w:r>
      <w:r>
        <w:t xml:space="preserve"> </w:t>
      </w:r>
      <w:r>
        <w:t xml:space="preserve">little</w:t>
      </w:r>
      <w:r>
        <w:t xml:space="preserve"> </w:t>
      </w:r>
      <w:r>
        <w:t xml:space="preserve">transcriptomic</w:t>
      </w:r>
      <w:r>
        <w:t xml:space="preserve"> </w:t>
      </w:r>
      <w:r>
        <w:t xml:space="preserve">variation.</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patient</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freezes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program</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the</w:t>
      </w:r>
      <w:r>
        <w:t xml:space="preserve"> </w:t>
      </w:r>
      <w:r>
        <w:t xml:space="preserve">frozen</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this</w:t>
      </w:r>
      <w:r>
        <w:t xml:space="preserve"> </w:t>
      </w:r>
      <w:r>
        <w:t xml:space="preserve">program;</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underlying</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r>
        <w:t xml:space="preserve"> </w:t>
      </w:r>
      <w:r>
        <w:t xml:space="preserve">Survival</w:t>
      </w:r>
      <w:r>
        <w:t xml:space="preserve"> </w:t>
      </w:r>
      <w:r>
        <w:t xml:space="preserve">supervision</w:t>
      </w:r>
      <w:r>
        <w:t xml:space="preserve"> </w:t>
      </w:r>
      <w:r>
        <w:t xml:space="preserve">therefore</w:t>
      </w:r>
      <w:r>
        <w:t xml:space="preserve"> </w:t>
      </w:r>
      <w:r>
        <w:t xml:space="preserve">offers</w:t>
      </w:r>
      <w:r>
        <w:t xml:space="preserve"> </w:t>
      </w:r>
      <w:r>
        <w:t xml:space="preserve">a</w:t>
      </w:r>
      <w:r>
        <w:t xml:space="preserve"> </w:t>
      </w:r>
      <w:r>
        <w:t xml:space="preserve">route</w:t>
      </w:r>
      <w:r>
        <w:t xml:space="preserve"> </w:t>
      </w:r>
      <w:r>
        <w:t xml:space="preserve">to</w:t>
      </w:r>
      <w:r>
        <w:t xml:space="preserve"> </w:t>
      </w:r>
      <w:r>
        <w:t xml:space="preserve">prognostically</w:t>
      </w:r>
      <w:r>
        <w:t xml:space="preserve"> </w:t>
      </w:r>
      <w:r>
        <w:t xml:space="preserve">relevant,</w:t>
      </w:r>
      <w:r>
        <w:t xml:space="preserve"> </w:t>
      </w:r>
      <w:r>
        <w:t xml:space="preserve">interpretable</w:t>
      </w:r>
      <w:r>
        <w:t xml:space="preserve"> </w:t>
      </w:r>
      <w:r>
        <w:t xml:space="preserve">programs.</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Its clinical heterogeneity reflects variation in both malignant cells and the surrounding microenvironment.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Expression-defined programs can be evaluated against survival after discovery</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Whether allowing survival to shape program definitions can identify a tumor–stroma program that provides prognostic information beyond established classifications remains unclear. Such programs could provide candidates for prognostic assays and trial stratification, while identifying genes and biological processes for further investigation.</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defined as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When predefined signatures are applied unchanged to a bulk cohort, survival can be used to assess their prognostic relevance but does not alter their gene definitions during that application. The challenge is therefore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its approximation rebuilt from the programs. Such reconstruction-driven criteria favor patterns that capture prominent expression variation regardless of their relevance to patient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w:t>
      </w:r>
    </w:p>
    <w:p>
      <w:pPr>
        <w:pStyle w:val="BodyText"/>
      </w:pPr>
      <w:r>
        <w:t xml:space="preserve">Reconstruction alone also does not uniquely identify the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proposed unsupervised PDAC subtype taxonomies</w:t>
      </w:r>
      <w:hyperlink w:anchor="ref-lautizi2022pancreatic">
        <w:r>
          <w:rPr>
            <w:rStyle w:val="Hyperlink"/>
            <w:vertAlign w:val="superscript"/>
          </w:rPr>
          <w:t xml:space="preserve">22</w:t>
        </w:r>
      </w:hyperlink>
      <w:r>
        <w:t xml:space="preserve">. The basal-like/classical dichotomy developed over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Survival information offers an additional criterion for shaping discovery, although it does not by itself resolve this non-uniqueness.</w:t>
      </w:r>
    </w:p>
    <w:p>
      <w:pPr>
        <w:pStyle w:val="BodyText"/>
      </w:pPr>
      <w:r>
        <w:t xml:space="preserve">Survival-supervised models such as penalized Cox regression and supervised principal components identify outcome-associated expression patterns, but do not explicitly separate those patterns into malignant and microenvironmental programs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NMF at matched and higher rank (the number of programs the factorization extracts) and with conventional survival models such as penalized Cox regression and supervised principal components (Supplementary Table [tab:architecture]). We then evaluate the clinical relevance of the frozen programs in independent cohorts and ask whether they retain prognostic information beyond established PDAC classifiers. Simulations in which the true underlying (latent) programs are known characterize the conditions under which survival supervision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learns gene programs by balancing reconstruction of the tumor transcriptome with association to patient survival. A supervision parameter</w:t>
      </w:r>
      <w:r>
        <w:t xml:space="preserve"> </w:t>
      </w:r>
      <m:oMath>
        <m:r>
          <m:t>α</m:t>
        </m:r>
      </m:oMath>
      <w:r>
        <w:t xml:space="preserve"> </w:t>
      </w:r>
      <w:r>
        <w:t xml:space="preserve">controls the strength of survival supervision, with</w:t>
      </w:r>
      <w:r>
        <w:t xml:space="preserve"> </w:t>
      </w:r>
      <m:oMath>
        <m:r>
          <m:t>α</m:t>
        </m:r>
        <m:r>
          <m:rPr>
            <m:sty m:val="p"/>
          </m:rPr>
          <m:t>=</m:t>
        </m:r>
        <m:r>
          <m:t>0</m:t>
        </m:r>
      </m:oMath>
      <w:r>
        <w:t xml:space="preserve"> </w:t>
      </w:r>
      <w:r>
        <w:t xml:space="preserve">leaving a purely reconstruction-driven factorization, and the rank</w:t>
      </w:r>
      <w:r>
        <w:t xml:space="preserve"> </w:t>
      </w:r>
      <m:oMath>
        <m:r>
          <m:t>k</m:t>
        </m:r>
      </m:oMath>
      <w:r>
        <w:t xml:space="preserve"> </w:t>
      </w:r>
      <w:r>
        <w:t xml:space="preserve">sets how many programs are extracted (Fig. [fig:schema]a; Methods). After training, the gene weights and the Cox coefficients are fixed.</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The reported combination was therefore not itself evaluated during the Bayesian-optimization search. In contrast, standard unsupervised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rank choices in the same data (Supplementary Fig. [fig:fig-nmf-diagnostics]), echoing the cross-study instability of unsupervised PDAC subtype taxonomies</w:t>
      </w:r>
      <w:hyperlink w:anchor="ref-lautizi2022pancreatic">
        <w:r>
          <w:rPr>
            <w:rStyle w:val="Hyperlink"/>
            <w:vertAlign w:val="superscript"/>
          </w:rPr>
          <w:t xml:space="preserve">22</w:t>
        </w:r>
      </w:hyperlink>
      <w:r>
        <w:t xml:space="preserve">.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Both methods recovered the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 which reference programs are recovered from bulk).</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factors. However, in post-fit unpenalized Cox models of the three training-cohort scores projected over all analyzed genes,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w:t>
      </w:r>
    </w:p>
    <w:p>
      <w:pPr>
        <w:pStyle w:val="BodyText"/>
      </w:pPr>
      <w:r>
        <w:t xml:space="preserve">Tuning effort did not appear to explain this difference. We repeated the comparison with a matched-budget unsupervised control, which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its factorization objective, although it still guided its tuning, including the gene support that enters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These rows are correspondences between bulk gene programs and reference signatures, not direct identification of CAF cell states. (c) Per-factor reconstruction contribution (normalized Shapley share, summing to 100%) versus survival contribution, the decrease in the maximized unpenalized Cox partial log-likelihood when one factor is dropped from the three training-cohort scores projected over all analyzed genes and the Cox model is refitted using the remaining scores. These increments are conditional and nonadditive; D1 was estimated using these survival outcomes, so its increment locates the survival signal in the fitted model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915ee18e1a2dc2b5722a73512521e895820b749"/>
    <w:p>
      <w:pPr>
        <w:pStyle w:val="Heading2"/>
      </w:pPr>
      <w:r>
        <w:t xml:space="preserve">Frozen programs retain prognostic relevance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yielded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Nor did any of the three standard NMF factors at the same rank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and leave-one-dataset-out estimates were similar (HRs 1.34–1.45; Fig. [fig:val]a).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dataset-stratified Cox on the de-duplicated patient-level data, with each program standardized within dataset and scored on the union top-gene support;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in the training data; supervised scores concentrate on D1 and are only weakly correlated with the D2 stromal program. These score correspondences do not establish recovery of identical gene programs.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Within the PACA-AU datasets, these findings argue against measured tumor purity as the main explanation for the observed associations,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probing chiefly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into independent treated PDAC cohorts),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scored from laser-capture microdissected, epithelial-enriched profiles;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direction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DeSurv places the shared prognostic direction within separately scored tumor and stromal programs and provides program-specific gene lists for biological investigation and future classifier development.</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(Methods, Simulation studies).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Under this setting, DeSurv more accurately recovered the genes defining the true prognostic program, whereas unsupervised NMF was more strongly influenced by the dominant background structure (Fig. [fig:sim]a,b). Across 100 simulated datasets, median matched-factor precision (the proportion of the best-matching learned program’s selected genes belonging to the true prognostic gene set) was 0.50 for DeSurv versus 0.07 for unsupervised NMF.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differed between recovery of program-specific markers and recovery of shared background genes included in the survival-generating set (Supplementary Fig. [fig:fig-sim-null-mixed]). Under the null, test-set concordance was near chance for both methods. There,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medians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0.50 versus 0.07. The best-matching program is selected using the known simulated gene set; this evaluates recovery with access to ground truth. Global marker recall, which uses no matching, is reported in the Supplementary Information. In (a) and (b), boxes show median and interquartile range; whiskers extend to</w:t>
      </w:r>
      <w:r>
        <w:rPr>
          <w:iCs/>
          <w:i/>
        </w:rPr>
        <w:t xml:space="preserve"> </w:t>
      </w:r>
      <m:oMath>
        <m:r>
          <m:t>1.5</m:t>
        </m:r>
        <m:r>
          <m:rPr>
            <m:sty m:val="p"/>
          </m:rPr>
          <m:t>×</m:t>
        </m:r>
      </m:oMath>
      <w:r>
        <w:rPr>
          <w:iCs/>
          <w:i/>
        </w:rPr>
        <w:t xml:space="preserve">IQR; points are individual simulated datasets. (c) Distribution of selected ranks across simulated datasets for DeSurv versus unsupervised NMF. (d) The same matched-factor precision metric as in (b), computed for two signal regimes: a prognostic program whose genes carry low transcriptomic variance relative to the shared background excluded from the survival-generating gene set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then transferred without refitting across four independent external patient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produced scores aligned with the dominant prognostic direction, correlating only weakly with the separately resolved proCAF-like program (Fig. [fig:val]b). These comparisons separate prognostic information from the representation in which that information is recovered.</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In DeSurv, it depends directly on projections through the gene-program matrix, and new samples are scored using fixed gene weights without an additional sample-loading estimation step (Supplementary Table [tab:architecture]).</w:t>
      </w:r>
    </w:p>
    <w:p>
      <w:pPr>
        <w:pStyle w:val="BodyText"/>
      </w:pPr>
      <w:r>
        <w:t xml:space="preserve">Program-level outputs are the practical product of this architecture, because the genes assigned to a program determine how it is interpreted and what is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Program-specific gene lists connect measured scores to biological annotation and provide candidates for subsequent classifier development. DeSurv extends this line of work by allowing patient outcomes to influence the gene weights themselves, and D2 remains available as separately measurable proCAF-like stromal context although the fitted risk score combines D1 and D3.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it does not remove the non-uniqueness of matrix factorization, and individual DeSurv runs from different random starts recover appreciably different gene sets. Split-half consensus fits agreed closely with the reported basis (Supplementary Information, Stability of the recovered gene programs), which supports stability to restart-pool composition within the training data while leaving reproducibility under independent repetition, and the stability of the full consensus procedure under patient resampling, to be established.</w:t>
      </w:r>
    </w:p>
    <w:p>
      <w:pPr>
        <w:pStyle w:val="BodyText"/>
      </w:pPr>
      <w:r>
        <w:t xml:space="preserve">The simulations identify conditions under which survival information improves program recovery. They give a controlled example of how survival supervision can prioritize prognostically relevant structure that contributes relatively little expression variation.</w:t>
      </w:r>
    </w:p>
    <w:p>
      <w:pPr>
        <w:pStyle w:val="BodyText"/>
      </w:pPr>
      <w:r>
        <w:t xml:space="preserve">Three statistical qualifications bound the prognostic findings. DeSurv uses a proportional-hazards objective, while the external validation data showed attenuation of the prognostic association over follow-up (Schoenfeld test,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in the association across treatments.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organization is consistent with broader evidence that malignant lineage state and stromal composition vary together in PDAC</w:t>
      </w:r>
      <w:hyperlink w:anchor="ref-ogawa2020stroma">
        <w:r>
          <w:rPr>
            <w:rStyle w:val="Hyperlink"/>
            <w:vertAlign w:val="superscript"/>
          </w:rPr>
          <w:t xml:space="preserve">34</w:t>
        </w:r>
      </w:hyperlink>
      <w:r>
        <w:rPr>
          <w:vertAlign w:val="superscript"/>
        </w:rPr>
        <w:t xml:space="preserve">–</w:t>
      </w:r>
      <w:hyperlink w:anchor="ref-lee2024tumorcaf">
        <w:r>
          <w:rPr>
            <w:rStyle w:val="Hyperlink"/>
            <w:vertAlign w:val="superscript"/>
          </w:rPr>
          <w:t xml:space="preserve">36</w:t>
        </w:r>
      </w:hyperlink>
      <w:r>
        <w:t xml:space="preserve">. Adjustment for PurIST and DeCAF supports D1’s prognostic association beyond those classifiers, purity adjustment in the PACA-AU datasets leaves the risk score’s association essentially unchanged, and other supervised methods recover a related patient-score direction.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37</w:t>
        </w:r>
      </w:hyperlink>
      <w:r>
        <w:t xml:space="preserve">. PDAC is the empirical demonstration presented here rather than evidence of pan-cancer validation.</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38</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Optimization Algorithm).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The proposal rescales the weighted reconstruction and survival gradients using the norm-based factor defined in the Supplementary Information, subject to its numerical stabilizer and cap. It does not differentiate the</w:t>
      </w:r>
      <w:r>
        <w:t xml:space="preserve"> </w:t>
      </w:r>
      <m:oMath>
        <m:r>
          <m:t>W</m:t>
        </m:r>
      </m:oMath>
      <w:r>
        <w:t xml:space="preserve">-dependent penalty on the standardized-score coefficients and is therefore not the gradient of the full objective; each candidate is instead evaluated under the full objective by a backtracking line search.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with the optional ridge penalties on</w:t>
      </w:r>
      <w:r>
        <w:t xml:space="preserve"> </w:t>
      </w:r>
      <m:oMath>
        <m:r>
          <m:t>W</m:t>
        </m:r>
      </m:oMath>
      <w:r>
        <w:t xml:space="preserve"> </w:t>
      </w:r>
      <w:r>
        <w:t xml:space="preserve">and</w:t>
      </w:r>
      <w:r>
        <w:t xml:space="preserve"> </w:t>
      </w:r>
      <m:oMath>
        <m:r>
          <m:t>H</m:t>
        </m:r>
      </m:oMath>
      <w:r>
        <w:t xml:space="preserve"> </w:t>
      </w:r>
      <w:r>
        <w:t xml:space="preserve">both zero (</w:t>
      </w:r>
      <m:oMath>
        <m:sSub>
          <m:e>
            <m:r>
              <m:t>λ</m:t>
            </m:r>
          </m:e>
          <m:sub>
            <m:r>
              <m:t>W</m:t>
            </m:r>
          </m:sub>
        </m:sSub>
        <m:r>
          <m:rPr>
            <m:sty m:val="p"/>
          </m:rPr>
          <m:t>=</m:t>
        </m:r>
        <m:sSub>
          <m:e>
            <m:r>
              <m:t>λ</m:t>
            </m:r>
          </m:e>
          <m:sub>
            <m:r>
              <m:t>H</m:t>
            </m:r>
          </m:sub>
        </m:sSub>
        <m:r>
          <m:rPr>
            <m:sty m:val="p"/>
          </m:rPr>
          <m:t>=</m:t>
        </m:r>
        <m:r>
          <m:t>0</m:t>
        </m:r>
      </m:oMath>
      <w:r>
        <w:t xml:space="preserve">), as in the reported fits, the normalization alone leaves the displayed objective unchanged.</w:t>
      </w:r>
    </w:p>
    <w:p>
      <w:pPr>
        <w:pStyle w:val="BodyText"/>
      </w:pPr>
      <m:oMath>
        <m:r>
          <m:t>β</m:t>
        </m:r>
      </m:oMath>
      <w:r>
        <w:t xml:space="preserve"> </w:t>
      </w:r>
      <w:r>
        <w:t xml:space="preserve">is then updated by Coxnet-style cyclic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 starting from the current raw coefficients after the normalization step and using the current</w:t>
      </w:r>
      <w:r>
        <w:t xml:space="preserve"> </w:t>
      </w:r>
      <m:oMath>
        <m:sSub>
          <m:e>
            <m:r>
              <m:t>D</m:t>
            </m:r>
          </m:e>
          <m:sub>
            <m:r>
              <m:t>Z</m:t>
            </m:r>
          </m:sub>
        </m:sSub>
      </m:oMath>
      <w:r>
        <w:t xml:space="preserve">. The scores are centered as well as standardized, which shifts the linear predictor by a common additive constant that cancels from the Cox partial likelihood. The coordinate descent weights its quadratic approximation of the partial likelihood by</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rather than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of the objective while penalizing</w:t>
      </w:r>
      <w:r>
        <w:t xml:space="preserve"> </w:t>
      </w:r>
      <m:oMath>
        <m:r>
          <m:t>b</m:t>
        </m:r>
      </m:oMath>
      <w:r>
        <w:t xml:space="preserve">, so within that parameterization the effective penalty is</w:t>
      </w:r>
      <w:r>
        <w:t xml:space="preserve"> </w:t>
      </w:r>
      <m:oMath>
        <m:r>
          <m:t>2</m:t>
        </m:r>
        <m:r>
          <m:t>λ</m:t>
        </m:r>
      </m:oMath>
      <w:r>
        <w:t xml:space="preserve">. Its proposal is accepted only if the evaluated objective does not increase (for</w:t>
      </w:r>
      <w:r>
        <w:t xml:space="preserve"> </w:t>
      </w:r>
      <m:oMath>
        <m:r>
          <m:t>α</m:t>
        </m:r>
        <m:r>
          <m:rPr>
            <m:sty m:val="p"/>
          </m:rPr>
          <m:t>&gt;</m:t>
        </m:r>
        <m:r>
          <m:t>0</m:t>
        </m:r>
      </m:oMath>
      <w:r>
        <w:t xml:space="preserve"> </w:t>
      </w:r>
      <w:r>
        <w:t xml:space="preserve">this is equivalent, with</w:t>
      </w:r>
      <w:r>
        <w:t xml:space="preserve"> </w:t>
      </w:r>
      <m:oMath>
        <m:r>
          <m:t>W</m:t>
        </m:r>
      </m:oMath>
      <w:r>
        <w:t xml:space="preserve"> </w:t>
      </w:r>
      <w:r>
        <w:t xml:space="preserve">and</w:t>
      </w:r>
      <w:r>
        <w:t xml:space="preserve"> </w:t>
      </w:r>
      <m:oMath>
        <m:r>
          <m:t>H</m:t>
        </m:r>
      </m:oMath>
      <w:r>
        <w:t xml:space="preserve"> </w:t>
      </w:r>
      <w:r>
        <w:t xml:space="preserve">fixed, to not increasing the penalized survival loss; at</w:t>
      </w:r>
      <w:r>
        <w:t xml:space="preserve"> </w:t>
      </w:r>
      <m:oMath>
        <m:r>
          <m:t>α</m:t>
        </m:r>
        <m:r>
          <m:rPr>
            <m:sty m:val="p"/>
          </m:rPr>
          <m:t>=</m:t>
        </m:r>
        <m:r>
          <m:t>0</m:t>
        </m:r>
      </m:oMath>
      <w:r>
        <w:t xml:space="preserve"> </w:t>
      </w:r>
      <w:r>
        <w:t xml:space="preserve">the full objective is independent of</w:t>
      </w:r>
      <w:r>
        <w:t xml:space="preserve"> </w:t>
      </w:r>
      <m:oMath>
        <m:r>
          <m:t>β</m:t>
        </m:r>
      </m:oMath>
      <w:r>
        <w:t xml:space="preserve">), which makes the</w:t>
      </w:r>
      <w:r>
        <w:t xml:space="preserve"> </w:t>
      </w:r>
      <m:oMath>
        <m:r>
          <m:t>β</m:t>
        </m:r>
      </m:oMath>
      <w:r>
        <w:t xml:space="preserve"> </w:t>
      </w:r>
      <w:r>
        <w:t xml:space="preserve">update non-increasing in that objective without establishing convergence to a conditional or joint optimum, and</w:t>
      </w:r>
      <w:r>
        <w:t xml:space="preserve"> </w:t>
      </w:r>
      <m:oMath>
        <m:r>
          <m:t>β</m:t>
        </m:r>
      </m:oMath>
      <w:r>
        <w:t xml:space="preserve"> </w:t>
      </w:r>
      <w:r>
        <w:t xml:space="preserve">is refit on the converged</w:t>
      </w:r>
      <w:r>
        <w:t xml:space="preserve"> </w:t>
      </w:r>
      <m:oMath>
        <m:r>
          <m:t>W</m:t>
        </m:r>
      </m:oMath>
      <w:r>
        <w:t xml:space="preserve"> </w:t>
      </w:r>
      <w:r>
        <w:t xml:space="preserve">at the end. The</w:t>
      </w:r>
      <w:r>
        <w:t xml:space="preserve"> </w:t>
      </w:r>
      <m:oMath>
        <m:r>
          <m:t>β</m:t>
        </m:r>
      </m:oMath>
      <w:r>
        <w:t xml:space="preserve"> </w:t>
      </w:r>
      <w:r>
        <w:t xml:space="preserve">block is therefore an approximate rather than exact conditional minimizer. Convergence of the outer loop is assessed by the change in</w:t>
      </w:r>
      <w:r>
        <w:t xml:space="preserve"> </w:t>
      </w:r>
      <m:oMath>
        <m:r>
          <m:t>W</m:t>
        </m:r>
      </m:oMath>
      <w:r>
        <w:t xml:space="preserve"> </w:t>
      </w:r>
      <w:r>
        <w:t xml:space="preserve">and</w:t>
      </w:r>
      <w:r>
        <w:t xml:space="preserve"> </w:t>
      </w:r>
      <m:oMath>
        <m:r>
          <m:t>H</m:t>
        </m:r>
      </m:oMath>
      <w:r>
        <w:t xml:space="preserve"> </w:t>
      </w:r>
      <w:r>
        <w:t xml:space="preserve">between successive iterations, not by the change in the objective. Iteration stops when the cosine change of both</w:t>
      </w:r>
      <w:r>
        <w:t xml:space="preserve"> </w:t>
      </w:r>
      <m:oMath>
        <m:r>
          <m:t>W</m:t>
        </m:r>
      </m:oMath>
      <w:r>
        <w:t xml:space="preserve"> </w:t>
      </w:r>
      <w:r>
        <w:t xml:space="preserve">and</w:t>
      </w:r>
      <w:r>
        <w:t xml:space="preserve"> </w:t>
      </w:r>
      <m:oMath>
        <m:r>
          <m:t>H</m:t>
        </m:r>
      </m:oMath>
      <w:r>
        <w:t xml:space="preserve"> </w:t>
      </w:r>
      <w:r>
        <w:t xml:space="preserve">falls below</w:t>
      </w:r>
      <w:r>
        <w:t xml:space="preserve"> </w:t>
      </w:r>
      <m:oMath>
        <m:sSup>
          <m:e>
            <m:r>
              <m:t>10</m:t>
            </m:r>
          </m:e>
          <m:sup>
            <m:r>
              <m:rPr>
                <m:sty m:val="p"/>
              </m:rPr>
              <m:t>−</m:t>
            </m:r>
            <m:r>
              <m:t>7</m:t>
            </m:r>
          </m:sup>
        </m:sSup>
      </m:oMath>
      <w:r>
        <w:t xml:space="preserve"> </w:t>
      </w:r>
      <w:r>
        <w:t xml:space="preserve">for the restart and final fits, and below</w:t>
      </w:r>
      <w:r>
        <w:t xml:space="preserve"> </w:t>
      </w:r>
      <m:oMath>
        <m:sSup>
          <m:e>
            <m:r>
              <m:t>10</m:t>
            </m:r>
          </m:e>
          <m:sup>
            <m:r>
              <m:rPr>
                <m:sty m:val="p"/>
              </m:rPr>
              <m:t>−</m:t>
            </m:r>
            <m:r>
              <m:t>5</m:t>
            </m:r>
          </m:sup>
        </m:sSup>
      </m:oMath>
      <w:r>
        <w:t xml:space="preserve"> </w:t>
      </w:r>
      <w:r>
        <w:t xml:space="preserve">for the cross-validation fits inside the hyperparameter search, or after 4,000 iterations; cosine change is defined in Supplementary Information, Optimization Algorithm. The reported fits were produced by this implementation; the nominal tuning parameters are reported together with the implemented scaling and standardization conventions.</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and none failed numerically (median 38 iterations, range 17–233; Supplementary Information, Empirical optimization stability). The recorded outer-loop objective decreased monotonically. Monotone decrease together with the cosine stopping rule is what these runs establish, and they are checks on the optimizer rather than on which programs it recovers. Closed-form update equations are given in Supplementary Information, Model details and Optimization Algorithm, and Bayesian-optimization control parameters in Bayesian Optimization.</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the remaining hyperparameters were those of the best observed configuration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using the same training data and selected non-rank hyperparameters. That check is an exhaustive grid over ranks</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and supervision strengths</w:t>
      </w:r>
      <w:r>
        <w:t xml:space="preserve"> </w:t>
      </w:r>
      <m:oMath>
        <m:r>
          <m:t>α</m:t>
        </m:r>
      </m:oMath>
      <w:r>
        <w:t xml:space="preserve">,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retained values, and is restricted throughout to</w:t>
      </w:r>
      <w:r>
        <w:t xml:space="preserve"> </w:t>
      </w:r>
      <m:oMath>
        <m:sSub>
          <m:e>
            <m:r>
              <m:t>n</m:t>
            </m:r>
          </m:e>
          <m:sub>
            <m:r>
              <m:rPr>
                <m:nor/>
                <m:sty m:val="p"/>
              </m:rPr>
              <m:t>top</m:t>
            </m:r>
          </m:sub>
        </m:sSub>
        <m:r>
          <m:rPr>
            <m:sty m:val="p"/>
          </m:rPr>
          <m:t>=</m:t>
        </m:r>
        <m:r>
          <m:t>270</m:t>
        </m:r>
      </m:oMath>
      <w:r>
        <w:t xml:space="preserve">. Applying the same one-standard-error rule to that grid also selects</w:t>
      </w:r>
      <w:r>
        <w:t xml:space="preserve"> </w:t>
      </w:r>
      <m:oMath>
        <m:r>
          <m:t>k</m:t>
        </m:r>
        <m:r>
          <m:rPr>
            <m:sty m:val="p"/>
          </m:rPr>
          <m:t>=</m:t>
        </m:r>
        <m:r>
          <m:t>3</m:t>
        </m:r>
      </m:oMath>
      <w:r>
        <w:t xml:space="preserve">. Within its</w:t>
      </w:r>
      <w:r>
        <w:t xml:space="preserve"> </w:t>
      </w:r>
      <m:oMath>
        <m:r>
          <m:t>k</m:t>
        </m:r>
        <m:r>
          <m:rPr>
            <m:sty m:val="p"/>
          </m:rPr>
          <m:t>=</m:t>
        </m:r>
        <m:r>
          <m:t>3</m:t>
        </m:r>
      </m:oMath>
      <w:r>
        <w:t xml:space="preserve"> </w:t>
      </w:r>
      <w:r>
        <w:t xml:space="preserve">slice, the nearest evaluated supervision level,</w:t>
      </w:r>
      <w:r>
        <w:t xml:space="preserve"> </w:t>
      </w:r>
      <m:oMath>
        <m:r>
          <m:t>α</m:t>
        </m:r>
        <m:r>
          <m:rPr>
            <m:sty m:val="p"/>
          </m:rPr>
          <m:t>=</m:t>
        </m:r>
        <m:r>
          <m:t>0.35</m:t>
        </m:r>
      </m:oMath>
      <w:r>
        <w:t xml:space="preserve">, gave a mean cross-validated C-index of 0.656 (SE 0.010). That value clears the Bayesian-optimization threshold of 0.644 but not the grid’s own one-standard-error threshold of 0.662, which is set by the grid’s best rank,</w:t>
      </w:r>
      <w:r>
        <w:t xml:space="preserve"> </w:t>
      </w:r>
      <m:oMath>
        <m:r>
          <m:t>k</m:t>
        </m:r>
        <m:r>
          <m:rPr>
            <m:sty m:val="p"/>
          </m:rPr>
          <m:t>=</m:t>
        </m:r>
        <m:r>
          <m:t>9</m:t>
        </m:r>
      </m:oMath>
      <w:r>
        <w:t xml:space="preserve"> </w:t>
      </w:r>
      <w:r>
        <w:t xml:space="preserve">(Supplementary Information, Bayesian Optimization and Cross-validated C-index across factorization rank). That grid point is a sensitivity check at a nearby</w:t>
      </w:r>
      <w:r>
        <w:t xml:space="preserve"> </w:t>
      </w:r>
      <m:oMath>
        <m:r>
          <m:t>α</m:t>
        </m:r>
      </m:oMath>
      <w:r>
        <w:t xml:space="preserve">, not the cross-validated performance of the final configuration itself.</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100 fits from independent random initializations were aggregated into a gene-by-gene co-occurrence matrix, recording how often each pair of genes appeared together among the top genes of the same program, ranked by factor specificity. Genes reaching a top set in fewer than 30 of the runs were treated as inactive and excluded; the remaining genes were partitioned into</w:t>
      </w:r>
      <w:r>
        <w:t xml:space="preserve"> </w:t>
      </w:r>
      <m:oMath>
        <m:r>
          <m:t>k</m:t>
        </m:r>
      </m:oMath>
      <w:r>
        <w:t xml:space="preserve"> </w:t>
      </w:r>
      <w:r>
        <w:t xml:space="preserve">groups by average-linkage hierarchical clustering, each cluster defining one column of the initialization</w:t>
      </w:r>
      <w:r>
        <w:t xml:space="preserve"> </w:t>
      </w:r>
      <m:oMath>
        <m:sSub>
          <m:e>
            <m:r>
              <m:t>W</m:t>
            </m:r>
          </m:e>
          <m:sub>
            <m:r>
              <m:t>0</m:t>
            </m:r>
          </m:sub>
        </m:sSub>
      </m:oMath>
      <w:r>
        <w:t xml:space="preserve">, with inactive and otherwise empty entries set to a small positive floor. The loadings were initialized by nonnegative least squares given</w:t>
      </w:r>
      <w:r>
        <w:t xml:space="preserve"> </w:t>
      </w:r>
      <m:oMath>
        <m:sSub>
          <m:e>
            <m:r>
              <m:t>W</m:t>
            </m:r>
          </m:e>
          <m:sub>
            <m:r>
              <m:t>0</m:t>
            </m:r>
          </m:sub>
        </m:sSub>
      </m:oMath>
      <w:r>
        <w:t xml:space="preserve">, and the initial Cox coefficients were set to zero; the final model was then fit once from that initialization. Because the consensus is built from gene-by-gene co-occurrence, it is invariant to factor-label permutation and requires no alignment of labels across runs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factor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The primary factorization comparison used a common number of top genes per program when constructing each model’s scoring union. Total union size can still differ with rank and overlap among programs. Both unsupervised controls were therefore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which were 299 for the matched-rank control and 187 for the rank-optimized control. Scoring the matched-rank control at its own selected value instead changes no per-dataset C-index by more than 0.007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sparse Cox selected a median of 14 genes, range 9–33, and supervised principal components 39, range 5–222), and both were tuned by their standard method-specific cross-validation rather than a budget matched to DeSurv. For this comparison DeSurv’s program scores used per-program top-</w:t>
      </w:r>
      <m:oMath>
        <m:sSub>
          <m:e>
            <m:r>
              <m:t>n</m:t>
            </m:r>
          </m:e>
          <m:sub>
            <m:r>
              <m:rPr>
                <m:nor/>
                <m:sty m:val="p"/>
              </m:rPr>
              <m:t>top</m:t>
            </m:r>
          </m:sub>
        </m:sSub>
      </m:oMath>
      <w:r>
        <w:t xml:space="preserve"> </w:t>
      </w:r>
      <w:r>
        <w:t xml:space="preserve">masks rather than the union support, and the Cox weights combining the three program scores were re-estimated without penalty on the training scores, so that all three methods enter as training-fitted linear scores. The comparison evaluates method-specific representations and predictive performance, without matching tuning budgets.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are exact Shapley values over subsets of the fixed rank-one factor contributions, computed without refitting the factorization, and each subset’s value is its reconstruction gain relative to the zero-factor reconstruction; the shares are normalized to sum to 100%. The separately reported centered</w:t>
      </w:r>
      <w:r>
        <w:t xml:space="preserve"> </w:t>
      </w:r>
      <m:oMath>
        <m:sSup>
          <m:e>
            <m:r>
              <m:t>R</m:t>
            </m:r>
          </m:e>
          <m:sup>
            <m:r>
              <m:t>2</m:t>
            </m:r>
          </m:sup>
        </m:sSup>
      </m:oMath>
      <w:r>
        <w:t xml:space="preserve"> </w:t>
      </w:r>
      <w:r>
        <w:t xml:space="preserve">instead takes the grand mean of the analysis matrix as its reference. Reconstruction gain and centered</w:t>
      </w:r>
      <w:r>
        <w:t xml:space="preserve"> </w:t>
      </w:r>
      <m:oMath>
        <m:sSup>
          <m:e>
            <m:r>
              <m:t>R</m:t>
            </m:r>
          </m:e>
          <m:sup>
            <m:r>
              <m:t>2</m:t>
            </m:r>
          </m:sup>
        </m:sSup>
      </m:oMath>
      <w:r>
        <w:t xml:space="preserve"> </w:t>
      </w:r>
      <w:r>
        <w:t xml:space="preserve">describe different aspects of reconstruction and should not be interpreted as interchangeable measures. Survival contributions are the loss in maximized unpenalized Cox partial log-likelihood between a model on all factor scores and a model refitted after omitting one factor, computed from full-support training scores; these conditional increments are nonadditive and are not changes in the trained penalized DeSurv predictor.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computed by recalibrating only the frozen score’s scalar slope and baseline hazard within each validation dataset and integrating to the 80th percentile of that dataset’s event times. These are apparent, in-sample recalibrated values rather than out-of-sample prediction error, and because each validation dataset is integrated over its own horizon the pooled figure is a descriptive event-weighted summary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a new sample needs loadings of its own. SurvNMF documents such a step, obtaining them for held-out samples by a constrained least-squares fit; that step holds the gene basis fixed and needs neither relearning of the basis nor validation survival outcomes, so it is an additional fitting step at transfer rather than a leak. CoxNMF’s published description does not specify a new-sample scoring procedure (Supplementary Table [tab:architecture]). Sample-side supervision can nonetheless influence the basis indirectly, through the alternating reconstruction updates.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Part I.</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model-section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DeSurv incorporated survival during factorization, whereas its unsupervised limit used a post hoc Cox model on projected scores; both pipelines were tuned by Bayesian optimization using cross-validated concordance.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PDAC Datasets.</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39</w:t>
        </w:r>
      </w:hyperlink>
      <w:r>
        <w:t xml:space="preserve"> </w:t>
      </w:r>
      <w:r>
        <w:t xml:space="preserve">and CPTAC-3</w:t>
      </w:r>
      <w:hyperlink w:anchor="ref-data_cptac3">
        <w:r>
          <w:rPr>
            <w:rStyle w:val="Hyperlink"/>
            <w:vertAlign w:val="superscript"/>
          </w:rPr>
          <w:t xml:space="preserve">40</w:t>
        </w:r>
      </w:hyperlink>
      <w:r>
        <w:t xml:space="preserve">. Validation cohorts were obtained from ArrayExpress (Dijk, E-MTAB-6830</w:t>
      </w:r>
      <w:hyperlink w:anchor="ref-data_dijk_emtab6830">
        <w:r>
          <w:rPr>
            <w:rStyle w:val="Hyperlink"/>
            <w:vertAlign w:val="superscript"/>
          </w:rPr>
          <w:t xml:space="preserve">41</w:t>
        </w:r>
      </w:hyperlink>
      <w:r>
        <w:t xml:space="preserve">; Puleo, E-MTAB-6134</w:t>
      </w:r>
      <w:hyperlink w:anchor="ref-data_puleo_emtab6134">
        <w:r>
          <w:rPr>
            <w:rStyle w:val="Hyperlink"/>
            <w:vertAlign w:val="superscript"/>
          </w:rPr>
          <w:t xml:space="preserve">42</w:t>
        </w:r>
      </w:hyperlink>
      <w:r>
        <w:t xml:space="preserve">), the Gene Expression Omnibus (GEO; Moffitt, GSE71729</w:t>
      </w:r>
      <w:hyperlink w:anchor="ref-data_moffitt_gse71729">
        <w:r>
          <w:rPr>
            <w:rStyle w:val="Hyperlink"/>
            <w:vertAlign w:val="superscript"/>
          </w:rPr>
          <w:t xml:space="preserve">43</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44</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38</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0" w:name="references"/>
    <w:p>
      <w:pPr>
        <w:pStyle w:val="Heading1"/>
      </w:pPr>
      <w:r>
        <w:t xml:space="preserve">References</w:t>
      </w:r>
    </w:p>
    <w:bookmarkStart w:id="149"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lee1999learning"/>
    <w:p>
      <w:pPr>
        <w:pStyle w:val="Bibliography"/>
      </w:pPr>
      <w:r>
        <w:t xml:space="preserve">12.</w:t>
      </w:r>
      <w:r>
        <w:t xml:space="preserve"> </w:t>
      </w:r>
      <w:r>
        <w:t xml:space="preserve">	</w:t>
      </w:r>
      <w:r>
        <w:t xml:space="preserve">Lee, D. D. &amp; Seung, H. S.</w:t>
      </w:r>
      <w:r>
        <w:t xml:space="preserve"> </w:t>
      </w:r>
      <w:hyperlink r:id="rId88">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9"/>
    <w:bookmarkStart w:id="91" w:name="ref-brunet2004metagenes"/>
    <w:p>
      <w:pPr>
        <w:pStyle w:val="Bibliography"/>
      </w:pPr>
      <w:r>
        <w:t xml:space="preserve">13.</w:t>
      </w:r>
      <w:r>
        <w:t xml:space="preserve"> </w:t>
      </w:r>
      <w:r>
        <w:t xml:space="preserve">	</w:t>
      </w:r>
      <w:r>
        <w:t xml:space="preserve">Brunet, J.-P., Tamayo, P., Golub, T. R. &amp; Mesirov, J. P.</w:t>
      </w:r>
      <w:r>
        <w:t xml:space="preserve"> </w:t>
      </w:r>
      <w:hyperlink r:id="rId90">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1"/>
    <w:bookmarkStart w:id="93" w:name="ref-peng2019novo"/>
    <w:p>
      <w:pPr>
        <w:pStyle w:val="Bibliography"/>
      </w:pPr>
      <w:r>
        <w:t xml:space="preserve">14.</w:t>
      </w:r>
      <w:r>
        <w:t xml:space="preserve"> </w:t>
      </w:r>
      <w:r>
        <w:t xml:space="preserve">	</w:t>
      </w:r>
      <w:r>
        <w:t xml:space="preserve">Peng, X. L., Moffitt, R. A., Torphy, R. J., Volmar, K. E. &amp; Yeh, J. J.</w:t>
      </w:r>
      <w:r>
        <w:t xml:space="preserve"> </w:t>
      </w:r>
      <w:hyperlink r:id="rId92">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93"/>
    <w:bookmarkStart w:id="95" w:name="ref-bair2004semi"/>
    <w:p>
      <w:pPr>
        <w:pStyle w:val="Bibliography"/>
      </w:pPr>
      <w:r>
        <w:t xml:space="preserve">15.</w:t>
      </w:r>
      <w:r>
        <w:t xml:space="preserve"> </w:t>
      </w:r>
      <w:r>
        <w:t xml:space="preserve">	</w:t>
      </w:r>
      <w:r>
        <w:t xml:space="preserve">Bair, E. &amp; Tibshirani, R.</w:t>
      </w:r>
      <w:r>
        <w:t xml:space="preserve"> </w:t>
      </w:r>
      <w:hyperlink r:id="rId94">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5"/>
    <w:bookmarkStart w:id="97" w:name="ref-cook2007fisher"/>
    <w:p>
      <w:pPr>
        <w:pStyle w:val="Bibliography"/>
      </w:pPr>
      <w:r>
        <w:t xml:space="preserve">16.</w:t>
      </w:r>
      <w:r>
        <w:t xml:space="preserve"> </w:t>
      </w:r>
      <w:r>
        <w:t xml:space="preserve">	</w:t>
      </w:r>
      <w:r>
        <w:t xml:space="preserve">Cook, R. D.</w:t>
      </w:r>
      <w:r>
        <w:t xml:space="preserve"> </w:t>
      </w:r>
      <w:hyperlink r:id="rId96">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7"/>
    <w:bookmarkStart w:id="99"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8">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9"/>
    <w:bookmarkStart w:id="101" w:name="ref-aran2015systematic"/>
    <w:p>
      <w:pPr>
        <w:pStyle w:val="Bibliography"/>
      </w:pPr>
      <w:r>
        <w:t xml:space="preserve">18.</w:t>
      </w:r>
      <w:r>
        <w:t xml:space="preserve"> </w:t>
      </w:r>
      <w:r>
        <w:t xml:space="preserve">	</w:t>
      </w:r>
      <w:r>
        <w:t xml:space="preserve">Aran, D., Sirota, M. &amp; Butte, A. J.</w:t>
      </w:r>
      <w:r>
        <w:t xml:space="preserve"> </w:t>
      </w:r>
      <w:hyperlink r:id="rId100">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101"/>
    <w:bookmarkStart w:id="102"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102"/>
    <w:bookmarkStart w:id="104"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103">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4"/>
    <w:bookmarkStart w:id="105"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5"/>
    <w:bookmarkStart w:id="107"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106">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7"/>
    <w:bookmarkStart w:id="109"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8">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9"/>
    <w:bookmarkStart w:id="111"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1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11"/>
    <w:bookmarkStart w:id="113"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1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13"/>
    <w:bookmarkStart w:id="115" w:name="ref-snoek2012practical"/>
    <w:p>
      <w:pPr>
        <w:pStyle w:val="Bibliography"/>
      </w:pPr>
      <w:r>
        <w:t xml:space="preserve">26.</w:t>
      </w:r>
      <w:r>
        <w:t xml:space="preserve"> </w:t>
      </w:r>
      <w:r>
        <w:t xml:space="preserve">	</w:t>
      </w:r>
      <w:r>
        <w:t xml:space="preserve">Snoek, J., Larochelle, H. &amp; Adams, R. P.</w:t>
      </w:r>
      <w:r>
        <w:t xml:space="preserve"> </w:t>
      </w:r>
      <w:hyperlink r:id="rId114">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5"/>
    <w:bookmarkStart w:id="117"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16">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7"/>
    <w:bookmarkStart w:id="119" w:name="ref-frigyesi2008nmf"/>
    <w:p>
      <w:pPr>
        <w:pStyle w:val="Bibliography"/>
      </w:pPr>
      <w:r>
        <w:t xml:space="preserve">28.</w:t>
      </w:r>
      <w:r>
        <w:t xml:space="preserve"> </w:t>
      </w:r>
      <w:r>
        <w:t xml:space="preserve">	</w:t>
      </w:r>
      <w:r>
        <w:t xml:space="preserve">Frigyesi, A. &amp; Höglund, M.</w:t>
      </w:r>
      <w:r>
        <w:t xml:space="preserve"> </w:t>
      </w:r>
      <w:hyperlink r:id="rId118">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9"/>
    <w:bookmarkStart w:id="121"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2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1"/>
    <w:bookmarkStart w:id="123"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4"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4"/>
    <w:bookmarkStart w:id="125"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5"/>
    <w:bookmarkStart w:id="126"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6"/>
    <w:bookmarkStart w:id="128" w:name="ref-ogawa2020stroma"/>
    <w:p>
      <w:pPr>
        <w:pStyle w:val="Bibliography"/>
      </w:pPr>
      <w:r>
        <w:t xml:space="preserve">34.</w:t>
      </w:r>
      <w:r>
        <w:t xml:space="preserve"> </w:t>
      </w:r>
      <w:r>
        <w:t xml:space="preserve">	</w:t>
      </w:r>
      <w:r>
        <w:t xml:space="preserve">Ogawa, Y.</w:t>
      </w:r>
      <w:r>
        <w:t xml:space="preserve"> </w:t>
      </w:r>
      <w:r>
        <w:rPr>
          <w:iCs/>
          <w:i/>
        </w:rPr>
        <w:t xml:space="preserve">et al.</w:t>
      </w:r>
      <w:r>
        <w:t xml:space="preserve"> </w:t>
      </w:r>
      <w:hyperlink r:id="rId127">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8"/>
    <w:bookmarkStart w:id="130" w:name="ref-neuzillet2022periostin"/>
    <w:p>
      <w:pPr>
        <w:pStyle w:val="Bibliography"/>
      </w:pPr>
      <w:r>
        <w:t xml:space="preserve">35.</w:t>
      </w:r>
      <w:r>
        <w:t xml:space="preserve"> </w:t>
      </w:r>
      <w:r>
        <w:t xml:space="preserve">	</w:t>
      </w:r>
      <w:r>
        <w:t xml:space="preserve">Neuzillet, C.</w:t>
      </w:r>
      <w:r>
        <w:t xml:space="preserve"> </w:t>
      </w:r>
      <w:r>
        <w:rPr>
          <w:iCs/>
          <w:i/>
        </w:rPr>
        <w:t xml:space="preserve">et al.</w:t>
      </w:r>
      <w:r>
        <w:t xml:space="preserve"> </w:t>
      </w:r>
      <w:hyperlink r:id="rId129">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0"/>
    <w:bookmarkStart w:id="132" w:name="ref-lee2024tumorcaf"/>
    <w:p>
      <w:pPr>
        <w:pStyle w:val="Bibliography"/>
      </w:pPr>
      <w:r>
        <w:t xml:space="preserve">36.</w:t>
      </w:r>
      <w:r>
        <w:t xml:space="preserve"> </w:t>
      </w:r>
      <w:r>
        <w:t xml:space="preserve">	</w:t>
      </w:r>
      <w:r>
        <w:t xml:space="preserve">Lee, J. J.</w:t>
      </w:r>
      <w:r>
        <w:t xml:space="preserve"> </w:t>
      </w:r>
      <w:r>
        <w:rPr>
          <w:iCs/>
          <w:i/>
        </w:rPr>
        <w:t xml:space="preserve">et al.</w:t>
      </w:r>
      <w:r>
        <w:t xml:space="preserve"> </w:t>
      </w:r>
      <w:hyperlink r:id="rId131">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2"/>
    <w:bookmarkStart w:id="134" w:name="ref-smith2020standard"/>
    <w:p>
      <w:pPr>
        <w:pStyle w:val="Bibliography"/>
      </w:pPr>
      <w:r>
        <w:t xml:space="preserve">37.</w:t>
      </w:r>
      <w:r>
        <w:t xml:space="preserve"> </w:t>
      </w:r>
      <w:r>
        <w:t xml:space="preserve">	</w:t>
      </w:r>
      <w:r>
        <w:t xml:space="preserve">Smith, A. M.</w:t>
      </w:r>
      <w:r>
        <w:t xml:space="preserve"> </w:t>
      </w:r>
      <w:r>
        <w:rPr>
          <w:iCs/>
          <w:i/>
        </w:rPr>
        <w:t xml:space="preserve">et al.</w:t>
      </w:r>
      <w:r>
        <w:t xml:space="preserve"> </w:t>
      </w:r>
      <w:hyperlink r:id="rId133">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4"/>
    <w:bookmarkStart w:id="136" w:name="ref-gaujoux2010flexible"/>
    <w:p>
      <w:pPr>
        <w:pStyle w:val="Bibliography"/>
      </w:pPr>
      <w:r>
        <w:t xml:space="preserve">38.</w:t>
      </w:r>
      <w:r>
        <w:t xml:space="preserve"> </w:t>
      </w:r>
      <w:r>
        <w:t xml:space="preserve">	</w:t>
      </w:r>
      <w:r>
        <w:t xml:space="preserve">Gaujoux, R. &amp; Seoighe, C.</w:t>
      </w:r>
      <w:r>
        <w:t xml:space="preserve"> </w:t>
      </w:r>
      <w:hyperlink r:id="rId135">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6"/>
    <w:bookmarkStart w:id="138" w:name="ref-data_tcga_paad"/>
    <w:p>
      <w:pPr>
        <w:pStyle w:val="Bibliography"/>
      </w:pPr>
      <w:r>
        <w:t xml:space="preserve">39.</w:t>
      </w:r>
      <w:r>
        <w:t xml:space="preserve"> </w:t>
      </w:r>
      <w:r>
        <w:t xml:space="preserve">	</w:t>
      </w:r>
      <w:r>
        <w:t xml:space="preserve">The Cancer Genome Atlas Research Network.</w:t>
      </w:r>
      <w:r>
        <w:t xml:space="preserve"> </w:t>
      </w:r>
      <w:hyperlink r:id="rId137">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8"/>
    <w:bookmarkStart w:id="140" w:name="ref-data_cptac3"/>
    <w:p>
      <w:pPr>
        <w:pStyle w:val="Bibliography"/>
      </w:pPr>
      <w:r>
        <w:t xml:space="preserve">40.</w:t>
      </w:r>
      <w:r>
        <w:t xml:space="preserve"> </w:t>
      </w:r>
      <w:r>
        <w:t xml:space="preserve">	</w:t>
      </w:r>
      <w:r>
        <w:t xml:space="preserve">National Cancer Institute Clinical Proteomic Tumor Analysis Consortium.</w:t>
      </w:r>
      <w:r>
        <w:t xml:space="preserve"> </w:t>
      </w:r>
      <w:hyperlink r:id="rId139">
        <w:r>
          <w:rPr>
            <w:rStyle w:val="Hyperlink"/>
          </w:rPr>
          <w:t xml:space="preserve">Data from CPTAC-3 pancreatic ductal adenocarcinoma cohort</w:t>
        </w:r>
      </w:hyperlink>
      <w:r>
        <w:t xml:space="preserve">. (2019).</w:t>
      </w:r>
    </w:p>
    <w:bookmarkEnd w:id="140"/>
    <w:bookmarkStart w:id="142" w:name="ref-data_dijk_emtab6830"/>
    <w:p>
      <w:pPr>
        <w:pStyle w:val="Bibliography"/>
      </w:pPr>
      <w:r>
        <w:t xml:space="preserve">41.</w:t>
      </w:r>
      <w:r>
        <w:t xml:space="preserve"> </w:t>
      </w:r>
      <w:r>
        <w:t xml:space="preserve">	</w:t>
      </w:r>
      <w:r>
        <w:t xml:space="preserve">Dijk, F.</w:t>
      </w:r>
      <w:r>
        <w:t xml:space="preserve"> </w:t>
      </w:r>
      <w:r>
        <w:rPr>
          <w:iCs/>
          <w:i/>
        </w:rPr>
        <w:t xml:space="preserve">et al.</w:t>
      </w:r>
      <w:r>
        <w:t xml:space="preserve"> </w:t>
      </w:r>
      <w:hyperlink r:id="rId141">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2"/>
    <w:bookmarkStart w:id="144" w:name="ref-data_puleo_emtab6134"/>
    <w:p>
      <w:pPr>
        <w:pStyle w:val="Bibliography"/>
      </w:pPr>
      <w:r>
        <w:t xml:space="preserve">42.</w:t>
      </w:r>
      <w:r>
        <w:t xml:space="preserve"> </w:t>
      </w:r>
      <w:r>
        <w:t xml:space="preserve">	</w:t>
      </w:r>
      <w:r>
        <w:t xml:space="preserve">Puleo, F.</w:t>
      </w:r>
      <w:r>
        <w:t xml:space="preserve"> </w:t>
      </w:r>
      <w:r>
        <w:rPr>
          <w:iCs/>
          <w:i/>
        </w:rPr>
        <w:t xml:space="preserve">et al.</w:t>
      </w:r>
      <w:r>
        <w:t xml:space="preserve"> </w:t>
      </w:r>
      <w:hyperlink r:id="rId143">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4"/>
    <w:bookmarkStart w:id="146" w:name="ref-data_moffitt_gse71729"/>
    <w:p>
      <w:pPr>
        <w:pStyle w:val="Bibliography"/>
      </w:pPr>
      <w:r>
        <w:t xml:space="preserve">43.</w:t>
      </w:r>
      <w:r>
        <w:t xml:space="preserve"> </w:t>
      </w:r>
      <w:r>
        <w:t xml:space="preserve">	</w:t>
      </w:r>
      <w:r>
        <w:t xml:space="preserve">Moffitt, R. A.</w:t>
      </w:r>
      <w:r>
        <w:t xml:space="preserve"> </w:t>
      </w:r>
      <w:r>
        <w:rPr>
          <w:iCs/>
          <w:i/>
        </w:rPr>
        <w:t xml:space="preserve">et al.</w:t>
      </w:r>
      <w:r>
        <w:t xml:space="preserve"> </w:t>
      </w:r>
      <w:hyperlink r:id="rId145">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6"/>
    <w:bookmarkStart w:id="148" w:name="ref-data_paca_au_egas"/>
    <w:p>
      <w:pPr>
        <w:pStyle w:val="Bibliography"/>
      </w:pPr>
      <w:r>
        <w:t xml:space="preserve">44.</w:t>
      </w:r>
      <w:r>
        <w:t xml:space="preserve"> </w:t>
      </w:r>
      <w:r>
        <w:t xml:space="preserve">	</w:t>
      </w:r>
      <w:r>
        <w:t xml:space="preserve">Australian Pancreatic Cancer Genome Initiative &amp; International Cancer Genome Consortium.</w:t>
      </w:r>
      <w:r>
        <w:t xml:space="preserve"> </w:t>
      </w:r>
      <w:hyperlink r:id="rId147">
        <w:r>
          <w:rPr>
            <w:rStyle w:val="Hyperlink"/>
          </w:rPr>
          <w:t xml:space="preserve">Pancreatic cancer (PACA-AU) cohort: Array and RNA-sequencing data</w:t>
        </w:r>
      </w:hyperlink>
      <w:r>
        <w:t xml:space="preserve">. (2016).</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29" Target="https://doi.org/10.1002/path.6011" TargetMode="External" /><Relationship Type="http://schemas.openxmlformats.org/officeDocument/2006/relationships/hyperlink" Id="rId110" Target="https://doi.org/10.1016/j.ccell.2017.07.007" TargetMode="External" /><Relationship Type="http://schemas.openxmlformats.org/officeDocument/2006/relationships/hyperlink" Id="rId112" Target="https://doi.org/10.1016/j.cell.2021.08.023" TargetMode="External" /><Relationship Type="http://schemas.openxmlformats.org/officeDocument/2006/relationships/hyperlink" Id="rId74" Target="https://doi.org/10.1016/j.xcrm.2026.102611" TargetMode="External" /><Relationship Type="http://schemas.openxmlformats.org/officeDocument/2006/relationships/hyperlink" Id="rId88"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100"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92"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8" Target="https://doi.org/10.1038/s42003-023-04461-6" TargetMode="External" /><Relationship Type="http://schemas.openxmlformats.org/officeDocument/2006/relationships/hyperlink" Id="rId90" Target="https://doi.org/10.1073/pnas.0308531101" TargetMode="External" /><Relationship Type="http://schemas.openxmlformats.org/officeDocument/2006/relationships/hyperlink" Id="rId120"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6" Target="https://doi.org/10.1093/narcan/zcac030" TargetMode="External" /><Relationship Type="http://schemas.openxmlformats.org/officeDocument/2006/relationships/hyperlink" Id="rId131" Target="https://doi.org/10.1097/SLA.0000000000006416" TargetMode="External" /><Relationship Type="http://schemas.openxmlformats.org/officeDocument/2006/relationships/hyperlink" Id="rId116" Target="https://doi.org/10.1109/JPROC.2015.2494218" TargetMode="External" /><Relationship Type="http://schemas.openxmlformats.org/officeDocument/2006/relationships/hyperlink" Id="rId122" Target="https://doi.org/10.1136/gutjnl-2018-317706" TargetMode="External" /><Relationship Type="http://schemas.openxmlformats.org/officeDocument/2006/relationships/hyperlink" Id="rId103"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27" Target="https://doi.org/10.1158/1078-0432.CCR-20-2298" TargetMode="External" /><Relationship Type="http://schemas.openxmlformats.org/officeDocument/2006/relationships/hyperlink" Id="rId135" Target="https://doi.org/10.1186/1471-2105-11-367" TargetMode="External" /><Relationship Type="http://schemas.openxmlformats.org/officeDocument/2006/relationships/hyperlink" Id="rId133" Target="https://doi.org/10.1186/s12859-020-3427-8" TargetMode="External" /><Relationship Type="http://schemas.openxmlformats.org/officeDocument/2006/relationships/hyperlink" Id="rId96" Target="https://doi.org/10.1214/088342306000000682" TargetMode="External" /><Relationship Type="http://schemas.openxmlformats.org/officeDocument/2006/relationships/hyperlink" Id="rId94" Target="https://doi.org/10.1371/journal.pbio.0020108" TargetMode="External" /><Relationship Type="http://schemas.openxmlformats.org/officeDocument/2006/relationships/hyperlink" Id="rId108"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18"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39" Target="https://portal.gdc.cancer.gov/projects/CPTAC-3" TargetMode="External" /><Relationship Type="http://schemas.openxmlformats.org/officeDocument/2006/relationships/hyperlink" Id="rId137" Target="https://portal.gdc.cancer.gov/projects/TCGA-PAAD" TargetMode="External" /><Relationship Type="http://schemas.openxmlformats.org/officeDocument/2006/relationships/hyperlink" Id="rId114" Target="https://proceedings.neurips.cc/paper/2012/hash/05311655a15b75fab86956663e1819cd-Abstract.html" TargetMode="External" /><Relationship Type="http://schemas.openxmlformats.org/officeDocument/2006/relationships/hyperlink" Id="rId143" Target="https://www.ebi.ac.uk/biostudies/arrayexpress/studies/E-MTAB-6134" TargetMode="External" /><Relationship Type="http://schemas.openxmlformats.org/officeDocument/2006/relationships/hyperlink" Id="rId141" Target="https://www.ebi.ac.uk/biostudies/arrayexpress/studies/E-MTAB-6830" TargetMode="External" /><Relationship Type="http://schemas.openxmlformats.org/officeDocument/2006/relationships/hyperlink" Id="rId147" Target="https://www.ncbi.nlm.nih.gov/geo/query/acc.cgi?acc=GSE36924" TargetMode="External" /><Relationship Type="http://schemas.openxmlformats.org/officeDocument/2006/relationships/hyperlink" Id="rId145"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02/path.6011" TargetMode="External" /><Relationship Type="http://schemas.openxmlformats.org/officeDocument/2006/relationships/hyperlink" Id="rId110" Target="https://doi.org/10.1016/j.ccell.2017.07.007" TargetMode="External" /><Relationship Type="http://schemas.openxmlformats.org/officeDocument/2006/relationships/hyperlink" Id="rId112" Target="https://doi.org/10.1016/j.cell.2021.08.023" TargetMode="External" /><Relationship Type="http://schemas.openxmlformats.org/officeDocument/2006/relationships/hyperlink" Id="rId74" Target="https://doi.org/10.1016/j.xcrm.2026.102611" TargetMode="External" /><Relationship Type="http://schemas.openxmlformats.org/officeDocument/2006/relationships/hyperlink" Id="rId88"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100"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92"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8" Target="https://doi.org/10.1038/s42003-023-04461-6" TargetMode="External" /><Relationship Type="http://schemas.openxmlformats.org/officeDocument/2006/relationships/hyperlink" Id="rId90" Target="https://doi.org/10.1073/pnas.0308531101" TargetMode="External" /><Relationship Type="http://schemas.openxmlformats.org/officeDocument/2006/relationships/hyperlink" Id="rId120"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6" Target="https://doi.org/10.1093/narcan/zcac030" TargetMode="External" /><Relationship Type="http://schemas.openxmlformats.org/officeDocument/2006/relationships/hyperlink" Id="rId131" Target="https://doi.org/10.1097/SLA.0000000000006416" TargetMode="External" /><Relationship Type="http://schemas.openxmlformats.org/officeDocument/2006/relationships/hyperlink" Id="rId116" Target="https://doi.org/10.1109/JPROC.2015.2494218" TargetMode="External" /><Relationship Type="http://schemas.openxmlformats.org/officeDocument/2006/relationships/hyperlink" Id="rId122" Target="https://doi.org/10.1136/gutjnl-2018-317706" TargetMode="External" /><Relationship Type="http://schemas.openxmlformats.org/officeDocument/2006/relationships/hyperlink" Id="rId103"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27" Target="https://doi.org/10.1158/1078-0432.CCR-20-2298" TargetMode="External" /><Relationship Type="http://schemas.openxmlformats.org/officeDocument/2006/relationships/hyperlink" Id="rId135" Target="https://doi.org/10.1186/1471-2105-11-367" TargetMode="External" /><Relationship Type="http://schemas.openxmlformats.org/officeDocument/2006/relationships/hyperlink" Id="rId133" Target="https://doi.org/10.1186/s12859-020-3427-8" TargetMode="External" /><Relationship Type="http://schemas.openxmlformats.org/officeDocument/2006/relationships/hyperlink" Id="rId96" Target="https://doi.org/10.1214/088342306000000682" TargetMode="External" /><Relationship Type="http://schemas.openxmlformats.org/officeDocument/2006/relationships/hyperlink" Id="rId94" Target="https://doi.org/10.1371/journal.pbio.0020108" TargetMode="External" /><Relationship Type="http://schemas.openxmlformats.org/officeDocument/2006/relationships/hyperlink" Id="rId108"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18"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39" Target="https://portal.gdc.cancer.gov/projects/CPTAC-3" TargetMode="External" /><Relationship Type="http://schemas.openxmlformats.org/officeDocument/2006/relationships/hyperlink" Id="rId137" Target="https://portal.gdc.cancer.gov/projects/TCGA-PAAD" TargetMode="External" /><Relationship Type="http://schemas.openxmlformats.org/officeDocument/2006/relationships/hyperlink" Id="rId114" Target="https://proceedings.neurips.cc/paper/2012/hash/05311655a15b75fab86956663e1819cd-Abstract.html" TargetMode="External" /><Relationship Type="http://schemas.openxmlformats.org/officeDocument/2006/relationships/hyperlink" Id="rId143" Target="https://www.ebi.ac.uk/biostudies/arrayexpress/studies/E-MTAB-6134" TargetMode="External" /><Relationship Type="http://schemas.openxmlformats.org/officeDocument/2006/relationships/hyperlink" Id="rId141" Target="https://www.ebi.ac.uk/biostudies/arrayexpress/studies/E-MTAB-6830" TargetMode="External" /><Relationship Type="http://schemas.openxmlformats.org/officeDocument/2006/relationships/hyperlink" Id="rId147" Target="https://www.ncbi.nlm.nih.gov/geo/query/acc.cgi?acc=GSE36924" TargetMode="External" /><Relationship Type="http://schemas.openxmlformats.org/officeDocument/2006/relationships/hyperlink" Id="rId145"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2026-09-14T17:30:30Z</dcterms:created>
  <dcterms:modified xsi:type="dcterms:W3CDTF">2026-09-14T17:30:30Z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other microenvironmental biology. Expression-driven discovery can overlook prognostically relevant programs that contribute relatively little transcriptomic variation. We developed DeSurv, a survival-supervised matrix factorization that incorporates patient outcomes into gene-program discovery and freezes gene weights for new cohorts. In pooled TCGA and CPTAC cohorts, DeSurv recovered a three-program tumor–stroma architecture whose dominant survival-aligned program combined classical-tumor and restCAF-like stromal features. Applied without refitting to five external datasets, the frozen risk score remained prognostic before (HR per SD, 1.42; 95% CI, 1.26–1.59) and after PurIST and DeCAF adjustment. Unsupervised factorization matched on program number and tuning budget did not recover this program; a rank-optimized unsupervised control recovered comparable prognostic information across seven factors. In simulations with known underlying structure, DeSurv recovered prognostic genes more accurately when survival signal contributed little expression variation. Survival supervision therefore offers a route to prognostically relevant, interpretable programs.</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