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2.png" ContentType="image/png"/>
  <Override PartName="/word/media/rId57.png" ContentType="image/png"/>
  <Override PartName="/word/media/rId45.png" ContentType="image/png"/>
  <Override PartName="/word/media/rId3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factor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G</w:t>
      </w:r>
      <w:r>
        <w:t xml:space="preserve">\ell(W,\beta)</w:t>
      </w:r>
      <w:r>
        <w:t xml:space="preserve"> </w:t>
      </w:r>
      <w:r>
        <w:t xml:space="preserve">=</w:t>
      </w:r>
      <w:r>
        <w:t xml:space="preserve"> </w:t>
      </w:r>
      <w:r>
        <w:t xml:space="preserve">\frac{2}{n_{\mathrm{event}}}\nabla_W \ell(W,\beta)</w:t>
      </w:r>
      <w:r>
        <w:t xml:space="preserve"> </w:t>
      </w:r>
      <w:r>
        <w:t xml:space="preserve">]</w:t>
      </w:r>
      <w:r>
        <w:t xml:space="preserve"> </w:t>
      </w:r>
      <w:r>
        <w:t xml:space="preserve">denote the scaled log-partial-likelihood gradient, 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is the gradient of the Cox log-partial likelihood with respect to</w:t>
      </w:r>
      <w:r>
        <w:t xml:space="preserve"> </w:t>
      </w:r>
      <m:oMath>
        <m:r>
          <m:t>W</m:t>
        </m:r>
      </m:oMath>
      <w:r>
        <w:t xml:space="preserve">.</w:t>
      </w:r>
      <w:r>
        <w:t xml:space="preserve"> </w:t>
      </w:r>
      <m:oMath>
        <m:sSub>
          <m:e>
            <m:r>
              <m:t>G</m:t>
            </m:r>
          </m:e>
          <m:sub>
            <m:r>
              <m:rPr>
                <m:sty m:val="p"/>
              </m:rPr>
              <m:t>ℓ</m:t>
            </m:r>
          </m:sub>
        </m:sSub>
      </m:oMath>
      <w:r>
        <w:t xml:space="preserve"> </w:t>
      </w:r>
      <w:r>
        <w:t xml:space="preserve">is not the gradient of the penalized survival component</w:t>
      </w:r>
      <w:r>
        <w:t xml:space="preserve"> </w:t>
      </w:r>
      <m:oMath>
        <m:sSub>
          <m:e>
            <m:r>
              <m:rPr>
                <m:sty m:val="p"/>
                <m:scr m:val="script"/>
              </m:rPr>
              <m:t>L</m:t>
            </m:r>
          </m:e>
          <m:sub>
            <m:r>
              <m:rPr>
                <m:sty m:val="p"/>
              </m:rPr>
              <m:t>C</m:t>
            </m:r>
            <m:r>
              <m:rPr>
                <m:sty m:val="p"/>
              </m:rPr>
              <m:t>o</m:t>
            </m:r>
            <m:r>
              <m:rPr>
                <m:sty m:val="p"/>
              </m:rPr>
              <m:t>x</m:t>
            </m:r>
          </m:sub>
        </m:sSub>
      </m:oMath>
      <w:r>
        <w:t xml:space="preserve"> </w:t>
      </w:r>
      <w:r>
        <w:t xml:space="preserve">of Model details, whose penalty depends on</w:t>
      </w:r>
      <w:r>
        <w:t xml:space="preserve"> </w:t>
      </w:r>
      <m:oMath>
        <m:r>
          <m:t>W</m:t>
        </m:r>
      </m:oMath>
      <w:r>
        <w:t xml:space="preserve"> </w:t>
      </w:r>
      <w:r>
        <w:t xml:space="preserve">through</w:t>
      </w:r>
      <w:r>
        <w:t xml:space="preserve"> </w:t>
      </w:r>
      <m:oMath>
        <m:sSub>
          <m:e>
            <m:r>
              <m:t>D</m:t>
            </m:r>
          </m:e>
          <m:sub>
            <m:r>
              <m:t>Z</m:t>
            </m:r>
          </m:sub>
        </m:sSub>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r>
                        <m:t> </m:t>
                      </m:r>
                      <m:sSub>
                        <m:e>
                          <m:r>
                            <m:t>G</m:t>
                          </m:r>
                        </m:e>
                        <m:sub>
                          <m:r>
                            <m:rPr>
                              <m:sty m:val="p"/>
                            </m:rPr>
                            <m:t>ℓ</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b</m:t>
        </m:r>
      </m:oMath>
      <w:r>
        <w:t xml:space="preserve"> </w:t>
      </w:r>
      <w:r>
        <w:t xml:space="preserve">by cyclic coordinate descent following</w:t>
      </w:r>
      <w:hyperlink w:anchor="ref-simon2011regularization">
        <w:r>
          <w:rPr>
            <w:rStyle w:val="Hyperlink"/>
            <w:vertAlign w:val="superscript"/>
          </w:rPr>
          <w:t xml:space="preserve">3</w:t>
        </w:r>
      </w:hyperlink>
      <w:r>
        <w:t xml:space="preserve">. Let</w:t>
      </w:r>
      <w:r>
        <w:t xml:space="preserve"> </w:t>
      </w:r>
      <m:oMath>
        <m:sSub>
          <m:e>
            <m:acc>
              <m:accPr>
                <m:chr m:val="̃"/>
              </m:accPr>
              <m:e>
                <m:r>
                  <m:t>z</m:t>
                </m:r>
              </m:e>
            </m:acc>
          </m:e>
          <m:sub>
            <m:r>
              <m:t>i</m:t>
            </m:r>
          </m:sub>
        </m:sSub>
        <m:r>
          <m:rPr>
            <m:sty m:val="p"/>
          </m:rPr>
          <m:t>=</m:t>
        </m:r>
        <m:sSubSup>
          <m:e>
            <m:r>
              <m:t>D</m:t>
            </m:r>
          </m:e>
          <m:sub>
            <m:r>
              <m:t>Z</m:t>
            </m:r>
          </m:sub>
          <m:sup>
            <m:r>
              <m:rPr>
                <m:sty m:val="p"/>
              </m:rPr>
              <m:t>−</m:t>
            </m:r>
            <m:r>
              <m:t>1</m:t>
            </m:r>
          </m:sup>
        </m:sSubSup>
        <m:d>
          <m:dPr>
            <m:begChr m:val="("/>
            <m:endChr m:val=")"/>
            <m:sepChr m:val=""/>
            <m:grow/>
          </m:dPr>
          <m:e>
            <m:sSub>
              <m:e>
                <m:r>
                  <m:t>Z</m:t>
                </m:r>
              </m:e>
              <m:sub>
                <m:r>
                  <m:t>i</m:t>
                </m:r>
              </m:sub>
            </m:sSub>
            <m:r>
              <m:rPr>
                <m:sty m:val="p"/>
              </m:rPr>
              <m:t>−</m:t>
            </m:r>
            <m:acc>
              <m:accPr>
                <m:chr m:val="‾"/>
              </m:accPr>
              <m:e>
                <m:r>
                  <m:t>Z</m:t>
                </m:r>
              </m:e>
            </m:acc>
          </m:e>
        </m:d>
      </m:oMath>
      <w:r>
        <w:t xml:space="preserve"> </w:t>
      </w:r>
      <w:r>
        <w:t xml:space="preserve">denote</w:t>
      </w:r>
      <w:r>
        <w:t xml:space="preserve"> </w:t>
      </w:r>
      <w:r>
        <w:t xml:space="preserve">the centered and standardized score vector of sample</w:t>
      </w:r>
      <w:r>
        <w:t xml:space="preserve"> </w:t>
      </w:r>
      <m:oMath>
        <m:r>
          <m:t>i</m:t>
        </m:r>
      </m:oMath>
      <w:r>
        <w:t xml:space="preserve">, with</w:t>
      </w:r>
      <w:r>
        <w:t xml:space="preserve"> </w:t>
      </w:r>
      <m:oMath>
        <m:sSub>
          <m:e>
            <m:r>
              <m:t>Z</m:t>
            </m:r>
          </m:e>
          <m:sub>
            <m:r>
              <m:t>i</m:t>
            </m:r>
          </m:sub>
        </m:sSub>
      </m:oMath>
      <w:r>
        <w:t xml:space="preserve"> </w:t>
      </w:r>
      <w:r>
        <w:t xml:space="preserve">the</w:t>
      </w:r>
      <w:r>
        <w:t xml:space="preserve"> </w:t>
      </w:r>
      <m:oMath>
        <m:r>
          <m:t>i</m:t>
        </m:r>
      </m:oMath>
      <w:r>
        <w:t xml:space="preserve">th</w:t>
      </w:r>
      <w:r>
        <w:t xml:space="preserve"> </w:t>
      </w:r>
      <w:r>
        <w:t xml:space="preserve">column of the raw scores</w:t>
      </w:r>
      <w:r>
        <w:t xml:space="preserve"> </w:t>
      </w:r>
      <m:oMath>
        <m:r>
          <m:t>Z</m:t>
        </m:r>
      </m:oMath>
      <w:r>
        <w:t xml:space="preserve"> </w:t>
      </w:r>
      <w:r>
        <w:t xml:space="preserve">and</w:t>
      </w:r>
      <w:r>
        <w:t xml:space="preserve"> </w:t>
      </w:r>
      <m:oMath>
        <m:acc>
          <m:accPr>
            <m:chr m:val="‾"/>
          </m:accPr>
          <m:e>
            <m:r>
              <m:t>Z</m:t>
            </m:r>
          </m:e>
        </m:acc>
      </m:oMath>
      <w:r>
        <w:t xml:space="preserve"> </w:t>
      </w:r>
      <w:r>
        <w:t xml:space="preserve">the vector of row means, and write</w:t>
      </w:r>
      <w:r>
        <w:t xml:space="preserve"> </w:t>
      </w:r>
      <m:oMath>
        <m:sSub>
          <m:e>
            <m:acc>
              <m:accPr>
                <m:chr m:val="̃"/>
              </m:accPr>
              <m:e>
                <m:r>
                  <m:t>η</m:t>
                </m:r>
              </m:e>
            </m:acc>
          </m:e>
          <m:sub>
            <m:r>
              <m:t>i</m:t>
            </m:r>
          </m:sub>
        </m:sSub>
        <m:r>
          <m:rPr>
            <m:sty m:val="p"/>
          </m:rPr>
          <m:t>=</m:t>
        </m:r>
        <m:sSubSup>
          <m:e>
            <m:acc>
              <m:accPr>
                <m:chr m:val="̃"/>
              </m:accPr>
              <m:e>
                <m:r>
                  <m:t>z</m:t>
                </m:r>
              </m:e>
            </m:acc>
          </m:e>
          <m:sub>
            <m:r>
              <m:t>i</m:t>
            </m:r>
          </m:sub>
          <m:sup>
            <m:r>
              <m:rPr>
                <m:sty m:val="p"/>
              </m:rPr>
              <m:t>⊤</m:t>
            </m:r>
          </m:sup>
        </m:sSubSup>
        <m:r>
          <m:t>b</m:t>
        </m:r>
      </m:oMath>
      <w:r>
        <w:t xml:space="preserve">, which equals</w:t>
      </w:r>
      <w:r>
        <w:t xml:space="preserve"> </w:t>
      </w:r>
      <m:oMath>
        <m:sSubSup>
          <m:e>
            <m:r>
              <m:t>Z</m:t>
            </m:r>
          </m:e>
          <m:sub>
            <m:r>
              <m:t>i</m:t>
            </m:r>
          </m:sub>
          <m:sup>
            <m:r>
              <m:rPr>
                <m:sty m:val="p"/>
              </m:rPr>
              <m:t>⊤</m:t>
            </m:r>
          </m:sup>
        </m:sSubSup>
        <m:r>
          <m:t>β</m:t>
        </m:r>
      </m:oMath>
      <w:r>
        <w:t xml:space="preserve"> </w:t>
      </w:r>
      <w:r>
        <w:t xml:space="preserve">up to an</w:t>
      </w:r>
      <w:r>
        <w:t xml:space="preserve"> </w:t>
      </w:r>
      <w:r>
        <w:t xml:space="preserve">additive constant common to all samples.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b</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b</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 the</w:t>
      </w:r>
      <w:r>
        <w:t xml:space="preserve"> </w:t>
      </w:r>
      <m:oMath>
        <m:r>
          <m:t>r</m:t>
        </m:r>
      </m:oMath>
      <w:r>
        <w:t xml:space="preserve">th entry of</w:t>
      </w:r>
      <w:r>
        <w:t xml:space="preserve"> </w:t>
      </w:r>
      <m:oMath>
        <m:sSub>
          <m:e>
            <m:acc>
              <m:accPr>
                <m:chr m:val="̃"/>
              </m:accPr>
              <m:e>
                <m:r>
                  <m:t>z</m:t>
                </m:r>
              </m:e>
            </m:acc>
          </m:e>
          <m:sub>
            <m:r>
              <m:t>i</m:t>
            </m:r>
          </m:sub>
        </m:sSub>
      </m:oMath>
      <w:r>
        <w:t xml:space="preserve">. After the sweeps, the raw-score coefficients are</w:t>
      </w:r>
      <w:r>
        <w:t xml:space="preserve"> </w:t>
      </w:r>
      <w:r>
        <w:t xml:space="preserve">recovered as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the algorithm evaluates and records.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The acceptance safeguards prevent accepted</w:t>
      </w:r>
      <w:r>
        <w:t xml:space="preserve"> </w:t>
      </w:r>
      <m:oMath>
        <m:r>
          <m:t>W</m:t>
        </m:r>
      </m:oMath>
      <w:r>
        <w:t xml:space="preserve"> </w:t>
      </w:r>
      <w:r>
        <w:t xml:space="preserve">and</w:t>
      </w:r>
      <w:r>
        <w:t xml:space="preserve"> </w:t>
      </w:r>
      <m:oMath>
        <m:r>
          <m:t>β</m:t>
        </m:r>
      </m:oMath>
      <w:r>
        <w:t xml:space="preserve"> </w:t>
      </w:r>
      <w:r>
        <w:t xml:space="preserve">updates from</w:t>
      </w:r>
      <w:r>
        <w:t xml:space="preserve"> </w:t>
      </w:r>
      <w:r>
        <w:t xml:space="preserve">increasing the evaluated objective; they do not establish convergence to an</w:t>
      </w:r>
      <w:r>
        <w:t xml:space="preserve"> </w:t>
      </w:r>
      <w:r>
        <w:t xml:space="preserve">optimum. The reported fits are exactly those produced by 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The update for</w:t>
      </w:r>
      <w:r>
        <w:t xml:space="preserve"> </w:t>
      </w:r>
      <m:oMath>
        <m:r>
          <m:t>W</m:t>
        </m:r>
      </m:oMath>
      <w:r>
        <w:t xml:space="preserve"> </w:t>
      </w:r>
      <w:r>
        <w:t xml:space="preserve">combines the weighted reconstruction gradient with the scaled log-partial-likelihood gradient</w:t>
      </w:r>
      <w:r>
        <w:t xml:space="preserve"> </w:t>
      </w:r>
      <m:oMath>
        <m:sSub>
          <m:e>
            <m:r>
              <m:t>G</m:t>
            </m:r>
          </m:e>
          <m:sub>
            <m:r>
              <m:rPr>
                <m:sty m:val="p"/>
              </m:rPr>
              <m:t>ℓ</m:t>
            </m:r>
          </m:sub>
        </m:sSub>
      </m:oMath>
      <w:r>
        <w:t xml:space="preserve"> </w:t>
      </w:r>
      <w:r>
        <w:t xml:space="preserve">through the rescaled multiplicative construction of Equations [eq:supp-zeta] to [eqn:W_update], so the gene-program definitions are shaped directly by their association with survival. That construction is a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We therefore ran a sensitivity check on rank</w:t>
      </w:r>
      <w:r>
        <w:t xml:space="preserve"> </w:t>
      </w:r>
      <w:r>
        <w:t xml:space="preserve">selection using the same training data and the selected non-rank</w:t>
      </w:r>
      <w:r>
        <w:t xml:space="preserve"> </w:t>
      </w:r>
      <w:r>
        <w:t xml:space="preserve">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factor-specificity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factor</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Lee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2"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m:t>
        </m:r>
        <m:r>
          <m:rPr>
            <m:sty m:val="p"/>
          </m:rPr>
          <m:t>,</m:t>
        </m:r>
        <m:r>
          <m:t>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2"/>
    <w:bookmarkStart w:id="53"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3"/>
    <w:bookmarkStart w:id="54"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4"/>
    <w:bookmarkStart w:id="55"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5"/>
    <w:bookmarkStart w:id="56"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6"/>
    <w:bookmarkStart w:id="60"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(see Methods).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8" name="Picture"/>
            <a:graphic>
              <a:graphicData uri="http://schemas.openxmlformats.org/drawingml/2006/picture">
                <pic:pic>
                  <pic:nvPicPr>
                    <pic:cNvPr descr=".docx_media/figures_fig_sim_null_mixed_1.png" id="59" name="Picture"/>
                    <pic:cNvPicPr>
                      <a:picLocks noChangeArrowheads="1" noChangeAspect="1"/>
                    </pic:cNvPicPr>
                  </pic:nvPicPr>
                  <pic:blipFill>
                    <a:blip r:embed="rId57"/>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0"/>
    <w:bookmarkStart w:id="64"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2" name="Picture"/>
            <a:graphic>
              <a:graphicData uri="http://schemas.openxmlformats.org/drawingml/2006/picture">
                <pic:pic>
                  <pic:nvPicPr>
                    <pic:cNvPr descr=".docx_media/figures_fig_cindex_by_k_1.png" id="63" name="Picture"/>
                    <pic:cNvPicPr>
                      <a:picLocks noChangeArrowheads="1" noChangeAspect="1"/>
                    </pic:cNvPicPr>
                  </pic:nvPicPr>
                  <pic:blipFill>
                    <a:blip r:embed="rId61"/>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4"/>
    <w:bookmarkStart w:id="68"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6" name="Picture"/>
            <a:graphic>
              <a:graphicData uri="http://schemas.openxmlformats.org/drawingml/2006/picture">
                <pic:pic>
                  <pic:nvPicPr>
                    <pic:cNvPr descr=".docx_media/figures_fig_nmf_diagnostics_1.png" id="67" name="Picture"/>
                    <pic:cNvPicPr>
                      <a:picLocks noChangeArrowheads="1" noChangeAspect="1"/>
                    </pic:cNvPicPr>
                  </pic:nvPicPr>
                  <pic:blipFill>
                    <a:blip r:embed="rId65"/>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8"/>
    <w:bookmarkStart w:id="78"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0" name="Picture"/>
            <a:graphic>
              <a:graphicData uri="http://schemas.openxmlformats.org/drawingml/2006/picture">
                <pic:pic>
                  <pic:nvPicPr>
                    <pic:cNvPr descr="figures/fig-nmf-k7-heatmap-1.png" id="71" name="Picture"/>
                    <pic:cNvPicPr>
                      <a:picLocks noChangeArrowheads="1" noChangeAspect="1"/>
                    </pic:cNvPicPr>
                  </pic:nvPicPr>
                  <pic:blipFill>
                    <a:blip r:embed="rId69"/>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5"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3" name="Picture"/>
            <a:graphic>
              <a:graphicData uri="http://schemas.openxmlformats.org/drawingml/2006/picture">
                <pic:pic>
                  <pic:nvPicPr>
                    <pic:cNvPr descr=".docx_media/figures_fig_reference_program_multiplicity.png" id="74" name="Picture"/>
                    <pic:cNvPicPr>
                      <a:picLocks noChangeArrowheads="1" noChangeAspect="1"/>
                    </pic:cNvPicPr>
                  </pic:nvPicPr>
                  <pic:blipFill>
                    <a:blip r:embed="rId72"/>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5"/>
    <w:bookmarkStart w:id="76"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6"/>
    <w:bookmarkStart w:id="77"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7"/>
    <w:bookmarkEnd w:id="78"/>
    <w:bookmarkStart w:id="79"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9"/>
    <w:bookmarkStart w:id="83"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0"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0"/>
    <w:bookmarkStart w:id="81"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1"/>
    <w:bookmarkStart w:id="82"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2"/>
    <w:bookmarkEnd w:id="83"/>
    <w:bookmarkStart w:id="136" w:name="bibliography"/>
    <w:p>
      <w:pPr>
        <w:pStyle w:val="Heading1"/>
      </w:pPr>
      <w:r>
        <w:t xml:space="preserve">SI References</w:t>
      </w:r>
    </w:p>
    <w:bookmarkStart w:id="135" w:name="refs"/>
    <w:bookmarkStart w:id="84"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4"/>
    <w:bookmarkStart w:id="86"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5">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6"/>
    <w:bookmarkStart w:id="88" w:name="ref-simon2011regularization"/>
    <w:p>
      <w:pPr>
        <w:pStyle w:val="Bibliography"/>
      </w:pPr>
      <w:r>
        <w:t xml:space="preserve">3.</w:t>
      </w:r>
      <w:r>
        <w:t xml:space="preserve"> </w:t>
      </w:r>
      <w:r>
        <w:t xml:space="preserve">	</w:t>
      </w:r>
      <w:r>
        <w:t xml:space="preserve">Simon, N., Friedman, J. H., Hastie, T. &amp; Tibshirani, R.</w:t>
      </w:r>
      <w:r>
        <w:t xml:space="preserve"> </w:t>
      </w:r>
      <w:hyperlink r:id="rId8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8"/>
    <w:bookmarkStart w:id="89"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9"/>
    <w:bookmarkStart w:id="91"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0">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1"/>
    <w:bookmarkStart w:id="92"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2"/>
    <w:bookmarkStart w:id="94" w:name="ref-brunet2004metagenes"/>
    <w:p>
      <w:pPr>
        <w:pStyle w:val="Bibliography"/>
      </w:pPr>
      <w:r>
        <w:t xml:space="preserve">7.</w:t>
      </w:r>
      <w:r>
        <w:t xml:space="preserve"> </w:t>
      </w:r>
      <w:r>
        <w:t xml:space="preserve">	</w:t>
      </w:r>
      <w:r>
        <w:t xml:space="preserve">Brunet, J.-P., Tamayo, P., Golub, T. R. &amp; Mesirov, J. P.</w:t>
      </w:r>
      <w:r>
        <w:t xml:space="preserve"> </w:t>
      </w:r>
      <w:hyperlink r:id="rId9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4"/>
    <w:bookmarkStart w:id="96"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5">
        <w:r>
          <w:rPr>
            <w:rStyle w:val="Hyperlink"/>
          </w:rPr>
          <w:t xml:space="preserve">https://faculty.cc.gatech.edu/~hpark/papers/GT-CSE-08-01.pdf</w:t>
        </w:r>
      </w:hyperlink>
      <w:r>
        <w:t xml:space="preserve"> </w:t>
      </w:r>
      <w:r>
        <w:t xml:space="preserve">(2008).</w:t>
      </w:r>
    </w:p>
    <w:bookmarkEnd w:id="96"/>
    <w:bookmarkStart w:id="98" w:name="ref-gillis2012accelerated"/>
    <w:p>
      <w:pPr>
        <w:pStyle w:val="Bibliography"/>
      </w:pPr>
      <w:r>
        <w:t xml:space="preserve">9.</w:t>
      </w:r>
      <w:r>
        <w:t xml:space="preserve"> </w:t>
      </w:r>
      <w:r>
        <w:t xml:space="preserve">	</w:t>
      </w:r>
      <w:r>
        <w:t xml:space="preserve">Gillis, N. &amp; Glineur, F.</w:t>
      </w:r>
      <w:r>
        <w:t xml:space="preserve"> </w:t>
      </w:r>
      <w:hyperlink r:id="rId97">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8"/>
    <w:bookmarkStart w:id="99"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9"/>
    <w:bookmarkStart w:id="101"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10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1"/>
    <w:bookmarkStart w:id="103"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3"/>
    <w:bookmarkStart w:id="105"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4">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5"/>
    <w:bookmarkStart w:id="107"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6">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7"/>
    <w:bookmarkStart w:id="109"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8">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9"/>
    <w:bookmarkStart w:id="111"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10">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1"/>
    <w:bookmarkStart w:id="113"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3"/>
    <w:bookmarkStart w:id="115"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5"/>
    <w:bookmarkStart w:id="117" w:name="ref-peng2019novo"/>
    <w:p>
      <w:pPr>
        <w:pStyle w:val="Bibliography"/>
      </w:pPr>
      <w:r>
        <w:t xml:space="preserve">19.</w:t>
      </w:r>
      <w:r>
        <w:t xml:space="preserve"> </w:t>
      </w:r>
      <w:r>
        <w:t xml:space="preserve">	</w:t>
      </w:r>
      <w:r>
        <w:t xml:space="preserve">Peng, X. L., Moffitt, R. A., Torphy, R. J., Volmar, K. E. &amp; Yeh, J. J.</w:t>
      </w:r>
      <w:r>
        <w:t xml:space="preserve"> </w:t>
      </w:r>
      <w:hyperlink r:id="rId116">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7"/>
    <w:bookmarkStart w:id="119"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9"/>
    <w:bookmarkStart w:id="121"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20">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1"/>
    <w:bookmarkStart w:id="123"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5"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4">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5"/>
    <w:bookmarkStart w:id="127"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6">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7"/>
    <w:bookmarkStart w:id="128"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8"/>
    <w:bookmarkStart w:id="130" w:name="ref-uno2011cstatistics"/>
    <w:p>
      <w:pPr>
        <w:pStyle w:val="Bibliography"/>
      </w:pPr>
      <w:r>
        <w:t xml:space="preserve">26.</w:t>
      </w:r>
      <w:r>
        <w:t xml:space="preserve"> </w:t>
      </w:r>
      <w:r>
        <w:t xml:space="preserve">	</w:t>
      </w:r>
      <w:r>
        <w:t xml:space="preserve">Uno, H., Cai, T., Pencina, M. J., D’Agostino, R. B. &amp; Wei, L. J.</w:t>
      </w:r>
      <w:r>
        <w:t xml:space="preserve"> </w:t>
      </w:r>
      <w:hyperlink r:id="rId129">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0"/>
    <w:bookmarkStart w:id="132" w:name="ref-antolini2005timedependent"/>
    <w:p>
      <w:pPr>
        <w:pStyle w:val="Bibliography"/>
      </w:pPr>
      <w:r>
        <w:t xml:space="preserve">27.</w:t>
      </w:r>
      <w:r>
        <w:t xml:space="preserve"> </w:t>
      </w:r>
      <w:r>
        <w:t xml:space="preserve">	</w:t>
      </w:r>
      <w:r>
        <w:t xml:space="preserve">Antolini, L., Boracchi, P. &amp; Biganzoli, E.</w:t>
      </w:r>
      <w:r>
        <w:t xml:space="preserve"> </w:t>
      </w:r>
      <w:hyperlink r:id="rId131">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2"/>
    <w:bookmarkStart w:id="134" w:name="ref-blanche2019cindex"/>
    <w:p>
      <w:pPr>
        <w:pStyle w:val="Bibliography"/>
      </w:pPr>
      <w:r>
        <w:t xml:space="preserve">28.</w:t>
      </w:r>
      <w:r>
        <w:t xml:space="preserve"> </w:t>
      </w:r>
      <w:r>
        <w:t xml:space="preserve">	</w:t>
      </w:r>
      <w:r>
        <w:t xml:space="preserve">Blanche, P., Kattan, M. W. &amp; Gerds, T. A.</w:t>
      </w:r>
      <w:r>
        <w:t xml:space="preserve"> </w:t>
      </w:r>
      <w:hyperlink r:id="rId133">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2026-09-14T17:30:30Z</dcterms:created>
  <dcterms:modified xsi:type="dcterms:W3CDTF">2026-09-14T17:30:30Z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