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patient</w:t>
      </w:r>
      <w:r>
        <w:t xml:space="preserve"> </w:t>
      </w:r>
      <w:r>
        <w:t xml:space="preserve">outcomes.</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are</w:t>
      </w:r>
      <w:r>
        <w:t xml:space="preserve"> </w:t>
      </w:r>
      <w:r>
        <w:t xml:space="preserve">therefore</w:t>
      </w:r>
      <w:r>
        <w:t xml:space="preserve"> </w:t>
      </w:r>
      <w:r>
        <w:t xml:space="preserve">not</w:t>
      </w:r>
      <w:r>
        <w:t xml:space="preserve"> </w:t>
      </w:r>
      <w:r>
        <w:t xml:space="preserve">necessarily</w:t>
      </w:r>
      <w:r>
        <w:t xml:space="preserve"> </w:t>
      </w:r>
      <w:r>
        <w:t xml:space="preserve">the</w:t>
      </w:r>
      <w:r>
        <w:t xml:space="preserve"> </w:t>
      </w:r>
      <w:r>
        <w:t xml:space="preserve">ones</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the</w:t>
      </w:r>
      <w:r>
        <w:t xml:space="preserve"> </w:t>
      </w:r>
      <w:r>
        <w:t xml:space="preserve">gene</w:t>
      </w:r>
      <w:r>
        <w:t xml:space="preserve"> </w:t>
      </w:r>
      <w:r>
        <w:t xml:space="preserve">weights</w:t>
      </w:r>
      <w:r>
        <w:t xml:space="preserve"> </w:t>
      </w:r>
      <w:r>
        <w:t xml:space="preserve">for</w:t>
      </w:r>
      <w:r>
        <w:t xml:space="preserve"> </w:t>
      </w:r>
      <w:r>
        <w:t xml:space="preserve">scoring</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representation</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including</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implicating</w:t>
      </w:r>
      <w:r>
        <w:t xml:space="preserve"> </w:t>
      </w:r>
      <w:r>
        <w:t xml:space="preserve">survival</w:t>
      </w:r>
      <w:r>
        <w:t xml:space="preserve"> </w:t>
      </w:r>
      <w:r>
        <w:t xml:space="preserve">supervision</w:t>
      </w:r>
      <w:r>
        <w:t xml:space="preserve"> </w:t>
      </w:r>
      <w:r>
        <w:t xml:space="preserve">rather</w:t>
      </w:r>
      <w:r>
        <w:t xml:space="preserve"> </w:t>
      </w:r>
      <w:r>
        <w:t xml:space="preserve">than</w:t>
      </w:r>
      <w:r>
        <w:t xml:space="preserve"> </w:t>
      </w:r>
      <w:r>
        <w:t xml:space="preserve">model</w:t>
      </w:r>
      <w:r>
        <w:t xml:space="preserve"> </w:t>
      </w:r>
      <w:r>
        <w:t xml:space="preserve">size</w:t>
      </w:r>
      <w:r>
        <w:t xml:space="preserve"> </w:t>
      </w:r>
      <w:r>
        <w:t xml:space="preserve">or</w:t>
      </w:r>
      <w:r>
        <w:t xml:space="preserve"> </w:t>
      </w:r>
      <w:r>
        <w:t xml:space="preserve">tuning</w:t>
      </w:r>
      <w:r>
        <w:t xml:space="preserve"> </w:t>
      </w:r>
      <w:r>
        <w:t xml:space="preserve">effort.</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It remains unclear whether a survival-aligned tumor–stroma direction provides prognostic information beyond existing subtype classifications. Such programs are typically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without resolving them into biologically interpretable tumor and microenvironmental programs.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factorization at matched and higher rank (the number of programs the factorization extracts) and with conventional survival-supervised models (Supplementary Table [tab:architecture]). These comparisons distinguish the contribution of survival supervision from effects of model complexity and tuning. We then test the frozen programs across independent cohorts, determine whether the dominant survival-aligned direction is shared by other supervised approaches, and ask whether it retains prognostic information beyond established PDAC classifiers. Simulations in which the true underlying (latent) programs are known characterize when survival supervision improves recovery of prognostic structure.</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allowing outcome information to influence which programs are recovered rather than only selecting among programs after unsupervised factorization. After training, the gene weights are fixed so that the same learned programs can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the ranks examined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configuration (Fig. [fig:schema]b). In contrast, standard unsupervised NMF rank criteria based on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w:t>
      </w:r>
      <w:r>
        <w:t xml:space="preserve">gave conflicting rank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Lee multiplicative NMF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The classical component of D1 was independently supported in the COMPASS trial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D1 program. Both methods recovered the activated-stroma and proCAF-like reference programs. They differed at the restraining end: among the displayed top-ranked genes, the restCAF and iCAF reference programs corresponded to a DeSurv program but to no standard NMF factor (Fig. [fig:pdac]a,b).</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programs. Yet omitting D1 lowered the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the fitted survival contribution. Because D1 was estimated using these outcomes, these quantities show where the fitted model placed the survival signal rather than providing an independent test of that signal. In the unsupervised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analyzed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nevertheless reconstructed the analysis matrix only modestly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did not appear to explain this difference. We repeated the comparison with the matched-budget unsupervised control, an unsupervised model matched to DeSurv on rank, optimizer, tuning budget and consensus initialization. It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47157b7743b00cf5e9787dc0874e97056659c37"/>
    <w:p>
      <w:pPr>
        <w:pStyle w:val="Heading2"/>
      </w:pPr>
      <w:r>
        <w:t xml:space="preserve">Frozen programs retain prognostic relevance across independent PDAC cohorts and transport to treated disease</w:t>
      </w:r>
    </w:p>
    <w:p>
      <w:pPr>
        <w:pStyle w:val="FirstParagraph"/>
      </w:pPr>
      <w:r>
        <w:t xml:space="preserve">We next projected the frozen programs into five external validation datasets from four independent, non-metastatic, treatment-naive PDAC cohorts (Dijk, Moffitt, PACA-AU [array and RNA-seq], and Puleo;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yielding</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associated with survival in the combined cohort-stratified analysis (HR per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but was not associated with survival either individually or in the combined analysis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showed greater variation across datasets (Fig. [fig:val]a). None of the three standard NMF factors at the same rank was associated with survival in the combined analysis (HRs 0.94–1.00; Fig. [fig:val]a, right).</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cohort-stratified analysis (pooled HR per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Scaled Schoenfeld residuals indicated attenuation of this association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should be interpreted as a time-averaged summary rather than a constant multiplicative effect. Leave-one-dataset-out estimates were similar (HRs 1.34–1.45;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Event-weighted discrimination across cohorts was moderate (C-index</w:t>
      </w:r>
      <w:r>
        <w:t xml:space="preserve"> </w:t>
      </w:r>
      <m:oMath>
        <m:r>
          <m:t>0.61</m:t>
        </m:r>
      </m:oMath>
      <w:r>
        <w:t xml:space="preserve">, 95% CI</w:t>
      </w:r>
      <w:r>
        <w:t xml:space="preserve"> </w:t>
      </w:r>
      <m:oMath>
        <m:r>
          <m:t>0.58</m:t>
        </m:r>
      </m:oMath>
      <w:r>
        <w:t xml:space="preserve">–</w:t>
      </w:r>
      <m:oMath>
        <m:r>
          <m:t>0.65</m:t>
        </m:r>
      </m:oMath>
      <w:r>
        <w:t xml:space="preserve">). In a sensitivity analysis with in-sample recalibration of the frozen score within each cohort (apparent rather than out-of-sample prediction error), the integrated Brier score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t xml:space="preserve">We next asked whether comparable prognostic information could be recovered without survival-supervised factorization. At DeSurv’s rank, the matched-budget unsupervised control was not associated with survival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also represented a broader set of established PDAC programs.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Higher rank therefore broadened biological representation rather than repeatedly mapping additional factors to the same programs. Survival supervision was not required to recover prognostic signal, but DeSurv represented comparable prognostic information with three rather than seven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its Bayesian-optimization-selected rank (</w:t>
      </w:r>
      <m:oMath>
        <m:r>
          <m:t>k</m:t>
        </m:r>
        <m:r>
          <m:rPr>
            <m:sty m:val="p"/>
          </m:rPr>
          <m:t>=</m:t>
        </m:r>
        <m:r>
          <m:t>7</m:t>
        </m:r>
      </m:oMath>
      <w:r>
        <w:rPr>
          <w:iCs/>
          <w:i/>
        </w:rPr>
        <w:t xml:space="preserve">); both use the same unsupervised</w:t>
      </w:r>
      <w:r>
        <w:rPr>
          <w:iCs/>
          <w:i/>
        </w:rPr>
        <w:t xml:space="preserve"> </w:t>
      </w:r>
      <m:oMath>
        <m:r>
          <m:t>α</m:t>
        </m:r>
        <m:r>
          <m:rPr>
            <m:sty m:val="p"/>
          </m:rPr>
          <m:t>=</m:t>
        </m:r>
        <m:r>
          <m:t>0</m:t>
        </m:r>
      </m:oMath>
      <w:r>
        <w:rPr>
          <w:iCs/>
          <w:i/>
        </w:rPr>
        <w:t xml:space="preserve"> </w:t>
      </w:r>
      <w:r>
        <w:rPr>
          <w:iCs/>
          <w:i/>
        </w:rPr>
        <w:t xml:space="preserve">pipeline, consensus initialization and tuning budget as DeSurv (Supplementary Table [tab:tab-cindex-comparison]).</w:t>
      </w:r>
    </w:p>
    <w:p>
      <w:pPr>
        <w:pStyle w:val="BodyText"/>
      </w:pPr>
      <w:r>
        <w:t xml:space="preserve">To test transport beyond untreated disease, we projected the frozen programs without retraining into two treated PDAC cohorts. In the O’Kane/COMPASS cohort of metastatic disease,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56c124c528b5c9226025f2c58a5eb108e1d2148"/>
    <w:p>
      <w:pPr>
        <w:pStyle w:val="Heading2"/>
      </w:pPr>
      <w:r>
        <w:t xml:space="preserve">The D1 direction is shared across supervised methods and retains prognostic information beyond established PDAC classifiers</w:t>
      </w:r>
    </w:p>
    <w:p>
      <w:pPr>
        <w:pStyle w:val="FirstParagraph"/>
      </w:pPr>
      <w:r>
        <w:t xml:space="preserve">We first asked whether D1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and DeCAF alone explained 19%. D1 nevertheless remained associated with survival after simultaneous adjustment for both classifiers (HR per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containing additive PurIST and DeCAF terms improved model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These findings support overlap with established tumor-intrinsic and stromal classifications while showing that D1 retains prognostic information beyond those binary classifiers.</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These analyses do not establish the cellular identity of the restCAF-like component of D1, which cannot be resolved from bulk expression alone (Supplementary Information, Stromal resolution: which reference programs are recovered from bulk). In Puleo, the largest validation cohort, the DeSurv linear predictor also remained prognostic after adjustment for standard clinical covariates (HR per SD 1.33, 95% CI</w:t>
      </w:r>
      <w:r>
        <w:t xml:space="preserve"> </w:t>
      </w:r>
      <m:oMath>
        <m:r>
          <m:t>1.14</m:t>
        </m:r>
      </m:oMath>
      <w:r>
        <w:t xml:space="preserve">–</w:t>
      </w:r>
      <m:oMath>
        <m:r>
          <m:t>1.55</m:t>
        </m:r>
      </m:oMath>
      <w:r>
        <w:t xml:space="preserve">; Supplementary Table [tab:clinical-adjustment]).</w:t>
      </w:r>
    </w:p>
    <w:p>
      <w:pPr>
        <w:pStyle w:val="BodyText"/>
      </w:pPr>
      <w:r>
        <w:t xml:space="preserve">We next asked whether D1 was specific to the DeSurv optimizer. When fit as single-component models, three independent survival-supervised approaches (supervised principal components, Cox partial least squares and sparse Cox) produced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D1 therefore represents a survival-associated expression direction recovered across supervised approaches rather than an idiosyncrasy of DeSurv.</w:t>
      </w:r>
    </w:p>
    <w:p>
      <w:pPr>
        <w:pStyle w:val="BodyText"/>
      </w:pPr>
      <w:r>
        <w:t xml:space="preserve">We then asked what DeSurv adds beyond recovery of this shared prognostic direction. Independently tuned supervised principal components and penalized Cox achieved pooled external concordance comparable to DeSurv (C-index</w:t>
      </w:r>
      <w:r>
        <w:t xml:space="preserve"> </w:t>
      </w:r>
      <m:oMath>
        <m:r>
          <m:t>0.60</m:t>
        </m:r>
      </m:oMath>
      <w:r>
        <w:t xml:space="preserve"> </w:t>
      </w:r>
      <w:r>
        <w:t xml:space="preserve">and</w:t>
      </w:r>
      <w:r>
        <w:t xml:space="preserve"> </w:t>
      </w:r>
      <m:oMath>
        <m:r>
          <m:t>0.60</m:t>
        </m:r>
      </m:oMath>
      <w:r>
        <w:t xml:space="preserve"> </w:t>
      </w:r>
      <w:r>
        <w:t xml:space="preserve">versus</w:t>
      </w:r>
      <w:r>
        <w:t xml:space="preserve"> </w:t>
      </w:r>
      <m:oMath>
        <m:r>
          <m:t>0.61</m:t>
        </m:r>
      </m:oMath>
      <w:r>
        <w:t xml:space="preserve">) and captured the dominant D1-associated direction. Their selected genes, however, were enriched for basal-like tumor programs but not proCAF, restCAF, immune or exocrine programs, and their risk scores correlated only weakly with the separately resolved proCAF-like D2 program (penalized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Supplementary Information). Discrimination was therefore comparable; DeSurv’s distinction is that it places the shared prognostic direction within a fixed set of separately measurable tumor and stromal programs that can be applied unchanged to new cohorts.</w:t>
      </w:r>
    </w:p>
    <w:bookmarkEnd w:id="35"/>
    <w:bookmarkStart w:id="39" w:name="X9fbe0060a9b97df940ff96ad6b82ef7b6fd6bbb"/>
    <w:p>
      <w:pPr>
        <w:pStyle w:val="Heading2"/>
      </w:pPr>
      <w:r>
        <w:t xml:space="preserve">DeSurv recovers prognostic gene programs when survival signal is not variance-dominant</w:t>
      </w:r>
    </w:p>
    <w:p>
      <w:pPr>
        <w:pStyle w:val="FirstParagraph"/>
      </w:pPr>
      <w:r>
        <w:t xml:space="preserve">We used simulations with known latent structure to determine when survival supervision improves program recovery. In the primary scenario, the factor-specific genes driving survival contributed less transcriptomic variation than a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the three latent factors were otherwise exchangeable. DeSurv and its unsupervised limit (</w:t>
      </w:r>
      <m:oMath>
        <m:r>
          <m:t>α</m:t>
        </m:r>
        <m:r>
          <m:rPr>
            <m:sty m:val="p"/>
          </m:rPr>
          <m:t>=</m:t>
        </m:r>
        <m:r>
          <m:t>0</m:t>
        </m:r>
      </m:oMath>
      <w:r>
        <w:t xml:space="preserve">) were tuned using the same cross-validation procedure, providing a controlled comparison of factorization with and without survival supervision.</w:t>
      </w:r>
    </w:p>
    <w:p>
      <w:pPr>
        <w:pStyle w:val="BodyText"/>
      </w:pPr>
      <w:r>
        <w:t xml:space="preserve">Under this setting, DeSurv more accurately recovered the genes defining the true prognostic program, whereas unsupervised NMF was more strongly influenced by the variance-dominant background structure (Fig. [fig:sim]a,b). Across 100 replicates, median matched-factor precision for the true prognostic gene set was 0.50 for DeSurv versus 0.07 for unsupervised NMF (Methods).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This advantage depended on how strongly prognostic signal aligned with variance-dominant expression structure. It attenuated when the two partially overlapped and disappeared under the null, where neither method identified prognostic signal (Supplementary Fig. [fig:fig-sim-null-mixed]). In the mixed setting, the advantage was greatest for recovery of the factor-specific marker genes rather than the shared background genes that also carried survival signal,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survival signal is not variance-dominant.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applied unchanged to new cohorts. In PDAC, this identified a dominant survival-aligned program, D1, characterized by coordinated cross-patient variation in classical tumor and restCAF-like stromal features, alongside separately resolved proCAF-like stromal and basal-like tumor programs. D1 was recovered without subtype labels, remained prognostic after adjustment for the established PurIST and DeCAF classifications, so it is not reducible to them, and was supported on its classical tumor side by GATA6 RNA in situ hybridization. The frozen programs then transferred without refitting across four independent external patient cohorts. DeSurv’s contribution is to place a reproducible prognostic direction within a decomposed tumor–stroma architecture whose components can be examined separately. The advance is in how clinically relevant programs are discovered, not in how well they predict.</w:t>
      </w:r>
    </w:p>
    <w:p>
      <w:pPr>
        <w:pStyle w:val="BodyText"/>
      </w:pPr>
      <w:r>
        <w:t xml:space="preserve">The representational difference was evident at matched complexity and tuning effort. An unsupervised control given DeSurv’s rank, optimizer, tuning budget and consensus initialization did not recover D1. Higher-rank unsupervised factorization recovered comparable prognostic information across a broader seven-factor representation, while conventional supervised predictors recovered the dominant prognostic direction without separately resolving the stromal programs. These comparisons distinguish prognostic information from the representation in which that information is recovered. Survival supervision was not required to obtain a prognostic signal, but it altered which programs were identified and how that signal was decomposed.</w:t>
      </w:r>
    </w:p>
    <w:p>
      <w:pPr>
        <w:pStyle w:val="BodyText"/>
      </w:pPr>
      <w:r>
        <w:t xml:space="preserve">This distinction also clarifies the role of the fixed gene-program basis. In conventional unsupervised discovery, clinical relevance is established only after programs have been learned, through factor selection, biological annotation and cross-study matching.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fixed, so external validation tests the same programs rather than a newly estimated representation. Empirically, supervision reorganized rather than replaced the reconstruction-driven structure. D2 and D3 corresponded closely to the major stromal and tumor factors recovered by NMF, whereas D1 was poorly reconstructable from the matched-rank NMF factors.</w:t>
      </w:r>
    </w:p>
    <w:p>
      <w:pPr>
        <w:pStyle w:val="BodyText"/>
      </w:pPr>
      <w:r>
        <w:t xml:space="preserve">This differs from related supervised factorization approaches in where survival information enters the model. CoxNMF and SurvNMF</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place the survival term on the sample-side latent representation, so scoring a new cohort depends on obtaining sample-side loadings (Methods; Supplementary Table [tab:architecture]). DeSurv instead places supervision on the gene-program matrix and scores new tumors by projection onto a fixed basis.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similarly learn sample representations rather than a fixed gene-program basis. The distinction is therefore not simply whether survival supervision is used, but whether the supervised object itself can be transported unchanged.</w:t>
      </w:r>
    </w:p>
    <w:p>
      <w:pPr>
        <w:pStyle w:val="BodyText"/>
      </w:pPr>
      <w:r>
        <w:t xml:space="preserve">Biologically, D1 is the dominant survival-aligned direction within the broader tumor–stroma architecture rather than the architecture itself. It captures coordinated cross-patient variation in classical tumor and restCAF-like stromal features. D2 and D3 provide separately measurable stromal and tumor context around that direction and do not necessarily represent independent components of the fitted risk score. This organization is consistent with broader evidence that malignant lineage state and stromal composition vary together in PDAC</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remains an important source of uncertainty in factorization. Standard NMF criteria gave conflicting rank choices in the PDAC training data, and increasing rank progressively broadened correspondence to established PDAC programs, which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the non-uniqueness of matrix factorization, and individual DeSurv runs from different random starts recover appreciably different gene sets. Reproducibility of the reported decomposition instead comes from the consensus procedure, and independently seeded applications of the full procedure closely reproduced the final programs (Supplementary Information, Stability of the recovered gene programs). Survival supervision therefore provides an outcome-informed criterion for shaping the representation, while consensus initialization addresses instability across individual optimization runs.</w:t>
      </w:r>
    </w:p>
    <w:p>
      <w:pPr>
        <w:pStyle w:val="BodyText"/>
      </w:pPr>
      <w:r>
        <w:t xml:space="preserve">The simulations show when that outcome information is most useful. In the primary setting, the factor-specific genes driving survival contributed less transcriptomic variation than a shared outcome-neutral background signal. Under those conditions, DeSurv more accurately recovered the genes defining the true prognostic program than unsupervised NMF. The advantage diminished when prognostic signal overlapped more strongly with variance-dominant structure and disappeared when no survival signal was present. These results support the interpretation of the real-data findings by showing under known truth that survival supervision can change program recovery when clinically relevant genes are not those contributing most strongly to transcriptomic variation. This matters beyond discrimination because the genes assigned to a program determine downstream biological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Those approaches estimate cellular composition using external cell-state references, whereas DeSurv learns survival-informed latent programs directly from bulk expression without assigning them a priori to cellular compartments.</w:t>
      </w:r>
    </w:p>
    <w:p>
      <w:pPr>
        <w:pStyle w:val="BodyText"/>
      </w:pPr>
      <w:r>
        <w:t xml:space="preserve">Several limitations define the scope of the findings. DeSurv uses a proportional-hazards objective, while the external validation data showed attenuation of the prognostic association over follow-up (Results). Extensions could accommodate non-proportional hazards or nonlinear survival relationships. The framework itself is not PDAC-specific, but its representational advantage has so far been evaluated only in PDAC. Establishing generalizability will require multi-cancer benchmarking against unsupervised decompositions and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were exploratory. In O’Kane/COMPASS, D1 remained prognostic in an analysis stratified by treatment arm, but the individual arms were too small to establish treatment-specific associations. Whether these programs predict differential treatment benefit therefore remains unresolved and will require adequately powered, prespecified treatment-by-program interaction analyses. The increase in the projected D2 score after treatment in the Linehan cohort likewise indicates a shift toward proCAF-associated bulk expression but does not establish a treatment-induced change in fibroblast state.</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Purity adjustment, DeCAF adjustment, cross-method recovery and the GATA6 analysis support D1 as a robust survival-associated bulk transcriptional program and independently support its classical tumor component, but they do not establish the cellular identity of its stromal component. Mapping these programs onto specific cellular states will require clinically annotated single-cell or spatial cohorts together with scoring methods suited to sparse and compartmentally mixed measurements.</w:t>
      </w:r>
    </w:p>
    <w:p>
      <w:pPr>
        <w:pStyle w:val="BodyText"/>
      </w:pPr>
      <w:r>
        <w:t xml:space="preserve">These results separate prognostic representation from prognostic discrimination. 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1"/>
    <w:bookmarkStart w:id="51"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The</w:t>
      </w:r>
      <w:r>
        <w:t xml:space="preserve"> </w:t>
      </w:r>
      <m:oMath>
        <m:r>
          <m:t>W</m:t>
        </m:r>
      </m:oMath>
      <w:r>
        <w:t xml:space="preserve"> </w:t>
      </w:r>
      <w:r>
        <w:t xml:space="preserve">update then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w:t>
      </w:r>
    </w:p>
    <w:p>
      <w:pPr>
        <w:pStyle w:val="BodyText"/>
      </w:pPr>
      <w:r>
        <w:t xml:space="preserve">The consensus initialization aggregates multiple DeSurv runs into a gene-gene co-occurrence matrix and constructs an initialization</w:t>
      </w:r>
      <w:r>
        <w:t xml:space="preserve"> </w:t>
      </w:r>
      <m:oMath>
        <m:sSub>
          <m:e>
            <m:r>
              <m:t>W</m:t>
            </m:r>
          </m:e>
          <m:sub>
            <m:r>
              <m:t>0</m:t>
            </m:r>
          </m:sub>
        </m:sSub>
      </m:oMath>
      <w:r>
        <w:t xml:space="preserve"> </w:t>
      </w:r>
      <w:r>
        <w:t xml:space="preserve">from the resulting clusters (Supplementary Information, Consensus initialization for the final model).</w:t>
      </w:r>
    </w:p>
    <w:p>
      <w:pPr>
        <w:pStyle w:val="BodyText"/>
      </w:pPr>
      <w:r>
        <w:t xml:space="preserve">Before projection, the gene support was restricted to the union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w:t>
      </w:r>
    </w:p>
    <w:p>
      <w:pPr>
        <w:pStyle w:val="BodyText"/>
      </w:pPr>
      <w:r>
        <w:t xml:space="preserve">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w:t>
      </w:r>
    </w:p>
    <w:p>
      <w:pPr>
        <w:pStyle w:val="BodyText"/>
      </w:pPr>
      <w:r>
        <w:t xml:space="preserve">In PDAC, BO selected</w:t>
      </w:r>
      <w:r>
        <w:t xml:space="preserve"> </w:t>
      </w:r>
      <m:oMath>
        <m:sSub>
          <m:e>
            <m:r>
              <m:t>n</m:t>
            </m:r>
          </m:e>
          <m:sub>
            <m:r>
              <m:rPr>
                <m:nor/>
                <m:sty m:val="p"/>
              </m:rPr>
              <m:t>top</m:t>
            </m:r>
          </m:sub>
        </m:sSub>
        <m:r>
          <m:rPr>
            <m:sty m:val="p"/>
          </m:rPr>
          <m:t>=</m:t>
        </m:r>
        <m:r>
          <m:t>270</m:t>
        </m:r>
      </m:oMath>
      <w:r>
        <w:t xml:space="preserve"> </w:t>
      </w:r>
      <w:r>
        <w:t xml:space="preserve">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which does not receive DeSurv’s consensus initialization or hyperparameter tuning. We therefore also fit a matched-budget unsupervised control, which removes supervision and holds every other component of the DeSurv procedure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the contribution of survival supervision.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the mixed scenario differs from the prognostic scenario only in its survival gene set, 300 genes comprising the 150 factor-1 markers and 150 randomly sampled background genes, which creates partial overlap between the prognostic signal and the variance-dominant outcome-neutral background.</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bSup>
          <m:e>
            <m:r>
              <m:t>W</m:t>
            </m:r>
          </m:e>
          <m:sub>
            <m:r>
              <m:rPr>
                <m:nor/>
                <m:sty m:val="p"/>
              </m:rPr>
              <m:t>true</m:t>
            </m:r>
          </m:sub>
          <m:sup>
            <m:r>
              <m:rPr>
                <m:sty m:val="p"/>
              </m:rPr>
              <m:t>⊤</m:t>
            </m:r>
          </m:sup>
        </m:sSubSup>
        <m:r>
          <m:t>X</m:t>
        </m:r>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48"/>
    <w:bookmarkStart w:id="49"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9"/>
    <w:bookmarkStart w:id="50"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0"/>
    <w:bookmarkEnd w:id="51"/>
    <w:bookmarkStart w:id="52"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2"/>
    <w:bookmarkStart w:id="55"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3">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4">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5"/>
    <w:bookmarkStart w:id="56"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56"/>
    <w:bookmarkStart w:id="57"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7"/>
    <w:bookmarkStart w:id="58"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58"/>
    <w:bookmarkStart w:id="151" w:name="references"/>
    <w:p>
      <w:pPr>
        <w:pStyle w:val="Heading1"/>
      </w:pPr>
      <w:r>
        <w:t xml:space="preserve">References</w:t>
      </w:r>
    </w:p>
    <w:bookmarkStart w:id="150" w:name="refs"/>
    <w:bookmarkStart w:id="60" w:name="ref-siegel2026cancer"/>
    <w:p>
      <w:pPr>
        <w:pStyle w:val="Bibliography"/>
      </w:pPr>
      <w:r>
        <w:t xml:space="preserve">1.</w:t>
      </w:r>
      <w:r>
        <w:t xml:space="preserve"> </w:t>
      </w:r>
      <w:r>
        <w:t xml:space="preserve">	</w:t>
      </w:r>
      <w:r>
        <w:t xml:space="preserve">Siegel, R. L., Kratzer, T. B., Wagle, N. S., Sung, H. &amp; Jemal, A.</w:t>
      </w:r>
      <w:r>
        <w:t xml:space="preserve"> </w:t>
      </w:r>
      <w:hyperlink r:id="rId59">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0"/>
    <w:bookmarkStart w:id="62"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1">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2"/>
    <w:bookmarkStart w:id="64"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3">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4"/>
    <w:bookmarkStart w:id="66"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6"/>
    <w:bookmarkStart w:id="68"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8"/>
    <w:bookmarkStart w:id="70"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9">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0"/>
    <w:bookmarkStart w:id="72"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1">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2"/>
    <w:bookmarkStart w:id="74"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3">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4"/>
    <w:bookmarkStart w:id="76"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5">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6"/>
    <w:bookmarkStart w:id="78"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7">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8"/>
    <w:bookmarkStart w:id="80" w:name="ref-nguyen2024fourteen"/>
    <w:p>
      <w:pPr>
        <w:pStyle w:val="Bibliography"/>
      </w:pPr>
      <w:r>
        <w:t xml:space="preserve">11.</w:t>
      </w:r>
      <w:r>
        <w:t xml:space="preserve"> </w:t>
      </w:r>
      <w:r>
        <w:t xml:space="preserve">	</w:t>
      </w:r>
      <w:r>
        <w:t xml:space="preserve">Nguyen, H., Nguyen, H., Tran, D., Draghici, S. &amp; Nguyen, T.</w:t>
      </w:r>
      <w:r>
        <w:t xml:space="preserve"> </w:t>
      </w:r>
      <w:hyperlink r:id="rId79">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0"/>
    <w:bookmarkStart w:id="82" w:name="ref-lee1999learning"/>
    <w:p>
      <w:pPr>
        <w:pStyle w:val="Bibliography"/>
      </w:pPr>
      <w:r>
        <w:t xml:space="preserve">12.</w:t>
      </w:r>
      <w:r>
        <w:t xml:space="preserve"> </w:t>
      </w:r>
      <w:r>
        <w:t xml:space="preserve">	</w:t>
      </w:r>
      <w:r>
        <w:t xml:space="preserve">Lee, D. D. &amp; Seung, H. S.</w:t>
      </w:r>
      <w:r>
        <w:t xml:space="preserve"> </w:t>
      </w:r>
      <w:hyperlink r:id="rId8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2"/>
    <w:bookmarkStart w:id="84" w:name="ref-brunet2004metagenes"/>
    <w:p>
      <w:pPr>
        <w:pStyle w:val="Bibliography"/>
      </w:pPr>
      <w:r>
        <w:t xml:space="preserve">13.</w:t>
      </w:r>
      <w:r>
        <w:t xml:space="preserve"> </w:t>
      </w:r>
      <w:r>
        <w:t xml:space="preserve">	</w:t>
      </w:r>
      <w:r>
        <w:t xml:space="preserve">Brunet, J.-P., Tamayo, P., Golub, T. R. &amp; Mesirov, J. P.</w:t>
      </w:r>
      <w:r>
        <w:t xml:space="preserve"> </w:t>
      </w:r>
      <w:hyperlink r:id="rId8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4"/>
    <w:bookmarkStart w:id="86" w:name="ref-peng2019novo"/>
    <w:p>
      <w:pPr>
        <w:pStyle w:val="Bibliography"/>
      </w:pPr>
      <w:r>
        <w:t xml:space="preserve">14.</w:t>
      </w:r>
      <w:r>
        <w:t xml:space="preserve"> </w:t>
      </w:r>
      <w:r>
        <w:t xml:space="preserve">	</w:t>
      </w:r>
      <w:r>
        <w:t xml:space="preserve">Peng, X. L., Moffitt, R. A., Torphy, R. J., Volmar, K. E. &amp; Yeh, J. J.</w:t>
      </w:r>
      <w:r>
        <w:t xml:space="preserve"> </w:t>
      </w:r>
      <w:hyperlink r:id="rId8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6"/>
    <w:bookmarkStart w:id="88" w:name="ref-bair2004semi"/>
    <w:p>
      <w:pPr>
        <w:pStyle w:val="Bibliography"/>
      </w:pPr>
      <w:r>
        <w:t xml:space="preserve">15.</w:t>
      </w:r>
      <w:r>
        <w:t xml:space="preserve"> </w:t>
      </w:r>
      <w:r>
        <w:t xml:space="preserve">	</w:t>
      </w:r>
      <w:r>
        <w:t xml:space="preserve">Bair, E. &amp; Tibshirani, R.</w:t>
      </w:r>
      <w:r>
        <w:t xml:space="preserve"> </w:t>
      </w:r>
      <w:hyperlink r:id="rId87">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8"/>
    <w:bookmarkStart w:id="90" w:name="ref-cook2007fisher"/>
    <w:p>
      <w:pPr>
        <w:pStyle w:val="Bibliography"/>
      </w:pPr>
      <w:r>
        <w:t xml:space="preserve">16.</w:t>
      </w:r>
      <w:r>
        <w:t xml:space="preserve"> </w:t>
      </w:r>
      <w:r>
        <w:t xml:space="preserve">	</w:t>
      </w:r>
      <w:r>
        <w:t xml:space="preserve">Cook, R. D.</w:t>
      </w:r>
      <w:r>
        <w:t xml:space="preserve"> </w:t>
      </w:r>
      <w:hyperlink r:id="rId89">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0"/>
    <w:bookmarkStart w:id="92"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1">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2"/>
    <w:bookmarkStart w:id="94" w:name="ref-aran2015systematic"/>
    <w:p>
      <w:pPr>
        <w:pStyle w:val="Bibliography"/>
      </w:pPr>
      <w:r>
        <w:t xml:space="preserve">18.</w:t>
      </w:r>
      <w:r>
        <w:t xml:space="preserve"> </w:t>
      </w:r>
      <w:r>
        <w:t xml:space="preserve">	</w:t>
      </w:r>
      <w:r>
        <w:t xml:space="preserve">Aran, D., Sirota, M. &amp; Butte, A. J.</w:t>
      </w:r>
      <w:r>
        <w:t xml:space="preserve"> </w:t>
      </w:r>
      <w:hyperlink r:id="rId93">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4"/>
    <w:bookmarkStart w:id="95"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5"/>
    <w:bookmarkStart w:id="97"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6">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7"/>
    <w:bookmarkStart w:id="98"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8"/>
    <w:bookmarkStart w:id="100"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9">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0"/>
    <w:bookmarkStart w:id="102"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1">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2"/>
    <w:bookmarkStart w:id="104"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4"/>
    <w:bookmarkStart w:id="106"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6"/>
    <w:bookmarkStart w:id="108" w:name="ref-snoek2012practical"/>
    <w:p>
      <w:pPr>
        <w:pStyle w:val="Bibliography"/>
      </w:pPr>
      <w:r>
        <w:t xml:space="preserve">26.</w:t>
      </w:r>
      <w:r>
        <w:t xml:space="preserve"> </w:t>
      </w:r>
      <w:r>
        <w:t xml:space="preserve">	</w:t>
      </w:r>
      <w:r>
        <w:t xml:space="preserve">Snoek, J., Larochelle, H. &amp; Adams, R. P.</w:t>
      </w:r>
      <w:r>
        <w:t xml:space="preserve"> </w:t>
      </w:r>
      <w:hyperlink r:id="rId107">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8"/>
    <w:bookmarkStart w:id="110"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9">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0"/>
    <w:bookmarkStart w:id="112" w:name="ref-frigyesi2008nmf"/>
    <w:p>
      <w:pPr>
        <w:pStyle w:val="Bibliography"/>
      </w:pPr>
      <w:r>
        <w:t xml:space="preserve">28.</w:t>
      </w:r>
      <w:r>
        <w:t xml:space="preserve"> </w:t>
      </w:r>
      <w:r>
        <w:t xml:space="preserve">	</w:t>
      </w:r>
      <w:r>
        <w:t xml:space="preserve">Frigyesi, A. &amp; Höglund, M.</w:t>
      </w:r>
      <w:r>
        <w:t xml:space="preserve"> </w:t>
      </w:r>
      <w:hyperlink r:id="rId111">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2"/>
    <w:bookmarkStart w:id="114"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3">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4"/>
    <w:bookmarkStart w:id="116"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5">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6"/>
    <w:bookmarkStart w:id="117"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7"/>
    <w:bookmarkStart w:id="118"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8"/>
    <w:bookmarkStart w:id="119"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9"/>
    <w:bookmarkStart w:id="121"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0">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1"/>
    <w:bookmarkStart w:id="123"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2">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3"/>
    <w:bookmarkStart w:id="125" w:name="ref-ogawa2020stroma"/>
    <w:p>
      <w:pPr>
        <w:pStyle w:val="Bibliography"/>
      </w:pPr>
      <w:r>
        <w:t xml:space="preserve">36.</w:t>
      </w:r>
      <w:r>
        <w:t xml:space="preserve"> </w:t>
      </w:r>
      <w:r>
        <w:t xml:space="preserve">	</w:t>
      </w:r>
      <w:r>
        <w:t xml:space="preserve">Ogawa, Y.</w:t>
      </w:r>
      <w:r>
        <w:t xml:space="preserve"> </w:t>
      </w:r>
      <w:r>
        <w:rPr>
          <w:iCs/>
          <w:i/>
        </w:rPr>
        <w:t xml:space="preserve">et al.</w:t>
      </w:r>
      <w:r>
        <w:t xml:space="preserve"> </w:t>
      </w:r>
      <w:hyperlink r:id="rId124">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5"/>
    <w:bookmarkStart w:id="127" w:name="ref-neuzillet2022periostin"/>
    <w:p>
      <w:pPr>
        <w:pStyle w:val="Bibliography"/>
      </w:pPr>
      <w:r>
        <w:t xml:space="preserve">37.</w:t>
      </w:r>
      <w:r>
        <w:t xml:space="preserve"> </w:t>
      </w:r>
      <w:r>
        <w:t xml:space="preserve">	</w:t>
      </w:r>
      <w:r>
        <w:t xml:space="preserve">Neuzillet, C.</w:t>
      </w:r>
      <w:r>
        <w:t xml:space="preserve"> </w:t>
      </w:r>
      <w:r>
        <w:rPr>
          <w:iCs/>
          <w:i/>
        </w:rPr>
        <w:t xml:space="preserve">et al.</w:t>
      </w:r>
      <w:r>
        <w:t xml:space="preserve"> </w:t>
      </w:r>
      <w:hyperlink r:id="rId126">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7"/>
    <w:bookmarkStart w:id="129" w:name="ref-lee2024tumorcaf"/>
    <w:p>
      <w:pPr>
        <w:pStyle w:val="Bibliography"/>
      </w:pPr>
      <w:r>
        <w:t xml:space="preserve">38.</w:t>
      </w:r>
      <w:r>
        <w:t xml:space="preserve"> </w:t>
      </w:r>
      <w:r>
        <w:t xml:space="preserve">	</w:t>
      </w:r>
      <w:r>
        <w:t xml:space="preserve">Lee, J. J.</w:t>
      </w:r>
      <w:r>
        <w:t xml:space="preserve"> </w:t>
      </w:r>
      <w:r>
        <w:rPr>
          <w:iCs/>
          <w:i/>
        </w:rPr>
        <w:t xml:space="preserve">et al.</w:t>
      </w:r>
      <w:r>
        <w:t xml:space="preserve"> </w:t>
      </w:r>
      <w:hyperlink r:id="rId128">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9"/>
    <w:bookmarkStart w:id="131" w:name="ref-newman2019cibersortx"/>
    <w:p>
      <w:pPr>
        <w:pStyle w:val="Bibliography"/>
      </w:pPr>
      <w:r>
        <w:t xml:space="preserve">39.</w:t>
      </w:r>
      <w:r>
        <w:t xml:space="preserve"> </w:t>
      </w:r>
      <w:r>
        <w:t xml:space="preserve">	</w:t>
      </w:r>
      <w:r>
        <w:t xml:space="preserve">Newman, A. M.</w:t>
      </w:r>
      <w:r>
        <w:t xml:space="preserve"> </w:t>
      </w:r>
      <w:r>
        <w:rPr>
          <w:iCs/>
          <w:i/>
        </w:rPr>
        <w:t xml:space="preserve">et al.</w:t>
      </w:r>
      <w:r>
        <w:t xml:space="preserve"> </w:t>
      </w:r>
      <w:hyperlink r:id="rId130">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1"/>
    <w:bookmarkStart w:id="133" w:name="ref-chu2022bayesprism"/>
    <w:p>
      <w:pPr>
        <w:pStyle w:val="Bibliography"/>
      </w:pPr>
      <w:r>
        <w:t xml:space="preserve">40.</w:t>
      </w:r>
      <w:r>
        <w:t xml:space="preserve"> </w:t>
      </w:r>
      <w:r>
        <w:t xml:space="preserve">	</w:t>
      </w:r>
      <w:r>
        <w:t xml:space="preserve">Chu, T., Wang, Z., Pe’er, D. &amp; Danko, C. G.</w:t>
      </w:r>
      <w:r>
        <w:t xml:space="preserve"> </w:t>
      </w:r>
      <w:hyperlink r:id="rId132">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3"/>
    <w:bookmarkStart w:id="135"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34">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5"/>
    <w:bookmarkStart w:id="137" w:name="ref-gaujoux2010flexible"/>
    <w:p>
      <w:pPr>
        <w:pStyle w:val="Bibliography"/>
      </w:pPr>
      <w:r>
        <w:t xml:space="preserve">42.</w:t>
      </w:r>
      <w:r>
        <w:t xml:space="preserve"> </w:t>
      </w:r>
      <w:r>
        <w:t xml:space="preserve">	</w:t>
      </w:r>
      <w:r>
        <w:t xml:space="preserve">Gaujoux, R. &amp; Seoighe, C.</w:t>
      </w:r>
      <w:r>
        <w:t xml:space="preserve"> </w:t>
      </w:r>
      <w:hyperlink r:id="rId136">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7"/>
    <w:bookmarkStart w:id="139" w:name="ref-data_tcga_paad"/>
    <w:p>
      <w:pPr>
        <w:pStyle w:val="Bibliography"/>
      </w:pPr>
      <w:r>
        <w:t xml:space="preserve">43.</w:t>
      </w:r>
      <w:r>
        <w:t xml:space="preserve"> </w:t>
      </w:r>
      <w:r>
        <w:t xml:space="preserve">	</w:t>
      </w:r>
      <w:r>
        <w:t xml:space="preserve">The Cancer Genome Atlas Research Network.</w:t>
      </w:r>
      <w:r>
        <w:t xml:space="preserve"> </w:t>
      </w:r>
      <w:hyperlink r:id="rId138">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9"/>
    <w:bookmarkStart w:id="141"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0">
        <w:r>
          <w:rPr>
            <w:rStyle w:val="Hyperlink"/>
          </w:rPr>
          <w:t xml:space="preserve">Data from CPTAC-3 pancreatic ductal adenocarcinoma cohort</w:t>
        </w:r>
      </w:hyperlink>
      <w:r>
        <w:t xml:space="preserve">. (2019).</w:t>
      </w:r>
    </w:p>
    <w:bookmarkEnd w:id="141"/>
    <w:bookmarkStart w:id="143"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3"/>
    <w:bookmarkStart w:id="145"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5"/>
    <w:bookmarkStart w:id="147"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6">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7"/>
    <w:bookmarkStart w:id="149"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8">
        <w:r>
          <w:rPr>
            <w:rStyle w:val="Hyperlink"/>
          </w:rPr>
          <w:t xml:space="preserve">Pancreatic cancer (PACA-AU) cohort: Array and RNA-sequencing data</w:t>
        </w:r>
      </w:hyperlink>
      <w:r>
        <w:t xml:space="preserve">. (2016).</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2026-09-09T03:28:37Z</dcterms:created>
  <dcterms:modified xsi:type="dcterms:W3CDTF">2026-09-09T03:28:37Z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yet transcriptomic programs are typically discovered without patient outcomes. The programs dominating expression variation are therefore not necessarily the ones most relevant to survival. We developed DeSurv, a survival-supervised matrix factorization that incorporates outcome into gene-program estimation and fixes the gene weights for scoring new cohorts. In pooled TCGA and CPTAC cohorts, DeSurv recovered a three-program tumor–stroma architecture whose dominant survival-aligned direction (D1) linked classical tumor identity with restCAF-like stroma. Applied without refitting to five external datasets spanning four independent cohorts, the frozen representation remained prognostic (HR per SD, 1.42; 95% CI, 1.26–1.59), including after PurIST and DeCAF adjustment. Unsupervised factorization matched on program number and tuning budget did not recover D1, implicating survival supervision rather than model size or tuning effort. In simulations with known structure,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