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5.png" ContentType="image/png"/>
  <Override PartName="/word/media/rId72.png" ContentType="image/png"/>
  <Override PartName="/word/media/rId57.png" ContentType="image/png"/>
  <Override PartName="/word/media/rId45.png" ContentType="image/png"/>
  <Override PartName="/word/media/rId3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w:t>
      </w:r>
      <w:r>
        <w:t xml:space="preserve"> </w:t>
      </w:r>
      <w:r>
        <w:rPr>
          <w:rStyle w:val="VerbatimChar"/>
        </w:rPr>
        <w:t xml:space="preserve">glmnet</w:t>
      </w:r>
      <w:r>
        <w:t xml:space="preserve"> </w:t>
      </w:r>
      <w:r>
        <w:t xml:space="preserve">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The scaling removes differences in</w:t>
      </w:r>
      <w:r>
        <w:t xml:space="preserve"> </w:t>
      </w:r>
      <w:r>
        <w:t xml:space="preserve">the magnitudes of the weighted reconstruction and survival gradients before the</w:t>
      </w:r>
      <w:r>
        <w:t xml:space="preserve"> </w:t>
      </w:r>
      <w:r>
        <w:t xml:space="preserve">additional factor</w:t>
      </w:r>
      <w:r>
        <w:t xml:space="preserve"> </w:t>
      </w:r>
      <m:oMath>
        <m:r>
          <m:t>α</m:t>
        </m:r>
      </m:oMath>
      <w:r>
        <w:t xml:space="preserve"> </w:t>
      </w:r>
      <w:r>
        <w:t xml:space="preserve">below controls the relative 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the factor</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arises because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weight</w:t>
      </w:r>
      <w:r>
        <w:t xml:space="preserve"> </w:t>
      </w:r>
      <w:r>
        <w:t xml:space="preserve">on the log-partial likelihood in the objective cancels the one-half of the</w:t>
      </w:r>
      <w:r>
        <w:t xml:space="preserve"> </w:t>
      </w:r>
      <w:r>
        <w:t xml:space="preserve">quadratic approximation. 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bookmarkEnd w:id="25"/>
    <w:bookmarkStart w:id="26" w:name="normalization-of-w"/>
    <w:p>
      <w:pPr>
        <w:pStyle w:val="Heading2"/>
      </w:pPr>
      <w:r>
        <w:t xml:space="preserve">Normalization of W</w:t>
      </w:r>
    </w:p>
    <w:p>
      <w:pPr>
        <w:pStyle w:val="FirstParagraph"/>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so the update for</w:t>
      </w:r>
      <w:r>
        <w:t xml:space="preserve"> </w:t>
      </w:r>
      <m:oMath>
        <m:r>
          <m:t>W</m:t>
        </m:r>
      </m:oMath>
      <w:r>
        <w:t xml:space="preserve"> </w:t>
      </w:r>
      <w:r>
        <w:t xml:space="preserve">in Equation [eqn:W_update] combines the reconstruction and supervision terms, and the gene-program definitions are shaped directly by their association with survival.</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folds stratified by cohort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for each rank we retain the configuration</w:t>
      </w:r>
      <w:r>
        <w:t xml:space="preserve"> </w:t>
      </w:r>
      <w:r>
        <w:t xml:space="preserve">with the highest observed mean cross-validated C-index, set the threshold one</w:t>
      </w:r>
      <w:r>
        <w:t xml:space="preserve"> </w:t>
      </w:r>
      <w:r>
        <w:t xml:space="preserve">fold-level standard error below the overall best configuration’s mean, and</w:t>
      </w:r>
      <w:r>
        <w:t xml:space="preserve"> </w:t>
      </w:r>
      <w:r>
        <w:t xml:space="preserve">select the smallest rank whose 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The nearest evaluated point is in the</w:t>
      </w:r>
      <w:r>
        <w:t xml:space="preserve"> </w:t>
      </w:r>
      <w:r>
        <w:t xml:space="preserve">fixed-hyperparameter sensitivity grid (Cross-validated C-index across</w:t>
      </w:r>
      <w:r>
        <w:t xml:space="preserve"> </w:t>
      </w:r>
      <w:r>
        <w:t xml:space="preserve">factorization rank), which holds the same</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w:t>
      </w:r>
      <w:r>
        <w:t xml:space="preserve"> </w:t>
      </w:r>
      <w:r>
        <w:t xml:space="preserve">at</w:t>
      </w:r>
      <w:r>
        <w:t xml:space="preserve"> </w:t>
      </w:r>
      <m:oMath>
        <m:r>
          <m:t>k</m:t>
        </m:r>
        <m:r>
          <m:rPr>
            <m:sty m:val="p"/>
          </m:rPr>
          <m:t>=</m:t>
        </m:r>
        <m:r>
          <m:t>3</m:t>
        </m:r>
      </m:oMath>
      <w:r>
        <w:t xml:space="preserve">,</w:t>
      </w:r>
      <w:r>
        <w:t xml:space="preserve"> </w:t>
      </w:r>
      <m:oMath>
        <m:r>
          <m:t>α</m:t>
        </m:r>
        <m:r>
          <m:rPr>
            <m:sty m:val="p"/>
          </m:rPr>
          <m:t>=</m:t>
        </m:r>
        <m:r>
          <m:t>0.35</m:t>
        </m:r>
      </m:oMath>
      <w:r>
        <w:t xml:space="preserve">, the five-fold</w:t>
      </w:r>
      <w:r>
        <w:t xml:space="preserve"> </w:t>
      </w:r>
      <w:r>
        <w:t xml:space="preserve">cross-validated C-index was</w:t>
      </w:r>
      <w:r>
        <w:t xml:space="preserve"> </w:t>
      </w:r>
      <m:oMath>
        <m:r>
          <m:t>0.656</m:t>
        </m:r>
      </m:oMath>
      <w:r>
        <w:t xml:space="preserve"> </w:t>
      </w:r>
      <w:r>
        <w:t xml:space="preserve">(standard</w:t>
      </w:r>
      <w:r>
        <w:t xml:space="preserve"> </w:t>
      </w:r>
      <w:r>
        <w:t xml:space="preserve">error</w:t>
      </w:r>
      <w:r>
        <w:t xml:space="preserve"> </w:t>
      </w:r>
      <m:oMath>
        <m:r>
          <m:t>0.010</m:t>
        </m:r>
      </m:oMath>
      <w:r>
        <w:t xml:space="preserve">).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factor-specific gene support used for projection and, in the final consensus procedure, the gene sets from each restart that enter the consensus initialization.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top-</w:t>
      </w:r>
      <m:oMath>
        <m:sSub>
          <m:e>
            <m:r>
              <m:t>n</m:t>
            </m:r>
          </m:e>
          <m:sub>
            <m:r>
              <m:rPr>
                <m:nor/>
                <m:sty m:val="p"/>
              </m:rPr>
              <m:t>top</m:t>
            </m:r>
          </m:sub>
        </m:sSub>
      </m:oMath>
      <w:r>
        <w:t xml:space="preserve"> </w:t>
      </w:r>
      <w:r>
        <w:t xml:space="preserve">support, and the linear predictor is</w:t>
      </w:r>
      <w:r>
        <w:t xml:space="preserve"> </w:t>
      </w:r>
      <m:oMath>
        <m:acc>
          <m:accPr>
            <m:chr m:val="̂"/>
          </m:accPr>
          <m:e>
            <m:r>
              <m:t>η</m:t>
            </m:r>
          </m:e>
        </m:acc>
        <m:r>
          <m:rPr>
            <m:sty m:val="p"/>
          </m:rPr>
          <m:t>=</m:t>
        </m:r>
        <m:r>
          <m:t>Z</m:t>
        </m:r>
        <m:acc>
          <m:accPr>
            <m:chr m:val="̂"/>
          </m:accPr>
          <m:e>
            <m:r>
              <m:t>β</m:t>
            </m:r>
          </m:e>
        </m:acc>
      </m:oMath>
      <w:r>
        <w:t xml:space="preserve"> </w:t>
      </w:r>
      <w:r>
        <w:t xml:space="preserve">with the</w:t>
      </w:r>
      <w:r>
        <w:t xml:space="preserve"> </w:t>
      </w:r>
      <w:r>
        <w:t xml:space="preserve">trained coefficients; no re-estimation and no standardization enters the score</w:t>
      </w:r>
      <w:r>
        <w:t xml:space="preserve"> </w:t>
      </w:r>
      <w:r>
        <w:t xml:space="preserve">itself.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Every reported linear predictor is this same linear functional of expression up</w:t>
      </w:r>
      <w:r>
        <w:t xml:space="preserve"> </w:t>
      </w:r>
      <w:r>
        <w:t xml:space="preserve">to a positive constant; the manuscript uses three scalings of it, and the map</w:t>
      </w:r>
      <w:r>
        <w:t xml:space="preserve"> </w:t>
      </w:r>
      <w:r>
        <w:t xml:space="preserve">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and leaves every concordance index unchanged. (ii) The headline</w:t>
      </w:r>
      <w:r>
        <w:t xml:space="preserve"> </w:t>
      </w:r>
      <w:r>
        <w:t xml:space="preserve">pooled hazard ratio, the covariate-adjusted hazard ratios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The per-factor forest</w:t>
      </w:r>
      <w:r>
        <w:t xml:space="preserve"> </w:t>
      </w:r>
      <w:r>
        <w:t xml:space="preserve">estimates (main-text Fig. [fig:val]a), the cohort-specific hazard ratios of</w:t>
      </w:r>
      <w:r>
        <w:t xml:space="preserve"> </w:t>
      </w:r>
      <w:r>
        <w:t xml:space="preserve">Table [tab:het-ci] and the between-cohort heterogeneity test standardize each</w:t>
      </w:r>
      <w:r>
        <w:t xml:space="preserve"> </w:t>
      </w:r>
      <w:r>
        <w:t xml:space="preserve">score to zero mean and unit standard deviation within its own cohort, so they are</w:t>
      </w:r>
      <w:r>
        <w:t xml:space="preserve"> </w:t>
      </w:r>
      <w:r>
        <w:t xml:space="preserve">per within-cohort standard deviation. Hazard ratios under (ii) and (iii) are</w:t>
      </w:r>
      <w:r>
        <w:t xml:space="preserve"> </w:t>
      </w:r>
      <w:r>
        <w:t xml:space="preserve">therefore not interchangeable, whereas C-indices are identical under all three.</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which the external validation addresses directly.</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w:t>
      </w:r>
      <w:r>
        <w:t xml:space="preserve"> </w:t>
      </w:r>
      <w:r>
        <w:rPr>
          <w:rStyle w:val="VerbatimChar"/>
        </w:rPr>
        <w:t xml:space="preserve">pure basal-like'' component and its tumor-compartment</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100-restart consensus fits (DeSurv, Lee NMF at matched and elbow rank, unsupervised controls)</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survival-supervised methods, not an idiosyncrasy of the DeSurv</w:t>
      </w:r>
      <w:r>
        <w:t xml:space="preserve"> </w:t>
      </w:r>
      <w:r>
        <w:t xml:space="preserve">algorithm.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penalized (lasso) Cox (</w:t>
      </w:r>
      <w:r>
        <w:rPr>
          <w:rStyle w:val="VerbatimChar"/>
        </w:rPr>
        <w:t xml:space="preserve">glmnet</w:t>
      </w:r>
      <w:r>
        <w:t xml:space="preserve">,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DeSurv was scored with its Bayesian-optimization-selected top-270-per-factor programs;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penalized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penalized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penalized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penalized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A sparse supervised risk score selects genes whose expression rises with risk, whereas the high-risk end of D1 is defined by loss of classical-tumor and restCAF-like expression rather than by gain of a D1 gene set, so the genes such a score selects need not be D1’s defining genes.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penalized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penalized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 within each cohort and</w:t>
      </w:r>
      <w:r>
        <w:t xml:space="preserve"> </w:t>
      </w:r>
      <w:r>
        <w:t xml:space="preserve">integrating over that cohort’s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overstate out-of-sample 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2"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convention used for the per-factor forest estimates in main-text Fig. [fig:val]a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2"/>
    <w:bookmarkStart w:id="53"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cohort, and an ordinary least-squares model is then fitted</w:t>
      </w:r>
      <w:r>
        <w:t xml:space="preserve"> </w:t>
      </w:r>
      <w:r>
        <w:t xml:space="preserve">with cohort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cohort</w:t>
      </w:r>
      <w:r>
        <w:t xml:space="preserve"> </w:t>
      </w:r>
      <w:r>
        <w:t xml:space="preserve">before fitting, the cohort main effect absorbs essentially no variance, so the</w:t>
      </w:r>
      <w:r>
        <w:t xml:space="preserve"> </w:t>
      </w:r>
      <w:r>
        <w:t xml:space="preserve">within-cohort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cohort-stratified Cox model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3"/>
    <w:bookmarkStart w:id="54"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4"/>
    <w:bookmarkStart w:id="55"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w:t>
      </w:r>
    </w:p>
    <w:p>
      <w:pPr>
        <w:pStyle w:val="BodyText"/>
      </w:pPr>
      <w:r>
        <w:t xml:space="preserve">100 of the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5"/>
    <w:bookmarkStart w:id="56"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Two independently</w:t>
      </w:r>
      <w:r>
        <w:t xml:space="preserve"> </w:t>
      </w:r>
      <w:r>
        <w:t xml:space="preserve">seeded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 100-gene list is shorter than the</w:t>
      </w:r>
      <w:r>
        <w:t xml:space="preserve"> </w:t>
      </w:r>
      <w:r>
        <w:t xml:space="preserve">270-gene projection support so that the comparison is on a common footing with</w:t>
      </w:r>
      <w:r>
        <w:t xml:space="preserve"> </w:t>
      </w:r>
      <w:r>
        <w:t xml:space="preserve">the single-vector comparators, whose gene 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6"/>
    <w:bookmarkStart w:id="60"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outcome-neutral background signal,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survival-driving factor, of which 50% were factor-specific markers and 50% were background genes with loadings shared across all factors.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the concordance index (C-index) on the held-out 30% test split of each replicate, precision of recovered prognostic gene sets, and the distribution of selected ranks across simulation replicates.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8" name="Picture"/>
            <a:graphic>
              <a:graphicData uri="http://schemas.openxmlformats.org/drawingml/2006/picture">
                <pic:pic>
                  <pic:nvPicPr>
                    <pic:cNvPr descr=".docx_media/figures_fig_sim_null_mixed_1.png" id="59" name="Picture"/>
                    <pic:cNvPicPr>
                      <a:picLocks noChangeArrowheads="1" noChangeAspect="1"/>
                    </pic:cNvPicPr>
                  </pic:nvPicPr>
                  <pic:blipFill>
                    <a:blip r:embed="rId57"/>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0"/>
    <w:bookmarkStart w:id="64"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this fixed-hyperparameter sensitivity grid also selects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2" name="Picture"/>
            <a:graphic>
              <a:graphicData uri="http://schemas.openxmlformats.org/drawingml/2006/picture">
                <pic:pic>
                  <pic:nvPicPr>
                    <pic:cNvPr descr=".docx_media/figures_fig_cindex_by_k_1.png" id="63" name="Picture"/>
                    <pic:cNvPicPr>
                      <a:picLocks noChangeArrowheads="1" noChangeAspect="1"/>
                    </pic:cNvPicPr>
                  </pic:nvPicPr>
                  <pic:blipFill>
                    <a:blip r:embed="rId61"/>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4"/>
    <w:bookmarkStart w:id="68"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6" name="Picture"/>
            <a:graphic>
              <a:graphicData uri="http://schemas.openxmlformats.org/drawingml/2006/picture">
                <pic:pic>
                  <pic:nvPicPr>
                    <pic:cNvPr descr=".docx_media/figures_fig_nmf_diagnostics_1.png" id="67" name="Picture"/>
                    <pic:cNvPicPr>
                      <a:picLocks noChangeArrowheads="1" noChangeAspect="1"/>
                    </pic:cNvPicPr>
                  </pic:nvPicPr>
                  <pic:blipFill>
                    <a:blip r:embed="rId65"/>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8"/>
    <w:bookmarkStart w:id="78"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Bayesian optimization at</w:t>
      </w:r>
      <w:r>
        <w:t xml:space="preserve"> </w:t>
      </w:r>
      <m:oMath>
        <m:r>
          <m:t>α</m:t>
        </m:r>
        <m:r>
          <m:rPr>
            <m:sty m:val="p"/>
          </m:rPr>
          <m:t>=</m:t>
        </m:r>
        <m:r>
          <m:t>0</m:t>
        </m:r>
      </m:oMath>
      <w:r>
        <w:t xml:space="preserve"> </w:t>
      </w:r>
      <w:r>
        <w:t xml:space="preserve">selects</w:t>
      </w:r>
      <w:r>
        <w:t xml:space="preserve"> </w:t>
      </w:r>
      <m:oMath>
        <m:r>
          <m:t>k</m:t>
        </m:r>
        <m:r>
          <m:rPr>
            <m:sty m:val="p"/>
          </m:rPr>
          <m:t>=</m:t>
        </m:r>
        <m:r>
          <m:t>7</m:t>
        </m:r>
      </m:oMath>
      <w:r>
        <w:t xml:space="preserve"> </w:t>
      </w:r>
      <w:r>
        <w:t xml:space="preserve">(the rank-optimized unsupervised control), whereas the one-standard-error rule applied to the supervised DeSurv BO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r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0" name="Picture"/>
            <a:graphic>
              <a:graphicData uri="http://schemas.openxmlformats.org/drawingml/2006/picture">
                <pic:pic>
                  <pic:nvPicPr>
                    <pic:cNvPr descr="figures/fig-nmf-k7-heatmap-1.png" id="71" name="Picture"/>
                    <pic:cNvPicPr>
                      <a:picLocks noChangeArrowheads="1" noChangeAspect="1"/>
                    </pic:cNvPicPr>
                  </pic:nvPicPr>
                  <pic:blipFill>
                    <a:blip r:embed="rId69"/>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w:t>
      </w:r>
      <w:r>
        <w:t xml:space="preserve"> </w:t>
      </w:r>
      <m:oMath>
        <m:r>
          <m:t>r</m:t>
        </m:r>
        <m:r>
          <m:rPr>
            <m:sty m:val="p"/>
          </m:rPr>
          <m:t>&gt;</m:t>
        </m:r>
        <m:r>
          <m:t>0.2</m:t>
        </m:r>
      </m:oMath>
      <w:r>
        <w:t xml:space="preserve"> </w:t>
      </w:r>
      <w:r>
        <w:t xml:space="preserve">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5"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r</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r</m:t>
        </m:r>
        <m:r>
          <m:rPr>
            <m:sty m:val="p"/>
          </m:rPr>
          <m:t>&gt;</m:t>
        </m:r>
        <m:r>
          <m:t>0.2</m:t>
        </m:r>
      </m:oMath>
      <w:r>
        <w:t xml:space="preserve">. Edges is the total number of (factor, reference-program) pairs at</w:t>
      </w:r>
      <w:r>
        <w:t xml:space="preserve"> </w:t>
      </w:r>
      <m:oMath>
        <m:r>
          <m:t>r</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consensus-fit anchors are overlaid: DeSurv (</w:t>
      </w:r>
      <m:oMath>
        <m:r>
          <m:t>k</m:t>
        </m:r>
        <m:r>
          <m:rPr>
            <m:sty m:val="p"/>
          </m:rPr>
          <m:t>=</m:t>
        </m:r>
        <m:r>
          <m:t>3</m:t>
        </m:r>
      </m:oMath>
      <w:r>
        <w:t xml:space="preserve">), standard NMF at matched rank (</w:t>
      </w:r>
      <m:oMath>
        <m:r>
          <m:t>k</m:t>
        </m:r>
        <m:r>
          <m:rPr>
            <m:sty m:val="p"/>
          </m:rPr>
          <m:t>=</m:t>
        </m:r>
        <m:r>
          <m:t>3</m:t>
        </m:r>
      </m:oMath>
      <w:r>
        <w:t xml:space="preserve">; Lee NMF), and the rank-optimized unsupervised control (</w:t>
      </w:r>
      <m:oMath>
        <m:r>
          <m:t>k</m:t>
        </m:r>
        <m:r>
          <m:rPr>
            <m:sty m:val="p"/>
          </m:rPr>
          <m:t>=</m:t>
        </m:r>
        <m:r>
          <m:t>7</m:t>
        </m:r>
      </m:oMath>
      <w:r>
        <w:t xml:space="preserve">,</w:t>
      </w:r>
      <w:r>
        <w:t xml:space="preserve"> </w:t>
      </w:r>
      <m:oMath>
        <m:r>
          <m:t>α</m:t>
        </m:r>
        <m:r>
          <m:rPr>
            <m:sty m:val="p"/>
          </m:rPr>
          <m:t>=</m:t>
        </m:r>
        <m:r>
          <m:t>0</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their collapse is the single-run dispersion documented in Stability of the recovered gene programs, not a property of the consensus fits.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3" name="Picture"/>
            <a:graphic>
              <a:graphicData uri="http://schemas.openxmlformats.org/drawingml/2006/picture">
                <pic:pic>
                  <pic:nvPicPr>
                    <pic:cNvPr descr=".docx_media/figures_fig_reference_program_multiplicity.png" id="74" name="Picture"/>
                    <pic:cNvPicPr>
                      <a:picLocks noChangeArrowheads="1" noChangeAspect="1"/>
                    </pic:cNvPicPr>
                  </pic:nvPicPr>
                  <pic:blipFill>
                    <a:blip r:embed="rId72"/>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w:t>
      </w:r>
      <w:r>
        <w:rPr>
          <w:iCs/>
          <w:i/>
        </w:rPr>
        <w:t xml:space="preserve"> </w:t>
      </w:r>
      <m:oMath>
        <m:r>
          <m:t>r</m:t>
        </m:r>
        <m:r>
          <m:rPr>
            <m:sty m:val="p"/>
          </m:rPr>
          <m:t>&gt;</m:t>
        </m:r>
        <m:r>
          <m:t>0.2</m:t>
        </m:r>
      </m:oMath>
      <w:r>
        <w:rPr>
          <w:iCs/>
          <w:i/>
        </w:rPr>
        <w:t xml:space="preserve"> </w:t>
      </w:r>
      <w:r>
        <w:rPr>
          <w:iCs/>
          <w:i/>
        </w:rPr>
        <w:t xml:space="preserve">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consensus-fit anchors (DeSurv</w:t>
      </w:r>
      <w:r>
        <w:rPr>
          <w:iCs/>
          <w:i/>
        </w:rPr>
        <w:t xml:space="preserve"> </w:t>
      </w:r>
      <m:oMath>
        <m:r>
          <m:t>k</m:t>
        </m:r>
        <m:r>
          <m:rPr>
            <m:sty m:val="p"/>
          </m:rPr>
          <m:t>=</m:t>
        </m:r>
        <m:r>
          <m:t>3</m:t>
        </m:r>
      </m:oMath>
      <w:r>
        <w:rPr>
          <w:iCs/>
          <w:i/>
        </w:rPr>
        <w:t xml:space="preserve">, matched-rank standard NMF</w:t>
      </w:r>
      <w:r>
        <w:rPr>
          <w:iCs/>
          <w:i/>
        </w:rPr>
        <w:t xml:space="preserve"> </w:t>
      </w:r>
      <m:oMath>
        <m:r>
          <m:t>k</m:t>
        </m:r>
        <m:r>
          <m:rPr>
            <m:sty m:val="p"/>
          </m:rPr>
          <m:t>=</m:t>
        </m:r>
        <m:r>
          <m:t>3</m:t>
        </m:r>
      </m:oMath>
      <w:r>
        <w:rPr>
          <w:iCs/>
          <w:i/>
        </w:rPr>
        <w:t xml:space="preserve">, rank-optimized unsupervised control</w:t>
      </w:r>
      <w:r>
        <w:rPr>
          <w:iCs/>
          <w:i/>
        </w:rPr>
        <w:t xml:space="preserve"> </w:t>
      </w:r>
      <m:oMath>
        <m:r>
          <m:t>k</m:t>
        </m:r>
        <m:r>
          <m:rPr>
            <m:sty m:val="p"/>
          </m:rPr>
          <m:t>=</m:t>
        </m:r>
        <m:r>
          <m:t>7</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therefore varies only supervision and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All columns are scored on the same union-of-top-genes support (</w:t>
      </w:r>
      <m:oMath>
        <m:sSub>
          <m:e>
            <m:r>
              <m:t>n</m:t>
            </m:r>
          </m:e>
          <m:sub>
            <m:r>
              <m:rPr>
                <m:nor/>
                <m:sty m:val="p"/>
              </m:rPr>
              <m:t>top</m:t>
            </m:r>
          </m:sub>
        </m:sSub>
        <m:r>
          <m:rPr>
            <m:sty m:val="p"/>
          </m:rPr>
          <m:t>=</m:t>
        </m:r>
        <m:r>
          <m:t>270</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5"/>
    <w:bookmarkStart w:id="76"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enriched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6"/>
    <w:bookmarkStart w:id="77"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control that holds everything but supervision fixed: Bayesian optimization was run with</w:t>
      </w:r>
      <w:r>
        <w:t xml:space="preserve"> </w:t>
      </w:r>
      <m:oMath>
        <m:r>
          <m:t>α</m:t>
        </m:r>
      </m:oMath>
      <w:r>
        <w:t xml:space="preserve"> </w:t>
      </w:r>
      <w:r>
        <w:t xml:space="preserve">pinned to</w:t>
      </w:r>
      <w:r>
        <w:t xml:space="preserve"> </w:t>
      </w:r>
      <m:oMath>
        <m:r>
          <m:t>0</m:t>
        </m:r>
      </m:oMath>
      <w:r>
        <w:t xml:space="preserve"> </w:t>
      </w:r>
      <w:r>
        <w:t xml:space="preserve">and the rank pinned to DeSurv’s selected</w:t>
      </w:r>
      <w:r>
        <w:t xml:space="preserve"> </w:t>
      </w:r>
      <m:oMath>
        <m:r>
          <m:t>k</m:t>
        </m:r>
        <m:r>
          <m:rPr>
            <m:sty m:val="p"/>
          </m:rPr>
          <m:t>=</m:t>
        </m:r>
        <m:r>
          <m:t>3</m:t>
        </m:r>
      </m:oMath>
      <w:r>
        <w:t xml:space="preserve">, with the same optimizer, search budget, gene filter and cross-validation folds, re-optimizing only the remaining hyperparameters; the resulting model was then fit by the same 100-restart consensus procedure used for DeSurv.</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tradeoff is between that higher discrimination and a less parsimonious factorization: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w:t>
      </w:r>
    </w:p>
    <w:bookmarkEnd w:id="77"/>
    <w:bookmarkEnd w:id="78"/>
    <w:bookmarkStart w:id="79"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9"/>
    <w:bookmarkStart w:id="83"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stromal</w:t>
      </w:r>
      <w:r>
        <w:t xml:space="preserve"> </w:t>
      </w:r>
      <m:oMath>
        <m:sSub>
          <m:e>
            <m:r>
              <m:t>D</m:t>
            </m:r>
          </m:e>
          <m:sub>
            <m:r>
              <m:t>2</m:t>
            </m:r>
          </m:sub>
        </m:sSub>
      </m:oMath>
      <w:r>
        <w:t xml:space="preserve"> </w:t>
      </w:r>
      <w:r>
        <w:t xml:space="preserve">program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0"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0"/>
    <w:bookmarkStart w:id="81" w:name="treatment-associated-change-in-d2"/>
    <w:p>
      <w:pPr>
        <w:pStyle w:val="Heading2"/>
      </w:pPr>
      <w:r>
        <w:t xml:space="preserve">Treatment-associated change in D2</w:t>
      </w:r>
    </w:p>
    <w:p>
      <w:pPr>
        <w:pStyle w:val="FirstParagraph"/>
      </w:pPr>
      <w:r>
        <w:t xml:space="preserve">In the 29 Linehan patients with paired pre- and post-treatment biopsies,</w:t>
      </w:r>
      <w:r>
        <w:t xml:space="preserve"> </w:t>
      </w:r>
      <m:oMath>
        <m:sSub>
          <m:e>
            <m:r>
              <m:t>D</m:t>
            </m:r>
          </m:e>
          <m:sub>
            <m:r>
              <m:t>2</m:t>
            </m:r>
          </m:sub>
        </m:sSub>
      </m:oMath>
      <w:r>
        <w:t xml:space="preserve"> </w:t>
      </w:r>
      <w:r>
        <w:t xml:space="preserve">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1"/>
    <w:bookmarkStart w:id="82" w:name="caveats"/>
    <w:p>
      <w:pPr>
        <w:pStyle w:val="Heading2"/>
      </w:pPr>
      <w:r>
        <w:t xml:space="preserve">Caveats</w:t>
      </w:r>
    </w:p>
    <w:p>
      <w:pPr>
        <w:pStyle w:val="FirstParagraph"/>
      </w:pPr>
      <w:r>
        <w:t xml:space="preserve">These analyses are exploratory and prognostic, not predictive: treatment, stage and cohort are confounded, the treated cohorts are modestly sized, and no analysis plan was preregistered. Each analysis is confined to a single cohort, and the O’Kane/COMPASS common slope is estimated within that cohort from a model with arm-specific baseline hazards; it is not a pooled estimate across cohorts. We do not test a survival association for</w:t>
      </w:r>
      <w:r>
        <w:t xml:space="preserve"> </w:t>
      </w:r>
      <m:oMath>
        <m:sSub>
          <m:e>
            <m:r>
              <m:t>D</m:t>
            </m:r>
          </m:e>
          <m:sub>
            <m:r>
              <m:t>2</m:t>
            </m:r>
          </m:sub>
        </m:sSub>
      </m:oMath>
      <w:r>
        <w:t xml:space="preserve"> </w:t>
      </w:r>
      <w:r>
        <w:t xml:space="preserve">in the paired Linehan cohort, because its trained coefficient is zero. No</w:t>
      </w:r>
      <w:r>
        <w:t xml:space="preserve"> </w:t>
      </w:r>
      <m:oMath>
        <m:sSub>
          <m:e>
            <m:r>
              <m:t>D</m:t>
            </m:r>
          </m:e>
          <m:sub>
            <m:r>
              <m:t>2</m:t>
            </m:r>
          </m:sub>
        </m:sSub>
      </m:oMath>
      <w:r>
        <w:t xml:space="preserve"> </w:t>
      </w:r>
      <w:r>
        <w:t xml:space="preserve">analysis is possible in O’Kane/COMPASS, whose specimens are laser-capture epithelium rather than bulk tissue. Robust treated-cohort validation, and any assessment of whether the programs predict differential treatment benefit, will require larger harmonized series with adequately powered treatment-by-program interaction analyses.</w:t>
      </w:r>
    </w:p>
    <w:bookmarkEnd w:id="82"/>
    <w:bookmarkEnd w:id="83"/>
    <w:bookmarkStart w:id="136" w:name="bibliography"/>
    <w:p>
      <w:pPr>
        <w:pStyle w:val="Heading1"/>
      </w:pPr>
      <w:r>
        <w:t xml:space="preserve">SI References</w:t>
      </w:r>
    </w:p>
    <w:bookmarkStart w:id="135" w:name="refs"/>
    <w:bookmarkStart w:id="84"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4"/>
    <w:bookmarkStart w:id="86"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5">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6"/>
    <w:bookmarkStart w:id="88" w:name="ref-simon2011regularization"/>
    <w:p>
      <w:pPr>
        <w:pStyle w:val="Bibliography"/>
      </w:pPr>
      <w:r>
        <w:t xml:space="preserve">3.</w:t>
      </w:r>
      <w:r>
        <w:t xml:space="preserve"> </w:t>
      </w:r>
      <w:r>
        <w:t xml:space="preserve">	</w:t>
      </w:r>
      <w:r>
        <w:t xml:space="preserve">Simon, N., Friedman, J. H., Hastie, T. &amp; Tibshirani, R.</w:t>
      </w:r>
      <w:r>
        <w:t xml:space="preserve"> </w:t>
      </w:r>
      <w:hyperlink r:id="rId8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8"/>
    <w:bookmarkStart w:id="89"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9"/>
    <w:bookmarkStart w:id="91"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0">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1"/>
    <w:bookmarkStart w:id="92"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2"/>
    <w:bookmarkStart w:id="94" w:name="ref-brunet2004metagenes"/>
    <w:p>
      <w:pPr>
        <w:pStyle w:val="Bibliography"/>
      </w:pPr>
      <w:r>
        <w:t xml:space="preserve">7.</w:t>
      </w:r>
      <w:r>
        <w:t xml:space="preserve"> </w:t>
      </w:r>
      <w:r>
        <w:t xml:space="preserve">	</w:t>
      </w:r>
      <w:r>
        <w:t xml:space="preserve">Brunet, J.-P., Tamayo, P., Golub, T. R. &amp; Mesirov, J. P.</w:t>
      </w:r>
      <w:r>
        <w:t xml:space="preserve"> </w:t>
      </w:r>
      <w:hyperlink r:id="rId9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4"/>
    <w:bookmarkStart w:id="96"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5">
        <w:r>
          <w:rPr>
            <w:rStyle w:val="Hyperlink"/>
          </w:rPr>
          <w:t xml:space="preserve">https://faculty.cc.gatech.edu/~hpark/papers/GT-CSE-08-01.pdf</w:t>
        </w:r>
      </w:hyperlink>
      <w:r>
        <w:t xml:space="preserve"> </w:t>
      </w:r>
      <w:r>
        <w:t xml:space="preserve">(2008).</w:t>
      </w:r>
    </w:p>
    <w:bookmarkEnd w:id="96"/>
    <w:bookmarkStart w:id="98" w:name="ref-gillis2012accelerated"/>
    <w:p>
      <w:pPr>
        <w:pStyle w:val="Bibliography"/>
      </w:pPr>
      <w:r>
        <w:t xml:space="preserve">9.</w:t>
      </w:r>
      <w:r>
        <w:t xml:space="preserve"> </w:t>
      </w:r>
      <w:r>
        <w:t xml:space="preserve">	</w:t>
      </w:r>
      <w:r>
        <w:t xml:space="preserve">Gillis, N. &amp; Glineur, F.</w:t>
      </w:r>
      <w:r>
        <w:t xml:space="preserve"> </w:t>
      </w:r>
      <w:hyperlink r:id="rId97">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8"/>
    <w:bookmarkStart w:id="99"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9"/>
    <w:bookmarkStart w:id="101"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10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1"/>
    <w:bookmarkStart w:id="103"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3"/>
    <w:bookmarkStart w:id="105"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4">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5"/>
    <w:bookmarkStart w:id="107"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6">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7"/>
    <w:bookmarkStart w:id="109"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8">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9"/>
    <w:bookmarkStart w:id="111"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10">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1"/>
    <w:bookmarkStart w:id="113"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3"/>
    <w:bookmarkStart w:id="115"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5"/>
    <w:bookmarkStart w:id="117" w:name="ref-peng2019novo"/>
    <w:p>
      <w:pPr>
        <w:pStyle w:val="Bibliography"/>
      </w:pPr>
      <w:r>
        <w:t xml:space="preserve">19.</w:t>
      </w:r>
      <w:r>
        <w:t xml:space="preserve"> </w:t>
      </w:r>
      <w:r>
        <w:t xml:space="preserve">	</w:t>
      </w:r>
      <w:r>
        <w:t xml:space="preserve">Peng, X. L., Moffitt, R. A., Torphy, R. J., Volmar, K. E. &amp; Yeh, J. J.</w:t>
      </w:r>
      <w:r>
        <w:t xml:space="preserve"> </w:t>
      </w:r>
      <w:hyperlink r:id="rId116">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7"/>
    <w:bookmarkStart w:id="119"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9"/>
    <w:bookmarkStart w:id="121"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20">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1"/>
    <w:bookmarkStart w:id="123"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5"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4">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5"/>
    <w:bookmarkStart w:id="127"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6">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7"/>
    <w:bookmarkStart w:id="128"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8"/>
    <w:bookmarkStart w:id="130" w:name="ref-uno2011cstatistics"/>
    <w:p>
      <w:pPr>
        <w:pStyle w:val="Bibliography"/>
      </w:pPr>
      <w:r>
        <w:t xml:space="preserve">26.</w:t>
      </w:r>
      <w:r>
        <w:t xml:space="preserve"> </w:t>
      </w:r>
      <w:r>
        <w:t xml:space="preserve">	</w:t>
      </w:r>
      <w:r>
        <w:t xml:space="preserve">Uno, H., Cai, T., Pencina, M. J., D’Agostino, R. B. &amp; Wei, L. J.</w:t>
      </w:r>
      <w:r>
        <w:t xml:space="preserve"> </w:t>
      </w:r>
      <w:hyperlink r:id="rId129">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0"/>
    <w:bookmarkStart w:id="132" w:name="ref-antolini2005timedependent"/>
    <w:p>
      <w:pPr>
        <w:pStyle w:val="Bibliography"/>
      </w:pPr>
      <w:r>
        <w:t xml:space="preserve">27.</w:t>
      </w:r>
      <w:r>
        <w:t xml:space="preserve"> </w:t>
      </w:r>
      <w:r>
        <w:t xml:space="preserve">	</w:t>
      </w:r>
      <w:r>
        <w:t xml:space="preserve">Antolini, L., Boracchi, P. &amp; Biganzoli, E.</w:t>
      </w:r>
      <w:r>
        <w:t xml:space="preserve"> </w:t>
      </w:r>
      <w:hyperlink r:id="rId131">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2"/>
    <w:bookmarkStart w:id="134" w:name="ref-blanche2019cindex"/>
    <w:p>
      <w:pPr>
        <w:pStyle w:val="Bibliography"/>
      </w:pPr>
      <w:r>
        <w:t xml:space="preserve">28.</w:t>
      </w:r>
      <w:r>
        <w:t xml:space="preserve"> </w:t>
      </w:r>
      <w:r>
        <w:t xml:space="preserve">	</w:t>
      </w:r>
      <w:r>
        <w:t xml:space="preserve">Blanche, P., Kattan, M. W. &amp; Gerds, T. A.</w:t>
      </w:r>
      <w:r>
        <w:t xml:space="preserve"> </w:t>
      </w:r>
      <w:hyperlink r:id="rId133">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2427" TargetMode="External" /><Relationship Type="http://schemas.openxmlformats.org/officeDocument/2006/relationships/hyperlink" Id="rId129" Target="https://doi.org/10.1002/sim.4154" TargetMode="External" /><Relationship Type="http://schemas.openxmlformats.org/officeDocument/2006/relationships/hyperlink" Id="rId100" Target="https://doi.org/10.1016/j.ccell.2017.07.007" TargetMode="External" /><Relationship Type="http://schemas.openxmlformats.org/officeDocument/2006/relationships/hyperlink" Id="rId102" Target="https://doi.org/10.1016/j.cell.2021.08.023" TargetMode="External" /><Relationship Type="http://schemas.openxmlformats.org/officeDocument/2006/relationships/hyperlink" Id="rId114" Target="https://doi.org/10.1016/j.xcrm.2026.102611" TargetMode="External" /><Relationship Type="http://schemas.openxmlformats.org/officeDocument/2006/relationships/hyperlink" Id="rId108" Target="https://doi.org/10.1038/nature16965" TargetMode="External" /><Relationship Type="http://schemas.openxmlformats.org/officeDocument/2006/relationships/hyperlink" Id="rId106" Target="https://doi.org/10.1038/ng.3398" TargetMode="External" /><Relationship Type="http://schemas.openxmlformats.org/officeDocument/2006/relationships/hyperlink" Id="rId118" Target="https://doi.org/10.1038/nm.2344" TargetMode="External" /><Relationship Type="http://schemas.openxmlformats.org/officeDocument/2006/relationships/hyperlink" Id="rId116" Target="https://doi.org/10.1038/s41467-019-12517-7" TargetMode="External" /><Relationship Type="http://schemas.openxmlformats.org/officeDocument/2006/relationships/hyperlink" Id="rId120" Target="https://doi.org/10.1038/s41588-019-0566-9" TargetMode="External" /><Relationship Type="http://schemas.openxmlformats.org/officeDocument/2006/relationships/hyperlink" Id="rId104" Target="https://doi.org/10.1038/s41598-019-56826-9" TargetMode="External" /><Relationship Type="http://schemas.openxmlformats.org/officeDocument/2006/relationships/hyperlink" Id="rId110" Target="https://doi.org/10.1053/j.gastro.2018.08.033" TargetMode="External" /><Relationship Type="http://schemas.openxmlformats.org/officeDocument/2006/relationships/hyperlink" Id="rId93" Target="https://doi.org/10.1073/pnas.0308531101" TargetMode="External" /><Relationship Type="http://schemas.openxmlformats.org/officeDocument/2006/relationships/hyperlink" Id="rId126" Target="https://doi.org/10.1093/bioinformatics/btad449" TargetMode="External" /><Relationship Type="http://schemas.openxmlformats.org/officeDocument/2006/relationships/hyperlink" Id="rId133" Target="https://doi.org/10.1093/biostatistics/kxy006" TargetMode="External" /><Relationship Type="http://schemas.openxmlformats.org/officeDocument/2006/relationships/hyperlink" Id="rId85" Target="https://doi.org/10.1109/TPAMI.2006.60" TargetMode="External" /><Relationship Type="http://schemas.openxmlformats.org/officeDocument/2006/relationships/hyperlink" Id="rId122" Target="https://doi.org/10.1136/gutjnl-2018-317706" TargetMode="External" /><Relationship Type="http://schemas.openxmlformats.org/officeDocument/2006/relationships/hyperlink" Id="rId90" Target="https://doi.org/10.1155/2008/764206" TargetMode="External" /><Relationship Type="http://schemas.openxmlformats.org/officeDocument/2006/relationships/hyperlink" Id="rId112" Target="https://doi.org/10.1158/1078-0432.CCR-19-1467" TargetMode="External" /><Relationship Type="http://schemas.openxmlformats.org/officeDocument/2006/relationships/hyperlink" Id="rId124" Target="https://doi.org/10.1158/2159-8290.CD-19-0094" TargetMode="External" /><Relationship Type="http://schemas.openxmlformats.org/officeDocument/2006/relationships/hyperlink" Id="rId97" Target="https://doi.org/10.1162/NECO_a_00256" TargetMode="External" /><Relationship Type="http://schemas.openxmlformats.org/officeDocument/2006/relationships/hyperlink" Id="rId87" Target="https://doi.org/10.18637/jss.v039.i05" TargetMode="External" /><Relationship Type="http://schemas.openxmlformats.org/officeDocument/2006/relationships/hyperlink" Id="rId95"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2026-09-09T03:48:59Z</dcterms:created>
  <dcterms:modified xsi:type="dcterms:W3CDTF">2026-09-09T03:48:59Z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replicable tumor–stroma prognostic architecture in pancreatic cancer through survival-supervised matrix factorization</vt:lpwstr>
  </property>
</Properties>
</file>