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those</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only</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factorization at matched and higher rank (the number of programs the factorization extracts) and with conventional survival-supervised models (Supplementary Table [tab:architecture]). These comparisons distinguish the contribution of survival supervision from effects of model complexity and tuning. We then test the frozen programs across independent cohorts, determine whether the dominant survival-aligned direction is shared by other supervised approaches, and ask whether it retains prognostic information beyond established PDAC classifiers. Simulations in which the true underlying (latent) programs are known characterize when survival supervision improves recovery of prognostic structure.</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allowing outcome information to influence which programs are recovered rather than only selecting among programs after unsupervised factorization. After training, the gene weights are fixed so that the same learned programs can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the ranks examined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configuration (Fig. [fig:schema]b; Methods; Supplementary Information, Bayesian Optimization). In contrast, standard unsupervised NMF rank criteria based on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w:t>
      </w:r>
      <w:r>
        <w:t xml:space="preserve">gave conflicting rank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Lee multiplicative NMF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D1 program. Both methods recovered the activated-stroma and proCAF-like reference programs. They differed at the restraining end: among the displayed top-ranked genes, the restCAF and iCAF reference programs corresponded to a DeSurv program but to no standard NMF factor (Fig. [fig:pdac]a,b).</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Yet omitting D1 lowered the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the fitted survival contribution. Because D1 was estimated using these outcomes, these quantities show where the fitted model placed the survival signal rather than providing an independent test of that signal.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nevertheless reconstructed the analysis matrix only modestly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did not appear to explain this difference. We repeated the comparison with the matched-budget unsupervised control, an unsupervised model matched to DeSurv on rank, optimizer, tuning budget and consensus initialization. It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545c29662618d20fbceafc892b81dc1672b6c59"/>
    <w:p>
      <w:pPr>
        <w:pStyle w:val="Heading2"/>
      </w:pPr>
      <w:r>
        <w:t xml:space="preserve">Frozen programs retain prognostic relevance across independent PDAC cohorts, with exploratory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yielding</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associated with survival either individually or in the combined analysis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showed greater variation across datasets (Fig. [fig:val]a). None of the three standard NMF factors at the same rank was associated with survival in the combined analysis (HRs 0.94–1.00; Fig. [fig:val]a, right).</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indicated attenuation of this association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should be interpreted as a time-averaged summary rather than a constant multiplicative effect. Leave-one-dataset-out estimates were similar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Event-weighted discrimination across cohorts was moderate (C-index</w:t>
      </w:r>
      <w:r>
        <w:t xml:space="preserve"> </w:t>
      </w:r>
      <m:oMath>
        <m:r>
          <m:t>0.61</m:t>
        </m:r>
      </m:oMath>
      <w:r>
        <w:t xml:space="preserve">, 95% CI</w:t>
      </w:r>
      <w:r>
        <w:t xml:space="preserve"> </w:t>
      </w:r>
      <m:oMath>
        <m:r>
          <m:t>0.58</m:t>
        </m:r>
      </m:oMath>
      <w:r>
        <w:t xml:space="preserve">–</w:t>
      </w:r>
      <m:oMath>
        <m:r>
          <m:t>0.65</m:t>
        </m:r>
      </m:oMath>
      <w:r>
        <w:t xml:space="preserve">). In a sensitivity analysis with in-sample recalibration of the frozen score within each cohort (apparent rather than out-of-sample prediction error), the integrated Brier score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next asked whether comparable prognostic information could be recovered without survival-supervised factorization. At DeSurv’s rank, the matched-budget unsupervised control was not associated with survival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also represented a broader set of established PDAC programs.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Higher rank therefore broadened biological representation rather than repeatedly mapping additional factors to the same programs. Survival supervision was not required to recover prognostic signal, but DeSurv represented comparable prognostic information with three rather than seven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its Bayesian-optimization-selected rank (</w:t>
      </w:r>
      <m:oMath>
        <m:r>
          <m:t>k</m:t>
        </m:r>
        <m:r>
          <m:rPr>
            <m:sty m:val="p"/>
          </m:rPr>
          <m:t>=</m:t>
        </m:r>
        <m:r>
          <m:t>7</m:t>
        </m:r>
      </m:oMath>
      <w:r>
        <w:rPr>
          <w:iCs/>
          <w:i/>
        </w:rPr>
        <w:t xml:space="preserve">); both use the same unsupervised</w:t>
      </w:r>
      <w:r>
        <w:rPr>
          <w:iCs/>
          <w:i/>
        </w:rPr>
        <w:t xml:space="preserve"> </w:t>
      </w:r>
      <m:oMath>
        <m:r>
          <m:t>α</m:t>
        </m:r>
        <m:r>
          <m:rPr>
            <m:sty m:val="p"/>
          </m:rPr>
          <m:t>=</m:t>
        </m:r>
        <m:r>
          <m:t>0</m:t>
        </m:r>
      </m:oMath>
      <w:r>
        <w:rPr>
          <w:iCs/>
          <w:i/>
        </w:rPr>
        <w:t xml:space="preserve"> </w:t>
      </w:r>
      <w:r>
        <w:rPr>
          <w:iCs/>
          <w:i/>
        </w:rPr>
        <w:t xml:space="preserve">pipeline, consensus initialization and tuning budget as DeSurv (Supplementary Table [tab:tab-cindex-comparison]).</w:t>
      </w:r>
    </w:p>
    <w:p>
      <w:pPr>
        <w:pStyle w:val="BodyText"/>
      </w:pPr>
      <w:r>
        <w:t xml:space="preserve">To test transport beyond untreated disease, we projected the frozen programs without retraining into two treated PDAC cohorts. In the O’Kane/COMPASS cohort of metastatic disease,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56c124c528b5c9226025f2c58a5eb108e1d2148"/>
    <w:p>
      <w:pPr>
        <w:pStyle w:val="Heading2"/>
      </w:pPr>
      <w:r>
        <w:t xml:space="preserve">The D1 direction is shared across supervised methods and retains prognostic information beyond established PDAC classifiers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and DeCAF alone explained 19%. D1 nevertheless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containing additive PurIST and DeCAF terms improved model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These findings support overlap with established tumor-intrinsic and stromal classifications while showing that D1 retains prognostic information beyond those binary classifiers.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These analyses do not establish the cellular identity of the restCAF-like component of D1, which cannot be resolved from bulk expression alone (Supplementary Information, Stromal resolution: which reference programs are recovered from bulk). In Puleo, the largest validation cohort, the DeSurv linear predictor also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We next asked whether D1 was specific to the DeSurv optimizer. When fit as single-component models, three independent survival-supervised approaches (supervised principal components, Cox partial least squares and sparse Cox) produced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D1 therefore represents a survival-associated expression direction recovered across supervised approaches rather than an idiosyncrasy of DeSurv.</w:t>
      </w:r>
    </w:p>
    <w:p>
      <w:pPr>
        <w:pStyle w:val="BodyText"/>
      </w:pPr>
      <w:r>
        <w:t xml:space="preserve">We then asked what DeSurv adds beyond recovery of this shared prognostic direction. Independently tuned supervised principal components and lasso-penalized Cox regression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and captured the dominant D1-associated direction. Their selected genes, however, were enriched for basal-like tumor programs but not proCAF, restCAF, immune or exocrine programs,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Supplementary Information). Discrimination was therefore comparable; DeSurv’s distinction is that it places the shared prognostic direction within a fixed set of separately measurable tumor and stromal programs that can be applied unchanged to new cohorts.</w:t>
      </w:r>
    </w:p>
    <w:bookmarkEnd w:id="35"/>
    <w:bookmarkStart w:id="39" w:name="X9fbe0060a9b97df940ff96ad6b82ef7b6fd6bbb"/>
    <w:p>
      <w:pPr>
        <w:pStyle w:val="Heading2"/>
      </w:pPr>
      <w:r>
        <w:t xml:space="preserve">DeSurv recovers prognostic gene programs when survival signal is not variance-dominant</w:t>
      </w:r>
    </w:p>
    <w:p>
      <w:pPr>
        <w:pStyle w:val="FirstParagraph"/>
      </w:pPr>
      <w:r>
        <w:t xml:space="preserve">We used simulations with known latent structure to determine when survival supervision improves program recovery. In the primary scenario, the factor-specific genes driving survival contributed less transcriptomic variation than a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the three latent factors were otherwise exchangeable. DeSurv and its unsupervised limit (</w:t>
      </w:r>
      <m:oMath>
        <m:r>
          <m:t>α</m:t>
        </m:r>
        <m:r>
          <m:rPr>
            <m:sty m:val="p"/>
          </m:rPr>
          <m:t>=</m:t>
        </m:r>
        <m:r>
          <m:t>0</m:t>
        </m:r>
      </m:oMath>
      <w:r>
        <w:t xml:space="preserve">) were tuned using the same cross-validation procedure, providing a controlled comparison of factorization with and without survival supervision.</w:t>
      </w:r>
    </w:p>
    <w:p>
      <w:pPr>
        <w:pStyle w:val="BodyText"/>
      </w:pPr>
      <w:r>
        <w:t xml:space="preserve">Under this setting, DeSurv more accurately recovered the genes defining the true prognostic program, whereas unsupervised NMF was more strongly influenced by the variance-dominant background structure (Fig. [fig:sim]a,b). Across 100 replicates, median matched-factor precision for the true prognostic gene set was 0.50 for DeSurv versus 0.07 for unsupervised NMF (Methods).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This advantage depended on how strongly prognostic signal aligned with variance-dominant expression structure. It attenuated when the two partially overlapped and disappeared under the null, where neither method identified prognostic signal (Supplementary Fig. [fig:fig-sim-null-mixed]). In the mixed setting, the advantage was greatest for recovery of the factor-specific marker genes rather than the shared background genes that also carried survival signal,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survival signal is not variance-dominant.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applied unchanged to new cohorts. In PDAC, this identified a dominant survival-aligned program, D1, characterized by coordinated cross-patient variation in classical tumor and restCAF-like stromal features, alongside separately resolved proCAF-like stromal and basal-like tumor programs. D1 was recovered without subtype labels, remained prognostic after adjustment for the established PurIST and DeCAF classifications, so it is not reducible to them, and was supported on its classical tumor side by GATA6 RNA in situ hybridization. The frozen programs then transferred without refitting across four independent external patient cohorts. DeSurv’s contribution is to place a reproducible prognostic direction within a decomposed tumor–stroma architecture whose components can be examined separately. The advance is in how clinically relevant programs are discovered, not in how well they predict.</w:t>
      </w:r>
    </w:p>
    <w:p>
      <w:pPr>
        <w:pStyle w:val="BodyText"/>
      </w:pPr>
      <w:r>
        <w:t xml:space="preserve">The representational difference was evident at matched complexity and tuning effort. An unsupervised control given DeSurv’s rank, optimizer, tuning budget and consensus initialization did not recover D1. Higher-rank unsupervised factorization recovered comparable prognostic information across a broader seven-factor representation, while conventional supervised predictors recovered the dominant prognostic direction without separately resolving the stromal programs. These comparisons distinguish prognostic information from the representation in which that information is recovered. Survival supervision was not required to obtain a prognostic signal, but it altered which programs were identified and how that signal was decomposed.</w:t>
      </w:r>
    </w:p>
    <w:p>
      <w:pPr>
        <w:pStyle w:val="BodyText"/>
      </w:pPr>
      <w:r>
        <w:t xml:space="preserve">This distinction also clarifies the role of the fixed gene-program basis. In conventional unsupervised discovery, clinical relevance is established only after programs have been learned, through factor selection, biological annotation and cross-study matching.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fixed, so external validation tests the same programs rather than a newly estimated representation. Empirically, supervision reorganized rather than replaced the reconstruction-driven structure. D2 and D3 corresponded closely to the major stromal and tumor factors recovered by NMF, whereas D1 was poorly reconstructable from the matched-rank NMF factors.</w:t>
      </w:r>
    </w:p>
    <w:p>
      <w:pPr>
        <w:pStyle w:val="BodyText"/>
      </w:pPr>
      <w:r>
        <w:t xml:space="preserve">This differs from related supervised factorization approaches in where survival information enters the model. CoxNMF and SurvNMF</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depends on obtaining sample-side loadings (Methods; Supplementary Table [tab:architecture]). DeSurv instead places supervision on the gene-program matrix and scores new tumors by projection onto a fixed basis.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similarly learn sample representations rather than a fixed gene-program basis. The distinction is therefore not simply whether survival supervision is used, but whether the supervised object itself can be transported unchanged.</w:t>
      </w:r>
    </w:p>
    <w:p>
      <w:pPr>
        <w:pStyle w:val="BodyText"/>
      </w:pPr>
      <w:r>
        <w:t xml:space="preserve">Biologically, D1 is the dominant survival-aligned direction within the broader tumor–stroma architecture rather than the architecture itself. It captures coordinated cross-patient variation in classical tumor and restCAF-like stromal features. D2 and D3 provide separately measurable stromal and tumor context around that direction and do not necessarily represent independent components of the fitted risk score. This organization is consistent with broader evidence that malignant lineage state and stromal composition vary together in PDAC</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remains an important source of uncertainty in factorization. Standard NMF criteria gave conflicting rank choices in the PDAC training data, and increasing rank progressively broadened correspondence to established PDAC programs, which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the non-uniqueness of matrix factorization, and individual DeSurv runs from different random starts recover appreciably different gene sets. Reproducibility of the reported decomposition instead comes from the consensus procedure, and independently seeded applications of the full procedure closely reproduced the final programs (Supplementary Information, Stability of the recovered gene programs). Survival supervision therefore provides an outcome-informed criterion for shaping the representation, while consensus initialization addresses instability across individual optimization runs.</w:t>
      </w:r>
    </w:p>
    <w:p>
      <w:pPr>
        <w:pStyle w:val="BodyText"/>
      </w:pPr>
      <w:r>
        <w:t xml:space="preserve">The simulations show when that outcome information is most useful. In the primary setting, the factor-specific genes driving survival contributed less transcriptomic variation than a shared outcome-neutral background signal. Under those conditions, DeSurv more accurately recovered the genes defining the true prognostic program than unsupervised NMF. The advantage diminished when prognostic signal overlapped more strongly with variance-dominant structure and disappeared when no survival signal was present. These results support the interpretation of the real-data findings by showing under known truth that survival supervision can change program recovery when clinically relevant genes are not those contributing most strongly to transcriptomic variation. This matters beyond discrimination because the genes assigned to a program determine downstream biological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Those approaches estimate cellular composition using external cell-state references, whereas DeSurv learns survival-informed latent programs directly from bulk expression without assigning them a priori to cellular compartments.</w:t>
      </w:r>
    </w:p>
    <w:p>
      <w:pPr>
        <w:pStyle w:val="BodyText"/>
      </w:pPr>
      <w:r>
        <w:t xml:space="preserve">Several limitations define the scope of the findings. DeSurv uses a proportional-hazards objective, while the external validation data showed attenuation of the prognostic association over follow-up (Results). Extensions could accommodate non-proportional hazards or nonlinear survival relationships. The framework itself is not PDAC-specific, but its representational advantage has so far been evaluated only in PDAC. Establishing generalizability will require multi-cancer benchmarking against unsupervised decompositions and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were exploratory. In O’Kane/COMPASS, D1 remained prognostic in an analysis stratified by treatment arm, but the individual arms were too small to establish treatment-specific associations. Whether these programs predict differential treatment benefit therefore remains unresolved and will require adequately powered, prespecified treatment-by-program interaction analyses. The increase in the projected D2 score after treatment in the Linehan cohort likewise indicates a shift toward proCAF-associated bulk expression but does not establish a treatment-induced change in fibroblast state.</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Purity adjustment, DeCAF adjustment, cross-method recovery and the GATA6 analysis support D1 as a robust survival-associated bulk transcriptional program and independently support its classical tumor component, but they do not establish the cellular identity of its stromal component. Mapping these programs onto specific cellular states will require clinically annotated single-cell or spatial cohorts together with scoring methods suited to sparse and compartmentally mixed measurements.</w:t>
      </w:r>
    </w:p>
    <w:p>
      <w:pPr>
        <w:pStyle w:val="BodyText"/>
      </w:pPr>
      <w:r>
        <w:t xml:space="preserve">These results separate prognostic representation from prognostic discrimination. 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Because this rule combined</w:t>
      </w:r>
      <w:r>
        <w:t xml:space="preserve"> </w:t>
      </w:r>
      <m:oMath>
        <m:r>
          <m:t>k</m:t>
        </m:r>
        <m:r>
          <m:rPr>
            <m:sty m:val="p"/>
          </m:rPr>
          <m:t>=</m:t>
        </m:r>
        <m:r>
          <m:t>3</m:t>
        </m:r>
      </m:oMath>
      <w:r>
        <w:t xml:space="preserve"> </w:t>
      </w:r>
      <w:r>
        <w:t xml:space="preserve">with the non-rank hyperparameters of the global optimum, a configuration not itself evaluated in the search, we examined a fixed</w:t>
      </w:r>
      <w:r>
        <w:t xml:space="preserve"> </w:t>
      </w:r>
      <m:oMath>
        <m:r>
          <m:t>k</m:t>
        </m:r>
        <m:r>
          <m:rPr>
            <m:sty m:val="p"/>
          </m:rPr>
          <m:t>=</m:t>
        </m:r>
        <m:r>
          <m:t>3</m:t>
        </m:r>
      </m:oMath>
      <w:r>
        <w:t xml:space="preserve"> </w:t>
      </w:r>
      <w:r>
        <w:t xml:space="preserve">grid 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those retained values as a sensitivity check: the nearest evaluated supervision level,</w:t>
      </w:r>
      <w:r>
        <w:t xml:space="preserve"> </w:t>
      </w:r>
      <m:oMath>
        <m:r>
          <m:t>α</m:t>
        </m:r>
        <m:r>
          <m:rPr>
            <m:sty m:val="p"/>
          </m:rPr>
          <m:t>=</m:t>
        </m:r>
        <m:r>
          <m:t>0.35</m:t>
        </m:r>
      </m:oMath>
      <w:r>
        <w:t xml:space="preserve">, gave a mean cross-validated C-index of 0.656 (SE 0.010), above the one-standard-error threshold of 0.644, and applying the same one-standard-error rule to that grid also selects</w:t>
      </w:r>
      <w:r>
        <w:t xml:space="preserve"> </w:t>
      </w:r>
      <m:oMath>
        <m:r>
          <m:t>k</m:t>
        </m:r>
        <m:r>
          <m:rPr>
            <m:sty m:val="p"/>
          </m:rPr>
          <m:t>=</m:t>
        </m:r>
        <m:r>
          <m:t>3</m:t>
        </m:r>
      </m:oMath>
      <w:r>
        <w:t xml:space="preserve"> </w:t>
      </w:r>
      <w:r>
        <w:t xml:space="preserve">(Supplementary Information, Bayesian Optimization and Cross-validated C-index across factorization rank).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from each program’s Bayesian-optimization-selected top-gene support;</w:t>
      </w:r>
      <w:r>
        <w:t xml:space="preserve"> </w:t>
      </w:r>
      <m:oMath>
        <m:r>
          <m:t>β</m:t>
        </m:r>
      </m:oMath>
      <w:r>
        <w:t xml:space="preserve"> </w:t>
      </w:r>
      <w:r>
        <w:t xml:space="preserve">was not refit after truncation. Cross-validation evaluated this same truncation-and-scoring construction when selecting</w:t>
      </w:r>
      <w:r>
        <w:t xml:space="preserve"> </w:t>
      </w:r>
      <m:oMath>
        <m:sSub>
          <m:e>
            <m:r>
              <m:t>n</m:t>
            </m:r>
          </m:e>
          <m:sub>
            <m:r>
              <m:rPr>
                <m:nor/>
                <m:sty m:val="p"/>
              </m:rPr>
              <m:t>top</m:t>
            </m:r>
          </m:sub>
        </m:sSub>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direct multiplication by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and every other component of the DeSurv procedure is held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removal of survival supervision at the pipeline level, with the remaining hyperparameters re-optimized rather than held numerically fixed.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Cox objective was fit to the pooled TCGA and CPTAC samples without a cohort term; cross-validation folds were constructed within cohort with stratification by event status. Both training cohorts are RNA-seq, were rank transformed within sample, and had similar event rates (52% in TCGA-PAAD and 50% in CPTAC; Supplementary Table [tab:cohorts]); all validation analyses stratify by dataset, and a descriptive check against cohort-driven association is given in the Supplementary Information (Cohort handling in the training objective).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2026-09-09T03:57:18Z</dcterms:created>
  <dcterms:modified xsi:type="dcterms:W3CDTF">2026-09-09T03:57:18Z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those most relevant to survival. We developed DeSurv, a survival-supervised matrix factorization that incorporates outcome into gene-program estimation and fixes gene weights for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before (HR per SD, 1.42; 95% CI, 1.26–1.59) and after PurIST and DeCAF adjustment. Unsupervised factorization matched on program number and tuning budget did not recover D1; a rank-optimized unsupervised control recovered comparable prognostic information only across seven factors.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