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w:t>
      </w:r>
      <w:r>
        <w:t xml:space="preserve"> </w:t>
      </w:r>
      <w:r>
        <w:rPr>
          <w:rStyle w:val="VerbatimChar"/>
        </w:rPr>
        <w:t xml:space="preserve">glmnet</w:t>
      </w:r>
      <w:r>
        <w:t xml:space="preserve"> </w:t>
      </w:r>
      <w:r>
        <w:t xml:space="preserve">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the factor</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arises because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weight</w:t>
      </w:r>
      <w:r>
        <w:t xml:space="preserve"> </w:t>
      </w:r>
      <w:r>
        <w:t xml:space="preserve">on the log-partial likelihood in the objective cancels the one-half of the</w:t>
      </w:r>
      <w:r>
        <w:t xml:space="preserve"> </w:t>
      </w:r>
      <w:r>
        <w:t xml:space="preserve">quadratic approximation. 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bookmarkEnd w:id="25"/>
    <w:bookmarkStart w:id="26" w:name="normalization-of-w"/>
    <w:p>
      <w:pPr>
        <w:pStyle w:val="Heading2"/>
      </w:pPr>
      <w:r>
        <w:t xml:space="preserve">Normalization of W</w:t>
      </w:r>
    </w:p>
    <w:p>
      <w:pPr>
        <w:pStyle w:val="FirstParagraph"/>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so the update for</w:t>
      </w:r>
      <w:r>
        <w:t xml:space="preserve"> </w:t>
      </w:r>
      <m:oMath>
        <m:r>
          <m:t>W</m:t>
        </m:r>
      </m:oMath>
      <w:r>
        <w:t xml:space="preserve"> </w:t>
      </w:r>
      <w:r>
        <w:t xml:space="preserve">in Equation [eqn:W_update] combines the reconstruction and supervision terms, and the gene-program definitions are shaped directly by their association with survival.</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top-</w:t>
      </w:r>
      <m:oMath>
        <m:sSub>
          <m:e>
            <m:r>
              <m:t>n</m:t>
            </m:r>
          </m:e>
          <m:sub>
            <m:r>
              <m:rPr>
                <m:nor/>
                <m:sty m:val="p"/>
              </m:rPr>
              <m:t>top</m:t>
            </m:r>
          </m:sub>
        </m:sSub>
      </m:oMath>
      <w:r>
        <w:t xml:space="preserve"> </w:t>
      </w:r>
      <w:r>
        <w:t xml:space="preserve">support, and the linear predictor is</w:t>
      </w:r>
      <w:r>
        <w:t xml:space="preserve"> </w:t>
      </w:r>
      <m:oMath>
        <m:acc>
          <m:accPr>
            <m:chr m:val="̂"/>
          </m:accPr>
          <m:e>
            <m:r>
              <m:t>η</m:t>
            </m:r>
          </m:e>
        </m:acc>
        <m:r>
          <m:rPr>
            <m:sty m:val="p"/>
          </m:rPr>
          <m:t>=</m:t>
        </m:r>
        <m:r>
          <m:t>Z</m:t>
        </m:r>
        <m:acc>
          <m:accPr>
            <m:chr m:val="̂"/>
          </m:accPr>
          <m:e>
            <m:r>
              <m:t>β</m:t>
            </m:r>
          </m:e>
        </m:acc>
      </m:oMath>
      <w:r>
        <w:t xml:space="preserve"> </w:t>
      </w:r>
      <w:r>
        <w:t xml:space="preserve">with the</w:t>
      </w:r>
      <w:r>
        <w:t xml:space="preserve"> </w:t>
      </w:r>
      <w:r>
        <w:t xml:space="preserve">trained coefficients; no re-estimation and no standardization enters the score</w:t>
      </w:r>
      <w:r>
        <w:t xml:space="preserve"> </w:t>
      </w:r>
      <w:r>
        <w:t xml:space="preserve">itself.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Every reported linear predictor is this same linear functional of expression up</w:t>
      </w:r>
      <w:r>
        <w:t xml:space="preserve"> </w:t>
      </w:r>
      <w:r>
        <w:t xml:space="preserve">to a positive constant; the manuscript uses three scalings of it, and the map</w:t>
      </w:r>
      <w:r>
        <w:t xml:space="preserve"> </w:t>
      </w:r>
      <w:r>
        <w:t xml:space="preserve">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and leaves every concordance index unchanged. (ii) The headline</w:t>
      </w:r>
      <w:r>
        <w:t xml:space="preserve"> </w:t>
      </w:r>
      <w:r>
        <w:t xml:space="preserve">pooled hazard ratio, the covariate-adjusted hazard ratios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The per-factor forest</w:t>
      </w:r>
      <w:r>
        <w:t xml:space="preserve"> </w:t>
      </w:r>
      <w:r>
        <w:t xml:space="preserve">estimates (main-text Fig. [fig:val]a), the cohort-specific hazard ratios of</w:t>
      </w:r>
      <w:r>
        <w:t xml:space="preserve"> </w:t>
      </w:r>
      <w:r>
        <w:t xml:space="preserve">Table [tab:het-ci] and the between-cohort heterogeneity test standardize each</w:t>
      </w:r>
      <w:r>
        <w:t xml:space="preserve"> </w:t>
      </w:r>
      <w:r>
        <w:t xml:space="preserve">score to zero mean and unit standard deviation within its own cohort, so they are</w:t>
      </w:r>
      <w:r>
        <w:t xml:space="preserve"> </w:t>
      </w:r>
      <w:r>
        <w:t xml:space="preserve">per within-cohort standard deviation. Hazard ratios under (ii) and (iii) are</w:t>
      </w:r>
      <w:r>
        <w:t xml:space="preserve"> </w:t>
      </w:r>
      <w:r>
        <w:t xml:space="preserve">therefore not interchangeable, whereas C-indices are identical under all three.</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100-restart consensus fits (DeSurv, Lee NMF at matched and elbow rank, unsupervised controls)</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 within each cohort and</w:t>
      </w:r>
      <w:r>
        <w:t xml:space="preserve"> </w:t>
      </w:r>
      <w:r>
        <w:t xml:space="preserve">integrating over that cohort’s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overstate out-of-sample 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convention used for the per-factor forest estimates in main-text Fig. [fig:val]a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cohort,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cohort-stratified Cox model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100 of the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 100-gene list is shorter than the</w:t>
      </w:r>
      <w:r>
        <w:t xml:space="preserve"> </w:t>
      </w:r>
      <w:r>
        <w:t xml:space="preserve">270-gene projection support so that the comparison is on a common footing with</w:t>
      </w:r>
      <w:r>
        <w:t xml:space="preserve"> </w:t>
      </w:r>
      <w:r>
        <w:t xml:space="preserve">the single-vector comparators, whose gene 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survival-driving factor, of which 50% were factor-specific markers and 50% were background genes with loadings shared across all factors.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the concordance index (C-index) on the held-out 30% test split of each replicate,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their collapse is the single-run dispersion documented in Stability of the recovered gene programs, not a property of the consensus fits.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For this table only, each method was scored on the union of its own factors’ top-</w:t>
      </w:r>
      <m:oMath>
        <m:sSub>
          <m:e>
            <m:r>
              <m:t>n</m:t>
            </m:r>
          </m:e>
          <m:sub>
            <m:r>
              <m:rPr>
                <m:nor/>
                <m:sty m:val="p"/>
              </m:rPr>
              <m:t>top</m:t>
            </m:r>
          </m:sub>
        </m:sSub>
      </m:oMath>
      <w:r>
        <w:rPr>
          <w:iCs/>
          <w:i/>
        </w:rPr>
        <w:t xml:space="preserve"> </w:t>
      </w:r>
      <w:r>
        <w:rPr>
          <w:iCs/>
          <w:i/>
        </w:rPr>
        <w:t xml:space="preserve">gene supports (</w:t>
      </w:r>
      <m:oMath>
        <m:sSub>
          <m:e>
            <m:r>
              <m:t>n</m:t>
            </m:r>
          </m:e>
          <m:sub>
            <m:r>
              <m:rPr>
                <m:nor/>
                <m:sty m:val="p"/>
              </m:rPr>
              <m:t>top</m:t>
            </m:r>
          </m:sub>
        </m:sSub>
        <m:r>
          <m:rPr>
            <m:sty m:val="p"/>
          </m:rPr>
          <m:t>=</m:t>
        </m:r>
        <m:r>
          <m:t>270</m:t>
        </m:r>
      </m:oMath>
      <w:r>
        <w:rPr>
          <w:iCs/>
          <w:i/>
        </w:rPr>
        <w:t xml:space="preserve">) rather than on per-factor supports.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and consensus procedure.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tradeoff is between that higher discrimination and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Linehan cohort, because its trained coefficient is zero. No</w:t>
      </w:r>
      <w:r>
        <w:t xml:space="preserve"> </w:t>
      </w:r>
      <m:oMath>
        <m:sSub>
          <m:e>
            <m:r>
              <m:t>D</m:t>
            </m:r>
          </m:e>
          <m:sub>
            <m:r>
              <m:t>2</m:t>
            </m:r>
          </m:sub>
        </m:sSub>
      </m:oMath>
      <w:r>
        <w:t xml:space="preserve"> </w:t>
      </w:r>
      <w:r>
        <w:t xml:space="preserve">analysis is possible in O’Kane/COMPASS, whose specimens are laser-capture epithelium rather than bulk tissue.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2026-09-09T03:57:18Z</dcterms:created>
  <dcterms:modified xsi:type="dcterms:W3CDTF">2026-09-09T03:57:18Z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