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Survival-supervised</w:t>
      </w:r>
      <w:r>
        <w:t xml:space="preserve"> </w:t>
      </w:r>
      <w:r>
        <w:t xml:space="preserve">deconvolution</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w:t>
      </w:r>
      <w:r>
        <w:t xml:space="preserve"> </w:t>
      </w:r>
      <w:r>
        <w:t xml:space="preserve">reflects</w:t>
      </w:r>
      <w:r>
        <w:t xml:space="preserve"> </w:t>
      </w:r>
      <w:r>
        <w:t xml:space="preserve">both</w:t>
      </w:r>
      <w:r>
        <w:t xml:space="preserve"> </w:t>
      </w:r>
      <w:r>
        <w:t xml:space="preserve">malignant</w:t>
      </w:r>
      <w:r>
        <w:t xml:space="preserve"> </w:t>
      </w:r>
      <w:r>
        <w:t xml:space="preserve">and</w:t>
      </w:r>
      <w:r>
        <w:t xml:space="preserve"> </w:t>
      </w:r>
      <w:r>
        <w:t xml:space="preserve">stromal</w:t>
      </w:r>
      <w:r>
        <w:t xml:space="preserve"> </w:t>
      </w:r>
      <w:r>
        <w:t xml:space="preserve">state,</w:t>
      </w:r>
      <w:r>
        <w:t xml:space="preserve"> </w:t>
      </w:r>
      <w:r>
        <w:t xml:space="preserve">yet</w:t>
      </w:r>
      <w:r>
        <w:t xml:space="preserve"> </w:t>
      </w:r>
      <w:r>
        <w:t xml:space="preserve">transcriptomic</w:t>
      </w:r>
      <w:r>
        <w:t xml:space="preserve"> </w:t>
      </w:r>
      <w:r>
        <w:t xml:space="preserve">programs</w:t>
      </w:r>
      <w:r>
        <w:t xml:space="preserve"> </w:t>
      </w:r>
      <w:r>
        <w:t xml:space="preserve">are</w:t>
      </w:r>
      <w:r>
        <w:t xml:space="preserve"> </w:t>
      </w:r>
      <w:r>
        <w:t xml:space="preserve">typically</w:t>
      </w:r>
      <w:r>
        <w:t xml:space="preserve"> </w:t>
      </w:r>
      <w:r>
        <w:t xml:space="preserve">discovered</w:t>
      </w:r>
      <w:r>
        <w:t xml:space="preserve"> </w:t>
      </w:r>
      <w:r>
        <w:t xml:space="preserve">without</w:t>
      </w:r>
      <w:r>
        <w:t xml:space="preserve"> </w:t>
      </w:r>
      <w:r>
        <w:t xml:space="preserve">outcome</w:t>
      </w:r>
      <w:r>
        <w:t xml:space="preserve"> </w:t>
      </w:r>
      <w:r>
        <w:t xml:space="preserve">information</w:t>
      </w:r>
      <w:r>
        <w:t xml:space="preserve"> </w:t>
      </w:r>
      <w:r>
        <w:t xml:space="preserve">and</w:t>
      </w:r>
      <w:r>
        <w:t xml:space="preserve"> </w:t>
      </w:r>
      <w:r>
        <w:t xml:space="preserve">tested</w:t>
      </w:r>
      <w:r>
        <w:t xml:space="preserve"> </w:t>
      </w:r>
      <w:r>
        <w:t xml:space="preserve">against</w:t>
      </w:r>
      <w:r>
        <w:t xml:space="preserve"> </w:t>
      </w:r>
      <w:r>
        <w:t xml:space="preserve">survival</w:t>
      </w:r>
      <w:r>
        <w:t xml:space="preserve"> </w:t>
      </w:r>
      <w:r>
        <w:t xml:space="preserve">only</w:t>
      </w:r>
      <w:r>
        <w:t xml:space="preserve"> </w:t>
      </w:r>
      <w:r>
        <w:t xml:space="preserve">afterward.</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outcome</w:t>
      </w:r>
      <w:r>
        <w:t xml:space="preserve"> </w:t>
      </w:r>
      <w:r>
        <w:t xml:space="preserve">into</w:t>
      </w:r>
      <w:r>
        <w:t xml:space="preserve"> </w:t>
      </w:r>
      <w:r>
        <w:t xml:space="preserve">gene-program</w:t>
      </w:r>
      <w:r>
        <w:t xml:space="preserve"> </w:t>
      </w:r>
      <w:r>
        <w:t xml:space="preserve">estimation</w:t>
      </w:r>
      <w:r>
        <w:t xml:space="preserve"> </w:t>
      </w:r>
      <w:r>
        <w:t xml:space="preserve">and</w:t>
      </w:r>
      <w:r>
        <w:t xml:space="preserve"> </w:t>
      </w:r>
      <w:r>
        <w:t xml:space="preserve">holds</w:t>
      </w:r>
      <w:r>
        <w:t xml:space="preserve"> </w:t>
      </w:r>
      <w:r>
        <w:t xml:space="preserve">the</w:t>
      </w:r>
      <w:r>
        <w:t xml:space="preserve"> </w:t>
      </w:r>
      <w:r>
        <w:t xml:space="preserve">gene</w:t>
      </w:r>
      <w:r>
        <w:t xml:space="preserve"> </w:t>
      </w:r>
      <w:r>
        <w:t xml:space="preserve">weights</w:t>
      </w:r>
      <w:r>
        <w:t xml:space="preserve"> </w:t>
      </w:r>
      <w:r>
        <w:t xml:space="preserve">fixed</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direction</w:t>
      </w:r>
      <w:r>
        <w:t xml:space="preserve"> </w:t>
      </w:r>
      <w:r>
        <w:t xml:space="preserve">(D1)</w:t>
      </w:r>
      <w:r>
        <w:t xml:space="preserve"> </w:t>
      </w:r>
      <w:r>
        <w:t xml:space="preserve">linked</w:t>
      </w:r>
      <w:r>
        <w:t xml:space="preserve"> </w:t>
      </w:r>
      <w:r>
        <w:t xml:space="preserve">classical</w:t>
      </w:r>
      <w:r>
        <w:t xml:space="preserve"> </w:t>
      </w:r>
      <w:r>
        <w:t xml:space="preserve">tumor</w:t>
      </w:r>
      <w:r>
        <w:t xml:space="preserve"> </w:t>
      </w:r>
      <w:r>
        <w:t xml:space="preserve">identity</w:t>
      </w:r>
      <w:r>
        <w:t xml:space="preserve"> </w:t>
      </w:r>
      <w:r>
        <w:t xml:space="preserve">with</w:t>
      </w:r>
      <w:r>
        <w:t xml:space="preserve"> </w:t>
      </w:r>
      <w:r>
        <w:t xml:space="preserve">restCAF-like</w:t>
      </w:r>
      <w:r>
        <w:t xml:space="preserve"> </w:t>
      </w:r>
      <w:r>
        <w:t xml:space="preserve">stroma,</w:t>
      </w:r>
      <w:r>
        <w:t xml:space="preserve"> </w:t>
      </w:r>
      <w:r>
        <w:t xml:space="preserve">alongside</w:t>
      </w:r>
      <w:r>
        <w:t xml:space="preserve"> </w:t>
      </w:r>
      <w:r>
        <w:t xml:space="preserve">proCAF-like</w:t>
      </w:r>
      <w:r>
        <w:t xml:space="preserve"> </w:t>
      </w:r>
      <w:r>
        <w:t xml:space="preserve">stromal</w:t>
      </w:r>
      <w:r>
        <w:t xml:space="preserve"> </w:t>
      </w:r>
      <w:r>
        <w:t xml:space="preserve">and</w:t>
      </w:r>
      <w:r>
        <w:t xml:space="preserve"> </w:t>
      </w:r>
      <w:r>
        <w:t xml:space="preserve">basal-like</w:t>
      </w:r>
      <w:r>
        <w:t xml:space="preserve"> </w:t>
      </w:r>
      <w:r>
        <w:t xml:space="preserve">tumor</w:t>
      </w:r>
      <w:r>
        <w:t xml:space="preserve"> </w:t>
      </w:r>
      <w:r>
        <w:t xml:space="preserve">programs.</w:t>
      </w:r>
      <w:r>
        <w:t xml:space="preserve"> </w:t>
      </w:r>
      <w:r>
        <w:t xml:space="preserve">The</w:t>
      </w:r>
      <w:r>
        <w:t xml:space="preserve"> </w:t>
      </w:r>
      <w:r>
        <w:t xml:space="preserve">frozen</w:t>
      </w:r>
      <w:r>
        <w:t xml:space="preserve"> </w:t>
      </w:r>
      <w:r>
        <w:t xml:space="preserve">representation</w:t>
      </w:r>
      <w:r>
        <w:t xml:space="preserve"> </w:t>
      </w:r>
      <w:r>
        <w:t xml:space="preserve">transferred</w:t>
      </w:r>
      <w:r>
        <w:t xml:space="preserve"> </w:t>
      </w:r>
      <w:r>
        <w:t xml:space="preserve">across</w:t>
      </w:r>
      <w:r>
        <w:t xml:space="preserve"> </w:t>
      </w:r>
      <w:r>
        <w:t xml:space="preserve">five</w:t>
      </w:r>
      <w:r>
        <w:t xml:space="preserve"> </w:t>
      </w:r>
      <w:r>
        <w:t xml:space="preserve">external</w:t>
      </w:r>
      <w:r>
        <w:t xml:space="preserve"> </w:t>
      </w:r>
      <w:r>
        <w:t xml:space="preserve">datasets</w:t>
      </w:r>
      <w:r>
        <w:t xml:space="preserve"> </w:t>
      </w:r>
      <w:r>
        <w:t xml:space="preserve">spanning</w:t>
      </w:r>
      <w:r>
        <w:t xml:space="preserve"> </w:t>
      </w:r>
      <w:r>
        <w:t xml:space="preserve">four</w:t>
      </w:r>
      <w:r>
        <w:t xml:space="preserve"> </w:t>
      </w:r>
      <w:r>
        <w:t xml:space="preserve">independent</w:t>
      </w:r>
      <w:r>
        <w:t xml:space="preserve"> </w:t>
      </w:r>
      <w:r>
        <w:t xml:space="preserve">cohorts,</w:t>
      </w:r>
      <w:r>
        <w:t xml:space="preserve"> </w:t>
      </w:r>
      <w:r>
        <w:t xml:space="preserve">where</w:t>
      </w:r>
      <w:r>
        <w:t xml:space="preserve"> </w:t>
      </w:r>
      <w:r>
        <w:t xml:space="preserve">the</w:t>
      </w:r>
      <w:r>
        <w:t xml:space="preserve"> </w:t>
      </w:r>
      <w:r>
        <w:t xml:space="preserve">combined</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including</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and</w:t>
      </w:r>
      <w:r>
        <w:t xml:space="preserve"> </w:t>
      </w:r>
      <w:r>
        <w:t xml:space="preserve">D1</w:t>
      </w:r>
      <w:r>
        <w:t xml:space="preserve"> </w:t>
      </w:r>
      <w:r>
        <w:t xml:space="preserve">remained</w:t>
      </w:r>
      <w:r>
        <w:t xml:space="preserve"> </w:t>
      </w:r>
      <w:r>
        <w:t xml:space="preserve">prognostic</w:t>
      </w:r>
      <w:r>
        <w:t xml:space="preserve"> </w:t>
      </w:r>
      <w:r>
        <w:t xml:space="preserve">in</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treated</w:t>
      </w:r>
      <w:r>
        <w:t xml:space="preserve"> </w:t>
      </w:r>
      <w:r>
        <w:t xml:space="preserve">metastatic</w:t>
      </w:r>
      <w:r>
        <w:t xml:space="preserve"> </w:t>
      </w:r>
      <w:r>
        <w:t xml:space="preserve">disease.</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D1,</w:t>
      </w:r>
      <w:r>
        <w:t xml:space="preserve"> </w:t>
      </w:r>
      <w:r>
        <w:t xml:space="preserve">indicating</w:t>
      </w:r>
      <w:r>
        <w:t xml:space="preserve"> </w:t>
      </w:r>
      <w:r>
        <w:t xml:space="preserve">that</w:t>
      </w:r>
      <w:r>
        <w:t xml:space="preserve"> </w:t>
      </w:r>
      <w:r>
        <w:t xml:space="preserve">it</w:t>
      </w:r>
      <w:r>
        <w:t xml:space="preserve"> </w:t>
      </w:r>
      <w:r>
        <w:t xml:space="preserve">arose</w:t>
      </w:r>
      <w:r>
        <w:t xml:space="preserve"> </w:t>
      </w:r>
      <w:r>
        <w:t xml:space="preserve">from</w:t>
      </w:r>
      <w:r>
        <w:t xml:space="preserve"> </w:t>
      </w:r>
      <w:r>
        <w:t xml:space="preserve">survival</w:t>
      </w:r>
      <w:r>
        <w:t xml:space="preserve"> </w:t>
      </w:r>
      <w:r>
        <w:t xml:space="preserve">supervision</w:t>
      </w:r>
      <w:r>
        <w:t xml:space="preserve"> </w:t>
      </w:r>
      <w:r>
        <w:t xml:space="preserve">rather</w:t>
      </w:r>
      <w:r>
        <w:t xml:space="preserve"> </w:t>
      </w:r>
      <w:r>
        <w:t xml:space="preserve">than</w:t>
      </w:r>
      <w:r>
        <w:t xml:space="preserve"> </w:t>
      </w:r>
      <w:r>
        <w:t xml:space="preserve">model</w:t>
      </w:r>
      <w:r>
        <w:t xml:space="preserve"> </w:t>
      </w:r>
      <w:r>
        <w:t xml:space="preserve">size</w:t>
      </w:r>
      <w:r>
        <w:t xml:space="preserve"> </w:t>
      </w:r>
      <w:r>
        <w:t xml:space="preserve">or</w:t>
      </w:r>
      <w:r>
        <w:t xml:space="preserve"> </w:t>
      </w:r>
      <w:r>
        <w:t xml:space="preserve">computational</w:t>
      </w:r>
      <w:r>
        <w:t xml:space="preserve"> </w:t>
      </w:r>
      <w:r>
        <w:t xml:space="preserve">effort.</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such state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Whether a survival-aligned program spanning tumor and stromal compartments exists, and adds prognostic information beyond existing subtype classifications, remains unclear.</w:t>
      </w:r>
    </w:p>
    <w:p>
      <w:pPr>
        <w:pStyle w:val="BodyText"/>
      </w:pPr>
      <w:r>
        <w:t xml:space="preserve">Answering that requires survival-annotated cohorts at scale, which in PDAC still means bulk transcriptomic profiling</w:t>
      </w:r>
      <w:hyperlink w:anchor="ref-aung2018compass">
        <w:r>
          <w:rPr>
            <w:rStyle w:val="Hyperlink"/>
            <w:vertAlign w:val="superscript"/>
          </w:rPr>
          <w:t xml:space="preserve">9</w:t>
        </w:r>
      </w:hyperlink>
      <w:r>
        <w:t xml:space="preserve">. Bulk profiles mix signals from malignant and microenvironmental cells</w:t>
      </w:r>
      <w:hyperlink w:anchor="ref-nguyen2024fourteen">
        <w:r>
          <w:rPr>
            <w:rStyle w:val="Hyperlink"/>
            <w:vertAlign w:val="superscript"/>
          </w:rPr>
          <w:t xml:space="preserve">10</w:t>
        </w:r>
      </w:hyperlink>
      <w:r>
        <w:t xml:space="preserve">, but provide the scale that survival analysis requires. Nonnegative matrix factorization (NMF) and related deconvolution methods separate these composite profiles into interpretable gene programs: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11</w:t>
        </w:r>
      </w:hyperlink>
      <w:r>
        <w:rPr>
          <w:vertAlign w:val="superscript"/>
        </w:rPr>
        <w:t xml:space="preserve">–</w:t>
      </w:r>
      <w:hyperlink w:anchor="ref-peng2019novo">
        <w:r>
          <w:rPr>
            <w:rStyle w:val="Hyperlink"/>
            <w:vertAlign w:val="superscript"/>
          </w:rPr>
          <w:t xml:space="preserve">13</w:t>
        </w:r>
      </w:hyperlink>
      <w:r>
        <w:t xml:space="preserve">. In PDAC, such methods have yielded molecular subtypes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14</w:t>
        </w:r>
      </w:hyperlink>
      <w:r>
        <w:t xml:space="preserve">, virtual microdissection of basal-like and classical malignant programs</w:t>
      </w:r>
      <w:hyperlink w:anchor="ref-moffitt2015virtual">
        <w:r>
          <w:rPr>
            <w:rStyle w:val="Hyperlink"/>
            <w:vertAlign w:val="superscript"/>
          </w:rPr>
          <w:t xml:space="preserve">3</w:t>
        </w:r>
      </w:hyperlink>
      <w:r>
        <w:t xml:space="preserve">, and compartment-specific tumor–stroma deconvolution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13</w:t>
        </w:r>
      </w:hyperlink>
      <w:r>
        <w:t xml:space="preserve">. The practical challenge is therefore not simply to resolve interpretable gene programs, but to identify during discovery which programs are clinically relevant and to test those same programs unchanged across independent studies.</w:t>
      </w:r>
    </w:p>
    <w:p>
      <w:pPr>
        <w:pStyle w:val="BodyText"/>
      </w:pPr>
      <w:r>
        <w:t xml:space="preserve">Such deconvolution approaches typically discover gene programs without using clinical outcomes and assess their prognostic relevance only afterward</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14</w:t>
        </w:r>
      </w:hyperlink>
      <w:r>
        <w:t xml:space="preserve">. Standard NMF learns gene programs by minimizing reconstruction error, the mismatch between the measured expression matrix and the approximation rebuilt from the programs. Such variance-driven criteria favor patterns that capture prominent expression variation whether or not that variation is related to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distinction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 Reconstruction alone also does not uniquely determine the recovered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unsupervised PDAC subtype taxonomies</w:t>
      </w:r>
      <w:hyperlink w:anchor="ref-lautizi2022pancreatic">
        <w:r>
          <w:rPr>
            <w:rStyle w:val="Hyperlink"/>
            <w:vertAlign w:val="superscript"/>
          </w:rPr>
          <w:t xml:space="preserve">22</w:t>
        </w:r>
      </w:hyperlink>
      <w:r>
        <w:t xml:space="preserve">. Consequently, determining which unsupervised programs are both clinically relevant and transportable across studies has required extensive multi-study refinement. In PDAC, the basal-like/classical dichotomy was established and progressively validated over roughly a decade through iterative subtyping, virtual microdissection, independent bulk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9</w:t>
        </w:r>
      </w:hyperlink>
      <w:r>
        <w:t xml:space="preserve">; comparable work is now establishing the clinical relevance of stromal CAF subtypes</w:t>
      </w:r>
      <w:hyperlink w:anchor="ref-peng2024determination">
        <w:r>
          <w:rPr>
            <w:rStyle w:val="Hyperlink"/>
            <w:vertAlign w:val="superscript"/>
          </w:rPr>
          <w:t xml:space="preserve">5</w:t>
        </w:r>
      </w:hyperlink>
      <w:r>
        <w:t xml:space="preserve">.</w:t>
      </w:r>
    </w:p>
    <w:p>
      <w:pPr>
        <w:pStyle w:val="BodyText"/>
      </w:pPr>
      <w:r>
        <w:t xml:space="preserve">Conversely, survival-supervised models such as penalized Cox regression and supervised principal components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w:t>
      </w:r>
      <w:r>
        <w:t xml:space="preserve">can identify outcome-associated expression patterns. Such models may predict survival without organizing the prognostic signal into biologically interpretable tumor and microenvironmental programs, which is the form in which PDAC subtypes, and the single-sample classifiers built from them, have been defined</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 A risk score alone does not supply that substrate.</w:t>
      </w:r>
    </w:p>
    <w:p>
      <w:pPr>
        <w:pStyle w:val="BodyText"/>
      </w:pPr>
      <w:r>
        <w:t xml:space="preserve">Here, we present DeSurv, a survival-supervised deconvolution framework that integrates NMF with Cox regression so that survival helps shape gene programs as they are learned. By incorporating survival during factorization, DeSurv is designed to recover survival-aligned biological structure that may be obscured when other sources of expression variation dominate. Once learned, the gene weights defining each program, aggregated over many restarts by a consensus step, are held fixed, or frozen, allowing the same programs to be evaluated directly in independent cohorts without refitting the factorization. DeSurv therefore changes clinical relevance from a post hoc criterion used to select among unsupervised factors into a criterion that shapes the factors themselves, while making cross-study transportability a direct test of the same frozen gene programs. We evaluate DeSurv in PDAC across five external validation datasets spanning four independent patient cohorts, and use simulations in which the true underlying (latent) programs are known, to characterize when survival supervision improves recovery of prognostic programs.</w:t>
      </w:r>
    </w:p>
    <w:p>
      <w:pPr>
        <w:pStyle w:val="BodyText"/>
      </w:pPr>
      <w:r>
        <w:t xml:space="preserve">In PDAC, DeSurv identifies a three-program tumor–stroma architecture that reflects joint cross-patient variation rather than spatial or cellular organization within individual tumors. We compare it with NMF at higher rank (the number of programs the factorization extracts), with an unsupervised control matched on rank and tuning budget, and with conventional survival-supervised models, to isolate what survival supervision contributes to the representation itself.</w:t>
      </w:r>
    </w:p>
    <w:bookmarkStart w:id="40" w:name="results"/>
    <w:p>
      <w:pPr>
        <w:pStyle w:val="Heading1"/>
      </w:pPr>
      <w:r>
        <w:t xml:space="preserve">Results</w:t>
      </w:r>
    </w:p>
    <w:bookmarkStart w:id="23" w:name="X8586db5bf7253dd0c952f36d352c8547824c587"/>
    <w:p>
      <w:pPr>
        <w:pStyle w:val="Heading2"/>
      </w:pPr>
      <w:r>
        <w:t xml:space="preserve">DeSurv incorporates survival information into gene-program estimation</w:t>
      </w:r>
    </w:p>
    <w:p>
      <w:pPr>
        <w:pStyle w:val="FirstParagraph"/>
      </w:pPr>
      <w:r>
        <w:t xml:space="preserve">DeSurv learns gene programs by balancing reconstruction of the tumor transcriptome with association to patient survival. Unlike the conventional sequence of unsupervised factorization followed by post hoc clinical screening, survival directly shapes the gene programs during discovery. After training, the gene weights are fixed, allowing the same programs to be scored and tested in new tumors without refitting the factorization (Fig. [fig:schema]A; Methods). 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Settings were chosen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(Methods). Cross-validated concordance (the C-index, the probability that the model ranks a pair of patients in the correct survival order) was high across a broad region of intermediate supervision and moderate rank, declining toward the unsupervised</w:t>
      </w:r>
      <w:r>
        <w:t xml:space="preserve"> </w:t>
      </w:r>
      <m:oMath>
        <m:r>
          <m:t>α</m:t>
        </m:r>
        <m:r>
          <m:rPr>
            <m:sty m:val="p"/>
          </m:rPr>
          <m:t>=</m:t>
        </m:r>
        <m:r>
          <m:t>0</m:t>
        </m:r>
      </m:oMath>
      <w:r>
        <w:t xml:space="preserve"> </w:t>
      </w:r>
      <w:r>
        <w:t xml:space="preserve">boundary (Supplementary Fig. [fig:fig-si-bo-tuning]). Concordance changed little across the ranks examined, so we applied the one-standard-error rule, which takes the most parsimonious model within one standard error of the best, giving a three-program model (</w:t>
      </w:r>
      <m:oMath>
        <m:r>
          <m:t>k</m:t>
        </m:r>
        <m:r>
          <m:rPr>
            <m:sty m:val="p"/>
          </m:rPr>
          <m:t>=</m:t>
        </m:r>
        <m:r>
          <m:t>3</m:t>
        </m:r>
      </m:oMath>
      <w:r>
        <w:t xml:space="preserve">,</w:t>
      </w:r>
      <w:r>
        <w:t xml:space="preserve"> </w:t>
      </w:r>
      <m:oMath>
        <m:r>
          <m:t>α</m:t>
        </m:r>
        <m:r>
          <m:rPr>
            <m:sty m:val="p"/>
          </m:rPr>
          <m:t>=</m:t>
        </m:r>
        <m:r>
          <m:t>0.334</m:t>
        </m:r>
      </m:oMath>
      <w:r>
        <w:t xml:space="preserve">; peak C-index</w:t>
      </w:r>
      <w:r>
        <w:t xml:space="preserve"> </w:t>
      </w:r>
      <m:oMath>
        <m:r>
          <m:t>0.655</m:t>
        </m:r>
      </m:oMath>
      <w:r>
        <w:t xml:space="preserve">; Fig. [fig:schema]B and Supplementary Fig. [fig:fig-cindex-by-k]). By contrast, standard unsupervised NMF rank criteria (reconstruction residuals, cophenetic correlation and silhouette width</w:t>
      </w:r>
      <w:hyperlink w:anchor="ref-brunet2004metagenes">
        <w:r>
          <w:rPr>
            <w:rStyle w:val="Hyperlink"/>
            <w:vertAlign w:val="superscript"/>
          </w:rPr>
          <w:t xml:space="preserve">12</w:t>
        </w:r>
      </w:hyperlink>
      <w:r>
        <w:rPr>
          <w:vertAlign w:val="superscript"/>
        </w:rPr>
        <w:t xml:space="preserve">,</w:t>
      </w:r>
      <w:hyperlink w:anchor="ref-frigyesi2008nmf">
        <w:r>
          <w:rPr>
            <w:rStyle w:val="Hyperlink"/>
            <w:vertAlign w:val="superscript"/>
          </w:rPr>
          <w:t xml:space="preserve">28</w:t>
        </w:r>
      </w:hyperlink>
      <w:r>
        <w:t xml:space="preserve">) gave conflicting choices in the same data (Supplementary Fig. [fig:fig-nmf-diagnostics]). All model and hyperparameter selection was completed within the training cohorts before the programs were applied to external validation datasets.</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standard NMF) and survival prediction (</w:t>
      </w:r>
      <m:oMath>
        <m:r>
          <m:t>α</m:t>
        </m:r>
      </m:oMath>
      <w:r>
        <w:rPr>
          <w:iCs/>
          <w:i/>
        </w:rPr>
        <w:t xml:space="preserve"> </w:t>
      </w:r>
      <w:r>
        <w:rPr>
          <w:iCs/>
          <w:i/>
        </w:rPr>
        <w:t xml:space="preserve">close to 1). (B) The factorization rank (</w:t>
      </w:r>
      <m:oMath>
        <m:r>
          <m:t>k</m:t>
        </m:r>
      </m:oMath>
      <w:r>
        <w:rPr>
          <w:iCs/>
          <w:i/>
        </w:rPr>
        <w:t xml:space="preserve">), supervision strength (</w:t>
      </w:r>
      <m:oMath>
        <m:r>
          <m:t>α</m:t>
        </m:r>
      </m:oMath>
      <w:r>
        <w:rPr>
          <w:iCs/>
          <w:i/>
        </w:rPr>
        <w:t xml:space="preserve">), and regularization (</w:t>
      </w:r>
      <m:oMath>
        <m:r>
          <m:t>λ</m:t>
        </m:r>
      </m:oMath>
      <w:r>
        <w:rPr>
          <w:iCs/>
          <w:i/>
        </w:rPr>
        <w:t xml:space="preserve">) are selected via Bayesian optimization over cross-validated concordance index.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968f9d423f2b06a76921f90a46860bdbe5ffdf9"/>
    <w:p>
      <w:pPr>
        <w:pStyle w:val="Heading2"/>
      </w:pPr>
      <w:r>
        <w:t xml:space="preserve">Survival supervision resolves a distinct tumor–stroma program structure</w:t>
      </w:r>
    </w:p>
    <w:p>
      <w:pPr>
        <w:pStyle w:val="FirstParagraph"/>
      </w:pPr>
      <w:r>
        <w:t xml:space="preserve">To determine how survival supervision altered the biological representation, we compared DeSurv with standard NMF at the same rank (</w:t>
      </w:r>
      <m:oMath>
        <m:r>
          <m:t>k</m:t>
        </m:r>
        <m:r>
          <m:rPr>
            <m:sty m:val="p"/>
          </m:rPr>
          <m:t>=</m:t>
        </m:r>
        <m:r>
          <m:t>3</m:t>
        </m:r>
      </m:oMath>
      <w:r>
        <w:t xml:space="preserve">), thereby holding model complexity constant. DeSurv resolved three distinct programs (D1–D3): D1, enriched for classical tumor and restCAF-like stromal signatures; D2, enriched for proCAF-like stroma; and D3, enriched for basal-like tumor programs (Fig. [fig:pdac]a). Together, these programs define a tumor–stroma prognostic architecture spanning classical/restCAF-like and basal-like/proCAF-like states across patients. The classical identity of D1 was independently supported in the COMPASS cohort, where D1 scores correlated with GATA6 RNA in situ hybridization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produced a different representation at the same rank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DeSurv instead separated basal-like tumor (D3) and proCAF-like stroma (D2) while recovering the distinct classical/restCAF-like survival-aligned D1 program. Both methods corresponded comparably to the activated-stroma and proCAF-like reference programs, the stromal distinctions bulk deconvolution conventionally resolves, but differed at the restraining end: among the displayed top-ranked genes, the restCAF and iCAF reference programs corresponded to a DeSurv program and to no standard NMF factor (Fig. [fig:pdac]a,b).</w:t>
      </w:r>
    </w:p>
    <w:p>
      <w:pPr>
        <w:pStyle w:val="BodyText"/>
      </w:pPr>
      <w:r>
        <w:t xml:space="preserve">This difference reflected a selective reorganization rather than wholesale loss of expression structure. D1 accounted for the smallest share of the full model’s reconstruction gain,</w:t>
      </w:r>
      <w:r>
        <w:t xml:space="preserve"> </w:t>
      </w:r>
      <m:oMath>
        <m:r>
          <m:t>18.8</m:t>
        </m:r>
      </m:oMath>
      <w:r>
        <w:t xml:space="preserve">% (Shapley shares</w:t>
      </w:r>
      <w:hyperlink w:anchor="ref-shapley1953value">
        <w:r>
          <w:rPr>
            <w:rStyle w:val="Hyperlink"/>
            <w:vertAlign w:val="superscript"/>
          </w:rPr>
          <w:t xml:space="preserve">31</w:t>
        </w:r>
      </w:hyperlink>
      <w:r>
        <w:t xml:space="preserve">), yet carried essentially all of the survival signal (Fig. [fig:pdac]c). Omitting it lowered the Cox partial log-likelihood, the fit criterion of the Cox model, by</w:t>
      </w:r>
      <w:r>
        <w:t xml:space="preserve"> </w:t>
      </w:r>
      <m:oMath>
        <m:r>
          <m:t>66.4</m:t>
        </m:r>
      </m:oMath>
      <w:r>
        <w:t xml:space="preserve">, against</w:t>
      </w:r>
      <w:r>
        <w:t xml:space="preserve"> </w:t>
      </w:r>
      <m:oMath>
        <m:r>
          <m:t>1.0</m:t>
        </m:r>
      </m:oMath>
      <w:r>
        <w:t xml:space="preserve"> </w:t>
      </w:r>
      <w:r>
        <w:t xml:space="preserve">for D3 and</w:t>
      </w:r>
      <w:r>
        <w:t xml:space="preserve"> </w:t>
      </w:r>
      <m:oMath>
        <m:r>
          <m:t>0.02</m:t>
        </m:r>
      </m:oMath>
      <w:r>
        <w:t xml:space="preserve"> </w:t>
      </w:r>
      <w:r>
        <w:t xml:space="preserve">for D2, even though D3 accounted for</w:t>
      </w:r>
      <w:r>
        <w:t xml:space="preserve"> </w:t>
      </w:r>
      <m:oMath>
        <m:r>
          <m:t>56</m:t>
        </m:r>
      </m:oMath>
      <w:r>
        <w:t xml:space="preserve">% of it. Because D1 was estimated using these outcomes, its increment describes where the model placed the survival signal rather than testing whether that signal is real. The unsupervised factors are not subject to the same concern: they were fit without survival, and the largest reconstructor among them, at</w:t>
      </w:r>
      <w:r>
        <w:t xml:space="preserve"> </w:t>
      </w:r>
      <m:oMath>
        <m:r>
          <m:t>42</m:t>
        </m:r>
      </m:oMath>
      <w:r>
        <w:t xml:space="preserve">% of the reconstruction gain, lowered the partial log-likelihood by only</w:t>
      </w:r>
      <w:r>
        <w:t xml:space="preserve"> </w:t>
      </w:r>
      <m:oMath>
        <m:r>
          <m:t>1.16</m:t>
        </m:r>
      </m:oMath>
      <w:r>
        <w:t xml:space="preserve">.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were largely retained as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Spearman correlation of gene loadings over all analysed genes; Fig. [fig:pdac]d). Consistently, D1 was poorly reconstructable from the full set of NMF factors (</w:t>
      </w:r>
      <m:oMath>
        <m:sSup>
          <m:e>
            <m:r>
              <m:t>R</m:t>
            </m:r>
          </m:e>
          <m:sup>
            <m:r>
              <m:t>2</m:t>
            </m:r>
          </m:sup>
        </m:sSup>
        <m:r>
          <m:rPr>
            <m:sty m:val="p"/>
          </m:rPr>
          <m:t>=</m:t>
        </m:r>
        <m:r>
          <m:t>0.09</m:t>
        </m:r>
      </m:oMath>
      <w:r>
        <w:t xml:space="preserve">; Supplementary Table [tab:projection-r2]). DeSurv nonetheless reconstructed the analysis matrix only somewhat less completely than unsupervised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 at a measurable cost in reconstruction. Tuning effort does not appear to explain the difference. We repeated the comparison with an unsupervised model at the same rank, given DeSurv’s optimizer, its tuning budget and its consensus initialization (starting values pooled over many restarts). It recovered D2 (</w:t>
      </w:r>
      <m:oMath>
        <m:r>
          <m:t>ρ</m:t>
        </m:r>
        <m:r>
          <m:rPr>
            <m:sty m:val="p"/>
          </m:rPr>
          <m:t>=</m:t>
        </m:r>
        <m:r>
          <m:t>0.86</m:t>
        </m:r>
      </m:oMath>
      <w:r>
        <w:t xml:space="preserve">) and D3 (</w:t>
      </w:r>
      <m:oMath>
        <m:r>
          <m:t>ρ</m:t>
        </m:r>
        <m:r>
          <m:rPr>
            <m:sty m:val="p"/>
          </m:rPr>
          <m:t>=</m:t>
        </m:r>
        <m:r>
          <m:t>0.75</m:t>
        </m:r>
      </m:oMath>
      <w:r>
        <w:t xml:space="preserve">) as before, but recovered D1 no better than the standard implementation did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w:t>
      </w:r>
      <w:r>
        <w:rPr>
          <w:iCs/>
          <w:i/>
        </w:rPr>
        <w:t xml:space="preserve"> </w:t>
      </w:r>
      <m:oMath>
        <m:r>
          <m:t>r</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labelled SCISSORS: restCAF and SCISSORS: proCAF display the SCISSORS iCAF and myCAF gene sets under the naming used by the DeCAF classification (Supplementary Information). (c) Per-factor reconstruction contribution (normalized Shapley share, summing to 100%) versus survival contribution (</w:t>
      </w:r>
      <m:oMath>
        <m:r>
          <m:t>Δ</m:t>
        </m:r>
      </m:oMath>
      <w:r>
        <w:rPr>
          <w:iCs/>
          <w:i/>
        </w:rPr>
        <w:t xml:space="preserve"> </w:t>
      </w:r>
      <w:r>
        <w:rPr>
          <w:iCs/>
          <w:i/>
        </w:rPr>
        <w:t xml:space="preserve">Cox partial log-likelihood on factor removal). Because D1 was estimated using these survival outcomes, its increment describes where the model placed the survival signal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c3738784e7570d272abf5aed7e47dc454451282"/>
    <w:p>
      <w:pPr>
        <w:pStyle w:val="Heading2"/>
      </w:pPr>
      <w:r>
        <w:t xml:space="preserve">Frozen survival-aligned programs retain prognostic relevance across independent untreated and treated PDAC cohorts</w:t>
      </w:r>
    </w:p>
    <w:p>
      <w:pPr>
        <w:pStyle w:val="FirstParagraph"/>
      </w:pPr>
      <w:r>
        <w:t xml:space="preserve">We next applied the frozen programs to five external validation datasets spanning four independent patient cohorts (Dijk, Moffitt, PACA-AU [array and RNA-seq], and Puleo; non-metastatic, treatment-naive; Supplementary Table [tab:cohorts]). Each tumor was scored by projecting its expression onto the trained programs, restricted to their top-ranked genes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giving</w:t>
      </w:r>
      <w:r>
        <w:t xml:space="preserve"> </w:t>
      </w:r>
      <m:oMath>
        <m:r>
          <m:t>570</m:t>
        </m:r>
      </m:oMath>
      <w:r>
        <w:t xml:space="preserve"> </w:t>
      </w:r>
      <w:r>
        <w:t xml:space="preserve">unique patients (388 deaths; Methods). The survival-aligned D1 program was protective in every validation dataset and was the only individual program associated with survival in the combined, cohort-stratified analysis (HR per SD</w:t>
      </w:r>
      <w:r>
        <w:t xml:space="preserve"> </w:t>
      </w:r>
      <m:oMath>
        <m:r>
          <m:t>0.75</m:t>
        </m:r>
      </m:oMath>
      <w:r>
        <w:t xml:space="preserve"> </w:t>
      </w:r>
      <w:r>
        <w:t xml:space="preserve">(</w:t>
      </w:r>
      <m:oMath>
        <m:r>
          <m:t>0.68</m:t>
        </m:r>
      </m:oMath>
      <w:r>
        <w:t xml:space="preserve">–</w:t>
      </w:r>
      <m:oMath>
        <m:r>
          <m:t>0.83</m:t>
        </m:r>
      </m:oMath>
      <w:r>
        <w:t xml:space="preserve">),</w:t>
      </w:r>
      <w:r>
        <w:t xml:space="preserve"> </w:t>
      </w:r>
      <m:oMath>
        <m:r>
          <m:t>P</m:t>
        </m:r>
      </m:oMath>
      <w:r>
        <w:t xml:space="preserve"> </w:t>
      </w:r>
      <w:r>
        <w:t xml:space="preserve">&lt;0.001). D3 pointed toward higher risk in four of the five datasets but was not significant in any of them, nor combined (</w:t>
      </w:r>
      <m:oMath>
        <m:r>
          <m:t>1.09</m:t>
        </m:r>
      </m:oMath>
      <w:r>
        <w:t xml:space="preserve"> </w:t>
      </w:r>
      <w:r>
        <w:t xml:space="preserve">(</w:t>
      </w:r>
      <m:oMath>
        <m:r>
          <m:t>0.98</m:t>
        </m:r>
      </m:oMath>
      <w:r>
        <w:t xml:space="preserve">–</w:t>
      </w:r>
      <m:oMath>
        <m:r>
          <m:t>1.21</m:t>
        </m:r>
      </m:oMath>
      <w:r>
        <w:t xml:space="preserve">),</w:t>
      </w:r>
      <w:r>
        <w:t xml:space="preserve"> </w:t>
      </w:r>
      <m:oMath>
        <m:r>
          <m:t>P</m:t>
        </m:r>
        <m:r>
          <m:rPr>
            <m:sty m:val="p"/>
          </m:rPr>
          <m:t>=</m:t>
        </m:r>
        <m:r>
          <m:t>0.10</m:t>
        </m:r>
      </m:oMath>
      <w:r>
        <w:t xml:space="preserve">), and the proCAF-like D2 program was near-null (</w:t>
      </w:r>
      <m:oMath>
        <m:r>
          <m:t>1.02</m:t>
        </m:r>
      </m:oMath>
      <w:r>
        <w:t xml:space="preserve"> </w:t>
      </w:r>
      <w:r>
        <w:t xml:space="preserve">(</w:t>
      </w:r>
      <m:oMath>
        <m:r>
          <m:t>0.92</m:t>
        </m:r>
      </m:oMath>
      <w:r>
        <w:t xml:space="preserve">–</w:t>
      </w:r>
      <m:oMath>
        <m:r>
          <m:t>1.12</m:t>
        </m:r>
      </m:oMath>
      <w:r>
        <w:t xml:space="preserve">),</w:t>
      </w:r>
      <w:r>
        <w:t xml:space="preserve"> </w:t>
      </w:r>
      <m:oMath>
        <m:r>
          <m:t>P</m:t>
        </m:r>
        <m:r>
          <m:rPr>
            <m:sty m:val="p"/>
          </m:rPr>
          <m:t>=</m:t>
        </m:r>
        <m:r>
          <m:t>0.76</m:t>
        </m:r>
      </m:oMath>
      <w:r>
        <w:t xml:space="preserve">) and more variable (Fig. [fig:val]a). The frozen multivariable DeSurv linear predictor, the weighted sum of the three program scores (oriented so that higher values indicate higher risk), was associated with overall survival in a cohort-stratified analysis (pooled HR per SD</w:t>
      </w:r>
      <w:r>
        <w:t xml:space="preserve"> </w:t>
      </w:r>
      <m:oMath>
        <m:r>
          <m:rPr>
            <m:sty m:val="p"/>
          </m:rPr>
          <m:t>=</m:t>
        </m:r>
        <m:r>
          <m:t>1.42</m:t>
        </m:r>
      </m:oMath>
      <w:r>
        <w:t xml:space="preserve">,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The estimate did not depend on any single dataset (Fig. [fig:val]a). At the same complexity, unsupervised predictors were not associated with survival, whether tuned by DeSurv’s own budget or not (Table [tab:hr-adjusted]).</w:t>
      </w:r>
    </w:p>
    <w:p>
      <w:pPr>
        <w:pStyle w:val="BodyText"/>
      </w:pPr>
      <w:r>
        <w:t xml:space="preserve">We then asked whether comparable prognostic performance could be achieved without survival-supervised deconvolution. The two methods differ most in how their performance depends on rank (Supplementary Fig. [fig:fig-cindex-by-k]). DeSurv reaches essentially its full cross-validated concordance at the smallest ranks examined and is flat thereafter, so added factors buy it nothing. Unsupervised NMF starts well below DeSurv at low rank and climbs steadily as factors are added, closing most but not all of the gap by the largest rank examined; across this range its cross-validated concordance does not reach the value DeSurv attains at</w:t>
      </w:r>
      <w:r>
        <w:t xml:space="preserve"> </w:t>
      </w:r>
      <m:oMath>
        <m:r>
          <m:t>k</m:t>
        </m:r>
        <m:r>
          <m:rPr>
            <m:sty m:val="p"/>
          </m:rPr>
          <m:t>=</m:t>
        </m:r>
        <m:r>
          <m:t>3</m:t>
        </m:r>
      </m:oMath>
      <w:r>
        <w:t xml:space="preserve">, except at a single rank where the DeSurv curve itself dips. Unsupervised factorization therefore requires many more factors to approach the same cross-validated prognostic information. In external validation, at the rank where it does best, those factors redundantly overlap the same established signatures rather than resolving additional biology (Supplementary Fig. [fig:fig-nmf-k7-heatmap]). Survival supervision is thus not required to recover prognostic signal, but it concentrates that signal into a decomposition less than half the size (Table [tab:hr-adjusted]; Supplementary Table [tab:tab-cindex-comparison]).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factor; the platform-specific PACA-AU array and RNA-seq estimates are shown separately, and the black diamonds denote the combined estimate over unique patients (per-factor cohort-stratified Cox on the de-duplicated patient-level data;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Spearman</w:t>
      </w:r>
      <w:r>
        <w:rPr>
          <w:iCs/>
          <w:i/>
        </w:rPr>
        <w:t xml:space="preserve"> </w:t>
      </w:r>
      <m:oMath>
        <m:r>
          <m:t>r</m:t>
        </m:r>
        <m:r>
          <m:rPr>
            <m:sty m:val="p"/>
          </m:rPr>
          <m:t>|</m:t>
        </m:r>
      </m:oMath>
      <w:r>
        <w:rPr>
          <w:iCs/>
          <w:i/>
        </w:rPr>
        <w:t xml:space="preserve">) of tuned supervised risk scores (penalized Cox and supervised PCA) with the three DeSurv programs (D1–D3); supervised scores concentrate on D1 and are only weakly correlated with the D2 stromal program.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SD (95% CI),</w:t>
            </w:r>
            <w:r>
              <w:t xml:space="preserve"> </w:t>
            </w:r>
            <m:oMath>
              <m:r>
                <m:t>P</m:t>
              </m:r>
            </m:oMath>
          </w:p>
        </w:tc>
        <w:tc>
          <w:tcPr/>
          <w:p>
            <w:pPr>
              <w:pStyle w:val="Compact"/>
              <w:jc w:val="left"/>
            </w:pPr>
            <w:r>
              <w:t xml:space="preserve">Adjusted HR per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Unsupervised, matched rank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Unsupervised NMF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hazard ratios (per SD of the linear predictor) for DeSurv at</w:t>
      </w:r>
      <w:r>
        <w:rPr>
          <w:iCs/>
          <w:i/>
        </w:rPr>
        <w:t xml:space="preserve"> </w:t>
      </w:r>
      <m:oMath>
        <m:r>
          <m:t>k</m:t>
        </m:r>
        <m:r>
          <m:rPr>
            <m:sty m:val="p"/>
          </m:rPr>
          <m:t>=</m:t>
        </m:r>
        <m:r>
          <m:t>3</m:t>
        </m:r>
      </m:oMath>
      <w:r>
        <w:rPr>
          <w:iCs/>
          <w:i/>
        </w:rPr>
        <w:t xml:space="preserve"> </w:t>
      </w:r>
      <w:r>
        <w:rPr>
          <w:iCs/>
          <w:i/>
        </w:rPr>
        <w:t xml:space="preserve">and standard NMF at BO-selected</w:t>
      </w:r>
      <w:r>
        <w:rPr>
          <w:iCs/>
          <w:i/>
        </w:rPr>
        <w:t xml:space="preserve"> </w:t>
      </w:r>
      <m:oMath>
        <m:r>
          <m:t>k</m:t>
        </m:r>
        <m:r>
          <m:rPr>
            <m:sty m:val="p"/>
          </m:rPr>
          <m:t>=</m:t>
        </m:r>
        <m:r>
          <m:t>7</m:t>
        </m:r>
      </m:oMath>
      <w:r>
        <w:rPr>
          <w:iCs/>
          <w:i/>
        </w:rPr>
        <w:t xml:space="preserve"> </w:t>
      </w:r>
      <w:r>
        <w:rPr>
          <w:iCs/>
          <w:i/>
        </w:rPr>
        <w:t xml:space="preserve">(</w:t>
      </w:r>
      <m:oMath>
        <m:r>
          <m:t>α</m:t>
        </m:r>
        <m:r>
          <m:rPr>
            <m:sty m:val="p"/>
          </m:rPr>
          <m:t>=</m:t>
        </m:r>
        <m:r>
          <m:t>0</m:t>
        </m:r>
      </m:oMath>
      <w:r>
        <w:rPr>
          <w:iCs/>
          <w:i/>
        </w:rPr>
        <w:t xml:space="preserve">), across five validation datasets spanning four independent patient cohorts (combined</w:t>
      </w:r>
      <w:r>
        <w:rPr>
          <w:iCs/>
          <w:i/>
        </w:rPr>
        <w:t xml:space="preserve"> </w:t>
      </w:r>
      <m:oMath>
        <m:r>
          <m:t>n</m:t>
        </m:r>
        <m:r>
          <m:rPr>
            <m:sty m:val="p"/>
          </m:rPr>
          <m:t>=</m:t>
        </m:r>
        <m:r>
          <m:t>570</m:t>
        </m:r>
      </m:oMath>
      <w:r>
        <w:rPr>
          <w:iCs/>
          <w:i/>
        </w:rPr>
        <w:t xml:space="preserve"> </w:t>
      </w:r>
      <w:r>
        <w:rPr>
          <w:iCs/>
          <w:i/>
        </w:rPr>
        <w:t xml:space="preserve">unique patients, 388 deaths). Adjusted models include the PurIST tumor-intrinsic and DeCAF stromal molecular classifiers as covariates, with stratification by dataset, and are restricted to the</w:t>
      </w:r>
      <w:r>
        <w:rPr>
          <w:iCs/>
          <w:i/>
        </w:rPr>
        <w:t xml:space="preserve"> </w:t>
      </w:r>
      <m:oMath>
        <m:r>
          <m:t>n</m:t>
        </m:r>
        <m:r>
          <m:rPr>
            <m:sty m:val="p"/>
          </m:rPr>
          <m:t>=</m:t>
        </m:r>
        <m:r>
          <m:t>570</m:t>
        </m:r>
      </m:oMath>
      <w:r>
        <w:rPr>
          <w:iCs/>
          <w:i/>
        </w:rPr>
        <w:t xml:space="preserve"> </w:t>
      </w:r>
      <w:r>
        <w:rPr>
          <w:iCs/>
          <w:i/>
        </w:rPr>
        <w:t xml:space="preserve">patients (388 deaths) with both classifier calls available. Both methods retain significant prognostic value after adjustment. Both unsupervised comparators shown here are the unsupervised limit of the same optimizer, run at</w:t>
      </w:r>
      <w:r>
        <w:rPr>
          <w:iCs/>
          <w:i/>
        </w:rPr>
        <w:t xml:space="preserve"> </w:t>
      </w:r>
      <m:oMath>
        <m:r>
          <m:t>α</m:t>
        </m:r>
        <m:r>
          <m:rPr>
            <m:sty m:val="p"/>
          </m:rPr>
          <m:t>=</m:t>
        </m:r>
        <m:r>
          <m:t>0</m:t>
        </m:r>
      </m:oMath>
      <w:r>
        <w:rPr>
          <w:iCs/>
          <w:i/>
        </w:rPr>
        <w:t xml:space="preserve"> </w:t>
      </w:r>
      <w:r>
        <w:rPr>
          <w:iCs/>
          <w:i/>
        </w:rPr>
        <w:t xml:space="preserve">with the identical consensus initialization and Bayesian-optimization budget given to the supervised model: one at its own BO-selected rank (</w:t>
      </w:r>
      <m:oMath>
        <m:r>
          <m:t>k</m:t>
        </m:r>
        <m:r>
          <m:rPr>
            <m:sty m:val="p"/>
          </m:rPr>
          <m:t>=</m:t>
        </m:r>
        <m:r>
          <m:t>7</m:t>
        </m:r>
      </m:oMath>
      <w:r>
        <w:rPr>
          <w:iCs/>
          <w:i/>
        </w:rPr>
        <w:t xml:space="preserve">) and one held at DeSurv’s rank (</w:t>
      </w:r>
      <m:oMath>
        <m:r>
          <m:t>k</m:t>
        </m:r>
        <m:r>
          <m:rPr>
            <m:sty m:val="p"/>
          </m:rPr>
          <m:t>=</m:t>
        </m:r>
        <m:r>
          <m:t>3</m:t>
        </m:r>
      </m:oMath>
      <w:r>
        <w:rPr>
          <w:iCs/>
          <w:i/>
        </w:rPr>
        <w:t xml:space="preserve">), the latter serving as the tuning-budget control for the representational comparison in Fig. [fig:pdac]. The matched-rank comparator used for the factor-structure panels of Fig. [fig:pdac] is Lee multiplicative NMF, the field-standard implementation (Supplementary Table [tab:tab-cindex-comparison]).</w:t>
      </w:r>
    </w:p>
    <w:p>
      <w:pPr>
        <w:pStyle w:val="BodyText"/>
      </w:pPr>
      <w:r>
        <w:t xml:space="preserve">The programs above were learned in treatment-naive, non-metastatic disease. Projected without retraining into independently treated PDAC cohorts, the survival-aligned D1 program remained associated with overall survival in treated metastatic disease under an arm-stratified analysis, and the proCAF-like D2 program increased after treatment (Fig. [fig:treated]; Supplementary Information, Translational transportability).</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independently treated PDAC cohorts. (a) Prognostic transportability of D1 in treated metastatic PDAC. Forest plot of hazard ratios per SD of the frozen D1 score within each O’Kane/COMPASS treatment arm (FOLFIRINOX, gemcitabine/nab-paclitaxel [GA], and GA/experimental); the diamond is the common association from an arm-stratified Cox model with treatment-specific baseline hazards (not a pooled-arm estimate),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Error bars denote 95% confidence intervals. Because treatment, stage and cohort were not independently varied, these analyses establish prognostic and biological transportability rather than treatment-predictive effects.</w:t>
      </w:r>
    </w:p>
    <w:bookmarkEnd w:id="34"/>
    <w:bookmarkStart w:id="35" w:name="Xc85d0fb284a89b89cca4758c3d7e32a56f748e1"/>
    <w:p>
      <w:pPr>
        <w:pStyle w:val="Heading2"/>
      </w:pPr>
      <w:r>
        <w:t xml:space="preserve">The survival-aligned structure is not method-specific and is complementary to established PDAC classifiers</w:t>
      </w:r>
    </w:p>
    <w:p>
      <w:pPr>
        <w:pStyle w:val="FirstParagraph"/>
      </w:pPr>
      <w:r>
        <w:t xml:space="preserve">We next asked whether the dominant D1 direction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variance in the continuous D1 score, indicating substantial alignment with known tumor-intrinsic and stromal subtypes but incomplete overlap. This is an ordinary</w:t>
      </w:r>
      <w:r>
        <w:t xml:space="preserve"> </w:t>
      </w:r>
      <m:oMath>
        <m:sSup>
          <m:e>
            <m:r>
              <m:t>R</m:t>
            </m:r>
          </m:e>
          <m:sup>
            <m:r>
              <m:t>2</m:t>
            </m:r>
          </m:sup>
        </m:sSup>
      </m:oMath>
      <w:r>
        <w:t xml:space="preserve"> </w:t>
      </w:r>
      <w:r>
        <w:t xml:space="preserve">from a linear model with cohort fixed effects, fitted to D1 scores standardized within cohort. D1 remained associated with survival after simultaneous adjustment for both classifiers (HR per SD</w:t>
      </w:r>
      <w:r>
        <w:t xml:space="preserve"> </w:t>
      </w:r>
      <m:oMath>
        <m:r>
          <m:rPr>
            <m:sty m:val="p"/>
          </m:rPr>
          <m:t>=</m:t>
        </m:r>
        <m:r>
          <m:t>0.82</m:t>
        </m:r>
      </m:oMath>
      <w:r>
        <w:t xml:space="preserve">,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stratified Cox model containing PurIST and DeCAF improved model fit (partial likelihood-ratio</w:t>
      </w:r>
      <w:r>
        <w:t xml:space="preserve"> </w:t>
      </w:r>
      <m:oMath>
        <m:sSup>
          <m:e>
            <m:r>
              <m:t>χ</m:t>
            </m:r>
          </m:e>
          <m:sup>
            <m:r>
              <m:t>2</m:t>
            </m:r>
          </m:sup>
        </m:sSup>
        <m:r>
          <m:rPr>
            <m:sty m:val="p"/>
          </m:rPr>
          <m:t>=</m:t>
        </m:r>
        <m:r>
          <m:t>10.1</m:t>
        </m:r>
      </m:oMath>
      <w:r>
        <w:t xml:space="preserve"> </w:t>
      </w:r>
      <w:r>
        <w:t xml:space="preserve">on 1 df,</w:t>
      </w:r>
      <w:r>
        <w:t xml:space="preserve"> </w:t>
      </w:r>
      <m:oMath>
        <m:r>
          <m:t>P</m:t>
        </m:r>
        <m:r>
          <m:rPr>
            <m:sty m:val="p"/>
          </m:rPr>
          <m:t>=</m:t>
        </m:r>
        <m:r>
          <m:t>0.0015</m:t>
        </m:r>
      </m:oMath>
      <w:r>
        <w:t xml:space="preserve">) and concordance from 0.592 to 0.622. The DeSurv linear predictor also remained prognostic after adjustment for standard clinical covariates. Because D1 spans tumor and stromal programs, we asked whether it tracks tumor purity. Where purity was measured on a full cohort the association was essentially unchanged (PACA-AU array, 1.44 unadjusted versus 1.45 adjusted; RNA-seq, 1.66 versus 1.65), arguing against a purity artifact (Supplementary Table [tab:clinical-adjustment]). Thus, the survival-aligned representation overlaps established tumor and stromal classifications without being reducible to them.</w:t>
      </w:r>
    </w:p>
    <w:p>
      <w:pPr>
        <w:pStyle w:val="BodyText"/>
      </w:pPr>
      <w:r>
        <w:t xml:space="preserve">The dominant D1 direction was also not specific to the DeSurv optimizer. Three independent survival-supervised approaches, in simple single-component form (supervised principal components, Cox partial least squares and sparse Cox), recovered patient scores strongly correlated with D1 in the training cohort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The leading unsupervised principal component was only weakly correlated with D1 (</w:t>
      </w:r>
      <m:oMath>
        <m:d>
          <m:dPr>
            <m:begChr m:val="|"/>
            <m:endChr m:val="|"/>
            <m:sepChr m:val=""/>
            <m:grow/>
          </m:dPr>
          <m:e>
            <m:r>
              <m:t>r</m:t>
            </m:r>
          </m:e>
        </m:d>
        <m:r>
          <m:rPr>
            <m:sty m:val="p"/>
          </m:rPr>
          <m:t>=</m:t>
        </m:r>
        <m:r>
          <m:t>0.10</m:t>
        </m:r>
      </m:oMath>
      <w:r>
        <w:t xml:space="preserve">) and instead tracked higher-variance D2/D3 structure (Supplementary Information, The D1 axis is not specific to DeSurv). Thus, D1 reflects a survival-associated expression direction shared across supervised approaches rather than an idiosyncrasy of DeSurv.</w:t>
      </w:r>
    </w:p>
    <w:p>
      <w:pPr>
        <w:pStyle w:val="BodyText"/>
      </w:pPr>
      <w:r>
        <w:t xml:space="preserve">Having established that D1 is not specific to DeSurv, we asked what DeSurv adds beyond recovering it. Independently tuned supervised principal components and penalized Cox achieved pooled external concordance comparable to DeSurv (C-index</w:t>
      </w:r>
      <w:r>
        <w:t xml:space="preserve"> </w:t>
      </w:r>
      <m:oMath>
        <m:r>
          <m:t>0.60</m:t>
        </m:r>
      </m:oMath>
      <w:r>
        <w:t xml:space="preserve">,</w:t>
      </w:r>
      <w:r>
        <w:t xml:space="preserve"> </w:t>
      </w:r>
      <m:oMath>
        <m:r>
          <m:t>0.60</m:t>
        </m:r>
      </m:oMath>
      <w:r>
        <w:t xml:space="preserve"> </w:t>
      </w:r>
      <w:r>
        <w:t xml:space="preserve">and</w:t>
      </w:r>
      <w:r>
        <w:t xml:space="preserve"> </w:t>
      </w:r>
      <m:oMath>
        <m:r>
          <m:t>0.61</m:t>
        </m:r>
      </m:oMath>
      <w:r>
        <w:t xml:space="preserve">, respectively) and captured the dominant D1-associated prognostic direction. Their selected genes, however, were consistently enriched for basal-like tumor programs but not proCAF, restCAF, immune or exocrine programs. Their risk scores were weakly correlated with the separately resolved proCAF-like D2 program (penalized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Although these scores retained modest stromal signal, they did not resolve it as a distinct stromal program (Supplementary Information). DeSurv instead places that direction within a fixed set of tumor and stromal programs that can be measured and interpreted separately, and applied unchanged to new cohorts.</w:t>
      </w:r>
    </w:p>
    <w:bookmarkEnd w:id="35"/>
    <w:bookmarkStart w:id="39" w:name="Xe08489e8434747977d39de78e7d94357dd982f4"/>
    <w:p>
      <w:pPr>
        <w:pStyle w:val="Heading2"/>
      </w:pPr>
      <w:r>
        <w:t xml:space="preserve">DeSurv recovers prognostic gene programs when variance and prognosis diverge</w:t>
      </w:r>
    </w:p>
    <w:p>
      <w:pPr>
        <w:pStyle w:val="FirstParagraph"/>
      </w:pPr>
      <w:r>
        <w:t xml:space="preserve">We used simulations with known latent structure to characterize when survival supervision alters program recovery. In the primary scenario, the gene program driving survival contributed less transcriptomic variation than outcome-neutral programs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true</w:t>
      </w:r>
      <w:r>
        <w:t xml:space="preserve"> </w:t>
      </w:r>
      <m:oMath>
        <m:r>
          <m:t>k</m:t>
        </m:r>
        <m:r>
          <m:rPr>
            <m:sty m:val="p"/>
          </m:rPr>
          <m:t>=</m:t>
        </m:r>
        <m:r>
          <m:t>3</m:t>
        </m:r>
      </m:oMath>
      <w:r>
        <w:t xml:space="preserve">; Methods, Simulation studies), so that the strongest sources of expression variation were not the most prognostically relevant. DeSurv and standard NMF (</w:t>
      </w:r>
      <m:oMath>
        <m:r>
          <m:t>α</m:t>
        </m:r>
        <m:r>
          <m:rPr>
            <m:sty m:val="p"/>
          </m:rPr>
          <m:t>=</m:t>
        </m:r>
        <m:r>
          <m:t>0</m:t>
        </m:r>
      </m:oMath>
      <w:r>
        <w:t xml:space="preserve">) were tuned using the same cross-validation procedure, isolating the effect of survival supervision during factorization.</w:t>
      </w:r>
    </w:p>
    <w:p>
      <w:pPr>
        <w:pStyle w:val="BodyText"/>
      </w:pPr>
      <w:r>
        <w:t xml:space="preserve">Under this setting, DeSurv more accurately recovered the genes defining the true prognostic program, whereas standard NMF largely followed variance-dominant structure (Fig. [fig:sim]a–b). This distinction is important because the genes assigned to a recovered program, not only its ability to rank patients by risk, determine its subsequent biological interpretation and its potential use in candidate signatures or biomarker development. Across 100 replicates, median test-set C-index was</w:t>
      </w:r>
      <w:r>
        <w:t xml:space="preserve"> </w:t>
      </w:r>
      <m:oMath>
        <m:r>
          <m:t>0.837</m:t>
        </m:r>
      </m:oMath>
      <w:r>
        <w:t xml:space="preserve"> </w:t>
      </w:r>
      <w:r>
        <w:t xml:space="preserve">for DeSurv versus</w:t>
      </w:r>
      <w:r>
        <w:t xml:space="preserve"> </w:t>
      </w:r>
      <m:oMath>
        <m:r>
          <m:t>0.724</m:t>
        </m:r>
      </m:oMath>
      <w:r>
        <w:t xml:space="preserve"> </w:t>
      </w:r>
      <w:r>
        <w:t xml:space="preserve">for standard NMF (</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factorization rank (</w:t>
      </w:r>
      <m:oMath>
        <m:r>
          <m:t>k</m:t>
        </m:r>
        <m:r>
          <m:rPr>
            <m:sty m:val="p"/>
          </m:rPr>
          <m:t>=</m:t>
        </m:r>
        <m:r>
          <m:t>3</m:t>
        </m:r>
      </m:oMath>
      <w:r>
        <w:t xml:space="preserve">) more frequently (Fig. [fig:sim]c).</w:t>
      </w:r>
    </w:p>
    <w:p>
      <w:pPr>
        <w:pStyle w:val="BodyText"/>
      </w:pPr>
      <w:r>
        <w:t xml:space="preserve">The advantage depended on the relationship between transcriptomic variance and prognosis. It attenuated when prognostic and variance-dominant structure partially overlapped and disappeared under the null, where neither method identified prognostic signal (Supplementary Fig. [fig:fig-sim-null-mixed]). In the mixed setting, the advantage remained strongest for recovery of the factor-specific marker genes rather than shared background survival genes, supporting a specific effect of supervision on identifying the genes that define the prognostic program.</w:t>
      </w:r>
    </w:p>
    <w:p>
      <w:pPr>
        <w:pStyle w:val="BodyText"/>
      </w:pPr>
      <w:r>
        <w:drawing>
          <wp:inline>
            <wp:extent cx="5334000" cy="4923692"/>
            <wp:effectExtent b="0" l="0" r="0" t="0"/>
            <wp:docPr descr="" title="" id="37" name="Picture"/>
            <a:graphic>
              <a:graphicData uri="http://schemas.openxmlformats.org/drawingml/2006/picture">
                <pic:pic>
                  <pic:nvPicPr>
                    <pic:cNvPr descr=".docx_media/figures_fig2_tcgacptac.png" id="38" name="Picture"/>
                    <pic:cNvPicPr>
                      <a:picLocks noChangeArrowheads="1" noChangeAspect="1"/>
                    </pic:cNvPicPr>
                  </pic:nvPicPr>
                  <pic:blipFill>
                    <a:blip r:embed="rId36"/>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variance and prognosis diverge. (a) Test-set concordance across 100 simulation replicates comparing DeSurv with standard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In (a) and (b), boxes show median and interquartile range; whiskers extend to</w:t>
      </w:r>
      <w:r>
        <w:rPr>
          <w:iCs/>
          <w:i/>
        </w:rPr>
        <w:t xml:space="preserve"> </w:t>
      </w:r>
      <m:oMath>
        <m:r>
          <m:t>1.5</m:t>
        </m:r>
        <m:r>
          <m:rPr>
            <m:sty m:val="p"/>
          </m:rPr>
          <m:t>×</m:t>
        </m:r>
      </m:oMath>
      <w:r>
        <w:rPr>
          <w:iCs/>
          <w:i/>
        </w:rPr>
        <w:t xml:space="preserve">IQR; points are individual replicates. (c) Distribution of selected ranks across replicates for DeSurv versus standard NMF. (d) The same gene-program recovery metric as in (b), computed for two signal regimes: a prognostic program that explains low transcriptomic variance (separated from the dominant variance) versus one that partially overlaps the dominant variance. DeSurv recovers the prognostic program in both regimes, whereas standard NMF, which follows variance, does not; the null scenario (no prognostic program) is shown in the Supplementary Information. These scenarios are constructed to isolate the regime in which the prognostic program carries low transcriptomic variance, and therefore quantify recovery under that construction; the concordance gap in (a) is not an expected discrimination gain in real data, where the two approaches perform comparably (Table [tab:hr-adjusted]).</w:t>
      </w:r>
    </w:p>
    <w:bookmarkEnd w:id="39"/>
    <w:bookmarkEnd w:id="40"/>
    <w:bookmarkStart w:id="41" w:name="discussion"/>
    <w:p>
      <w:pPr>
        <w:pStyle w:val="Heading1"/>
      </w:pPr>
      <w:r>
        <w:t xml:space="preserve">Discussion</w:t>
      </w:r>
    </w:p>
    <w:p>
      <w:pPr>
        <w:pStyle w:val="FirstParagraph"/>
      </w:pPr>
      <w:r>
        <w:t xml:space="preserve">In pancreatic cancer, survival-supervised factorization identified a dominant survival-aligned program, D1, linking classical tumor identity to restCAF-associated stromal biology, alongside separately resolved proCAF-like stromal and basal-like tumor programs. D1 was recovered de novo without subtype labels, was supported by GATA6 RNA in situ hybridization, and remained prognostic after adjustment for the established PurIST and DeCAF classifications, so it is not reducible to them. The trained programs then transferred without refitting across five external validation datasets spanning four independent patient cohorts. Its contribution was to place this replicable prognostic direction within a biologically decomposed tumor–stroma architecture, rather than returning a variance-driven factorization or a single supervised risk score. The advance is in how clinically relevant programs are discovered, not in how well they predict.</w:t>
      </w:r>
    </w:p>
    <w:p>
      <w:pPr>
        <w:pStyle w:val="BodyText"/>
      </w:pPr>
      <w:r>
        <w:t xml:space="preserve">The distinction was not one of model size, tuning effort or predictive accuracy. An unsupervised model given DeSurv’s rank, optimizer, tuning budget and consensus initialization still failed to recover D1. Higher-rank NMF and conventional supervised predictors each recovered the prognostic information while representing its biology differently, the former distributing established signatures across overlapping factors, the latter resolving a tumor-intrinsic axis without the stromal programs. In simulations, where the latent programs are known, DeSurv more accurately recovered the genes defining the true prognostic program.</w:t>
      </w:r>
    </w:p>
    <w:p>
      <w:pPr>
        <w:pStyle w:val="BodyText"/>
      </w:pPr>
      <w:r>
        <w:t xml:space="preserve">This addresses a practical limitation of the conventional discovery sequence. When programs are learned without reference to outcome, their clinical relevance and correspondence across datasets must be established retrospectively through factor selection, biological annotation and cross-study matching. DeSurv does not eliminate the need for external validation, but makes that validation a direct test of programs already shaped by clinical relevance and held fixed across studies.</w:t>
      </w:r>
    </w:p>
    <w:p>
      <w:pPr>
        <w:pStyle w:val="BodyText"/>
      </w:pPr>
      <w:r>
        <w:t xml:space="preserve">This distinction is consistent with the structure of the DeSurv objective. Survival supervision acts directly on the gene-program matrix</w:t>
      </w:r>
      <w:r>
        <w:t xml:space="preserve"> </w:t>
      </w:r>
      <m:oMath>
        <m:r>
          <m:t>W</m:t>
        </m:r>
      </m:oMath>
      <w:r>
        <w:t xml:space="preserve"> </w:t>
      </w:r>
      <w:r>
        <w:t xml:space="preserve">that holds those weights, while the reconstruction objective requires those same programs to continue representing the observed transcriptome. Once learned, the weights are fixed, and a new tumor is scored by projecting its expression profile onto the top-ranked genes of each program, so the same programs can be evaluated across cohorts without re-estimating the factorization. Empirically, supervision selectively reorganized rather than replaced the variance-driven representation: it retained the tumor and stromal structure carried by D3 and D2 while introducing a D1 program poorly reconstructable from the matched-rank NMF factors. Prior survival-representation approaches, including survival-supervised matrix factorization</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w:t>
      </w:r>
      <w:r>
        <w:t xml:space="preserve">and deep latent-variable models</w:t>
      </w:r>
      <w:hyperlink w:anchor="ref-zaccaria2023surviae">
        <w:r>
          <w:rPr>
            <w:rStyle w:val="Hyperlink"/>
            <w:vertAlign w:val="superscript"/>
          </w:rPr>
          <w:t xml:space="preserve">34</w:t>
        </w:r>
      </w:hyperlink>
      <w:r>
        <w:rPr>
          <w:vertAlign w:val="superscript"/>
        </w:rPr>
        <w:t xml:space="preserve">,</w:t>
      </w:r>
      <w:hyperlink w:anchor="ref-meng2022savae">
        <w:r>
          <w:rPr>
            <w:rStyle w:val="Hyperlink"/>
            <w:vertAlign w:val="superscript"/>
          </w:rPr>
          <w:t xml:space="preserve">35</w:t>
        </w:r>
      </w:hyperlink>
      <w:r>
        <w:t xml:space="preserve">, have also integrated outcome information with learned representations, but generally do not preserve the same directly transferable gene-program decomposition.</w:t>
      </w:r>
    </w:p>
    <w:p>
      <w:pPr>
        <w:pStyle w:val="BodyText"/>
      </w:pPr>
      <w:r>
        <w:t xml:space="preserve">Biologically, D1 represents the dominant survival-aligned program within the broader tumor–stroma architecture rather than the architecture itself. It links classical tumor identity with restCAF-like stromal biology. The additional D2 and D3 programs provide separately measurable stromal and tumor context around this direction, rather than necessarily representing independent components of the fitted risk score. This architecture is consistent with growing evidence that PDAC outcome reflects interactions between malignant lineage state and heterogeneous fibroblast and stromal programs</w:t>
      </w:r>
      <w:hyperlink w:anchor="ref-ogawa2020stroma">
        <w:r>
          <w:rPr>
            <w:rStyle w:val="Hyperlink"/>
            <w:vertAlign w:val="superscript"/>
          </w:rPr>
          <w:t xml:space="preserve">36</w:t>
        </w:r>
      </w:hyperlink>
      <w:r>
        <w:rPr>
          <w:vertAlign w:val="superscript"/>
        </w:rPr>
        <w:t xml:space="preserve">–</w:t>
      </w:r>
      <w:hyperlink w:anchor="ref-lee2024tumorcaf">
        <w:r>
          <w:rPr>
            <w:rStyle w:val="Hyperlink"/>
            <w:vertAlign w:val="superscript"/>
          </w:rPr>
          <w:t xml:space="preserve">38</w:t>
        </w:r>
      </w:hyperlink>
      <w:r>
        <w:t xml:space="preserve">.</w:t>
      </w:r>
    </w:p>
    <w:p>
      <w:pPr>
        <w:pStyle w:val="BodyText"/>
      </w:pPr>
      <w:r>
        <w:t xml:space="preserve">Rank selection represents an additional source of uncertainty in unsupervised decomposition. In the PDAC training data, commonly used NMF criteria gave conflicting rank choices, and increasing rank progressively redistributed established biological signatures across additional factors. Together with the non-uniqueness of reconstruction-based factorization, this rank dependence may contribute to variability among unsupervised molecular taxonomies across studies</w:t>
      </w:r>
      <w:hyperlink w:anchor="ref-collisson2011subtypes">
        <w:r>
          <w:rPr>
            <w:rStyle w:val="Hyperlink"/>
            <w:vertAlign w:val="superscript"/>
          </w:rPr>
          <w:t xml:space="preserve">2</w:t>
        </w:r>
      </w:hyperlink>
      <w:r>
        <w:rPr>
          <w:vertAlign w:val="superscript"/>
        </w:rPr>
        <w:t xml:space="preserve">,</w:t>
      </w:r>
      <w:hyperlink w:anchor="ref-moffitt2015virtual">
        <w:r>
          <w:rPr>
            <w:rStyle w:val="Hyperlink"/>
            <w:vertAlign w:val="superscript"/>
          </w:rPr>
          <w:t xml:space="preserve">3</w:t>
        </w:r>
      </w:hyperlink>
      <w:r>
        <w:rPr>
          <w:vertAlign w:val="superscript"/>
        </w:rPr>
        <w:t xml:space="preserve">,</w:t>
      </w:r>
      <w:hyperlink w:anchor="ref-Bailey2016">
        <w:r>
          <w:rPr>
            <w:rStyle w:val="Hyperlink"/>
            <w:vertAlign w:val="superscript"/>
          </w:rPr>
          <w:t xml:space="preserve">14</w:t>
        </w:r>
      </w:hyperlink>
      <w:r>
        <w:t xml:space="preserve">. Survival supervision does not remove that non-uniqueness, and single DeSurv runs from different random starts recover appreciably different gene sets. What makes the reported decomposition a stable object is the consensus step, and independently seeded replicates of the full procedure recover it closely (Supplementary Information, Stability of the recovered gene programs). Survival-supervised selection therefore does not eliminate factorization uncertainty, but it provides an outcome-relevant criterion for choosing among representations when the scientific objective is specifically to identify clinically relevant programs.</w:t>
      </w:r>
    </w:p>
    <w:p>
      <w:pPr>
        <w:pStyle w:val="BodyText"/>
      </w:pPr>
      <w:r>
        <w:t xml:space="preserve">Our simulations clarify when this approach is most useful. When the genes defining the prognostic program contributed relatively little to overall transcriptomic variation, survival supervision improved their recovery; this advantage diminished as prognostic and variance-dominant structure overlapped and disappeared when no survival signal was present. Correct program recovery matters beyond discrimination because the genes assigned to a program determine downstream pathway interpretation, candidate signatures and potential biomarker development.</w:t>
      </w:r>
    </w:p>
    <w:p>
      <w:pPr>
        <w:pStyle w:val="BodyText"/>
      </w:pPr>
      <w:r>
        <w:t xml:space="preserve">DeSurv is also distinct from reference-based methods such as CIBERSORTx</w:t>
      </w:r>
      <w:hyperlink w:anchor="ref-newman2019cibersortx">
        <w:r>
          <w:rPr>
            <w:rStyle w:val="Hyperlink"/>
            <w:vertAlign w:val="superscript"/>
          </w:rPr>
          <w:t xml:space="preserve">39</w:t>
        </w:r>
      </w:hyperlink>
      <w:r>
        <w:t xml:space="preserve"> </w:t>
      </w:r>
      <w:r>
        <w:t xml:space="preserve">and BayesPrism</w:t>
      </w:r>
      <w:hyperlink w:anchor="ref-chu2022bayesprism">
        <w:r>
          <w:rPr>
            <w:rStyle w:val="Hyperlink"/>
            <w:vertAlign w:val="superscript"/>
          </w:rPr>
          <w:t xml:space="preserve">40</w:t>
        </w:r>
      </w:hyperlink>
      <w:r>
        <w:t xml:space="preserve">, which estimate cellular composition using external cell-state references. Instead, DeSurv learns outcome-aligned latent gene programs directly from bulk expression and could in principle be combined with reference-based cell-fraction estimates to refine their cellular attribution.</w:t>
      </w:r>
    </w:p>
    <w:p>
      <w:pPr>
        <w:pStyle w:val="BodyText"/>
      </w:pPr>
      <w:r>
        <w:t xml:space="preserve">Several limitations define the scope of these findings. DeSurv currently uses a proportional-hazards survival objective and was evaluated here only in PDAC. Extensions to non-proportional or nonlinear survival relationships are therefore natural methodological directions. More importantly, the simulations establish conditions under which survival supervision improves recovery of prognostic programs, but whether the same representational advantage generalizes across cancer types remains unknown. Testing it will require multi-cancer benchmarking against unsupervised decompositions and against strong penalized-regression baselines, which remain difficult to outperform consistently for out-of-sample prognosis</w:t>
      </w:r>
      <w:hyperlink w:anchor="ref-smith2020standard">
        <w:r>
          <w:rPr>
            <w:rStyle w:val="Hyperlink"/>
            <w:vertAlign w:val="superscript"/>
          </w:rPr>
          <w:t xml:space="preserve">41</w:t>
        </w:r>
      </w:hyperlink>
      <w:r>
        <w:t xml:space="preserve">.</w:t>
      </w:r>
    </w:p>
    <w:p>
      <w:pPr>
        <w:pStyle w:val="BodyText"/>
      </w:pPr>
      <w:r>
        <w:t xml:space="preserve">The treated-cohort analyses reported above are exploratory. Within the O’Kane/COMPASS cohort the individual treatment arms were too small to show a consistent treatment-specific survival pattern, whereas the prognostic association held in the better-powered arm-stratified analysis. Whether these programs predict differential treatment benefit therefore remains unresolved and will require adequately powered, prespecified treatment-by-program interaction analyses.</w:t>
      </w:r>
    </w:p>
    <w:p>
      <w:pPr>
        <w:pStyle w:val="BodyText"/>
      </w:pPr>
      <w:r>
        <w:t xml:space="preserve">The tumor–stroma architecture described here is a bulk-tissue phenomenon. It reflects cross-patient covariation of tumor- and stroma-associated transcriptional programs, not cellular co-expression or spatial adjacency within individual tumors. The biological identity of the survival-aligned D1 program is nevertheless supported by the purity-adjustment, cross-method recovery and GATA6 evidence above. Mapping these bulk programs onto specific cellular states is not a matter of projecting the same gene weights into single-cell or spatial data. Most of the genes defining each program go undetected in any individual cell, so per-cell projection scores partly reflect detection depth rather than program activity, and multicellular spatial spots mix the compartments the programs are meant to separate. Establishing the cellular correlates of these programs will therefore require clinically annotated single-cell and spatial cohorts together with scoring methods designed for sparse measurement.</w:t>
      </w:r>
    </w:p>
    <w:p>
      <w:pPr>
        <w:pStyle w:val="BodyText"/>
      </w:pPr>
      <w:r>
        <w:t xml:space="preserve">More broadly, unsupervised transcriptomic discovery is optimized to recover what varies most, whereas clinically supervised prediction is optimized to recover what predicts outcome; these need not be the same biological structure. DeSurv addresses this gap by incorporating survival into program discovery while retaining an explicitly decomposed gene-program representation. In PDAC, this revealed a replicable tumor–stroma prognostic architecture that could be transferred across cohorts, biologically validated and interrogated beyond a risk score alone. By making clinical relevance part of discovery and cross-study transportability a test of the same frozen gene programs, it complements unsupervised deconvolution and conventional supervised prediction without depending on superior predictive accuracy.</w:t>
      </w:r>
    </w:p>
    <w:bookmarkEnd w:id="41"/>
    <w:bookmarkStart w:id="49" w:name="methods"/>
    <w:p>
      <w:pPr>
        <w:pStyle w:val="Heading1"/>
      </w:pPr>
      <w:r>
        <w:t xml:space="preserve">Methods</w:t>
      </w:r>
    </w:p>
    <w:bookmarkStart w:id="42"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w:t>
      </w:r>
    </w:p>
    <w:bookmarkEnd w:id="42"/>
    <w:bookmarkStart w:id="43"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The parameter</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each objective.</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where</w:t>
      </w:r>
      <w:r>
        <w:t xml:space="preserve"> </w:t>
      </w:r>
      <m:oMath>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oMath>
      <w:r>
        <w:t xml:space="preserve"> </w:t>
      </w:r>
      <w:r>
        <w:t xml:space="preserve">is the NMF reconstruction error (including an</w:t>
      </w:r>
      <w:r>
        <w:t xml:space="preserve"> </w:t>
      </w:r>
      <m:oMath>
        <m:sSub>
          <m:e>
            <m:r>
              <m:rPr>
                <m:sty m:val="p"/>
              </m:rPr>
              <m:t>ℓ</m:t>
            </m:r>
          </m:e>
          <m:sub>
            <m:r>
              <m:t>2</m:t>
            </m:r>
          </m:sub>
        </m:sSub>
      </m:oMath>
      <w:r>
        <w:t xml:space="preserve"> </w:t>
      </w:r>
      <w:r>
        <w:t xml:space="preserve">penalty on</w:t>
      </w:r>
      <w:r>
        <w:t xml:space="preserve"> </w:t>
      </w:r>
      <m:oMath>
        <m:r>
          <m:t>H</m:t>
        </m:r>
      </m:oMath>
      <w:r>
        <w:t xml:space="preserve">) and</w:t>
      </w:r>
      <w:r>
        <w:t xml:space="preserve"> </w:t>
      </w:r>
      <m:oMath>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oMath>
      <w:r>
        <w:t xml:space="preserve"> </w:t>
      </w:r>
      <w:r>
        <w:t xml:space="preserve">is the elastic-net penalized partial log-likelihood. 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11</w:t>
        </w:r>
      </w:hyperlink>
      <w:r>
        <w:rPr>
          <w:vertAlign w:val="superscript"/>
        </w:rPr>
        <w:t xml:space="preserve">,</w:t>
      </w:r>
      <w:hyperlink w:anchor="ref-gaujoux2010flexible">
        <w:r>
          <w:rPr>
            <w:rStyle w:val="Hyperlink"/>
            <w:vertAlign w:val="superscript"/>
          </w:rPr>
          <w:t xml:space="preserve">42</w:t>
        </w:r>
      </w:hyperlink>
      <w:r>
        <w:t xml:space="preserve">. This construction makes clinical outcome part of program estimation rather than a post hoc filter applied to an unsupervised decomposition. When</w:t>
      </w:r>
      <w:r>
        <w:t xml:space="preserve"> </w:t>
      </w:r>
      <m:oMath>
        <m:r>
          <m:t>α</m:t>
        </m:r>
        <m:r>
          <m:rPr>
            <m:sty m:val="p"/>
          </m:rPr>
          <m:t>=</m:t>
        </m:r>
        <m:r>
          <m:t>0</m:t>
        </m:r>
      </m:oMath>
      <w:r>
        <w:t xml:space="preserve">, DeSurv reduces to standard unsupervised NMF, and</w:t>
      </w:r>
      <w:r>
        <w:t xml:space="preserve"> </w:t>
      </w:r>
      <m:oMath>
        <m:r>
          <m:t>β</m:t>
        </m:r>
      </m:oMath>
      <w:r>
        <w:t xml:space="preserve"> </w:t>
      </w:r>
      <w:r>
        <w:t xml:space="preserve">is fit post hoc by penalized Coxnet on the projected scores</w:t>
      </w:r>
      <w:r>
        <w:t xml:space="preserve"> </w:t>
      </w:r>
      <m:oMath>
        <m:r>
          <m:t>Z</m:t>
        </m:r>
        <m:r>
          <m:rPr>
            <m:sty m:val="p"/>
          </m:rPr>
          <m:t>=</m:t>
        </m:r>
        <m:sSup>
          <m:e>
            <m:r>
              <m:t>W</m:t>
            </m:r>
          </m:e>
          <m:sup>
            <m:r>
              <m:rPr>
                <m:sty m:val="p"/>
              </m:rPr>
              <m:t>⊤</m:t>
            </m:r>
          </m:sup>
        </m:sSup>
        <m:r>
          <m:t>X</m:t>
        </m:r>
      </m:oMath>
      <w:r>
        <w:t xml:space="preserve">, used only for scoring and cross-validation without affecting the factorization. The Cox component also supports optional adjustment for sample-level covariates (for example, stage or grade); the analyses reported here use factor scores alone.</w:t>
      </w:r>
    </w:p>
    <w:p>
      <w:pPr>
        <w:pStyle w:val="BodyText"/>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Section 2), with backtracking used for proposed</w:t>
      </w:r>
      <w:r>
        <w:t xml:space="preserve"> </w:t>
      </w:r>
      <m:oMath>
        <m:r>
          <m:t>W</m:t>
        </m:r>
      </m:oMath>
      <w:r>
        <w:t xml:space="preserve"> </w:t>
      </w:r>
      <w:r>
        <w:t xml:space="preserve">updates. The reconstruction term is minimized using multiplicative updates that preserve nonnegativity; the supervision term enters</w:t>
      </w:r>
      <w:r>
        <w:t xml:space="preserve"> </w:t>
      </w:r>
      <m:oMath>
        <m:r>
          <m:t>W</m:t>
        </m:r>
      </m:oMath>
      <w:r>
        <w:t xml:space="preserve">’s gradient as a Cox partial-likelihood derivative; and</w:t>
      </w:r>
      <w:r>
        <w:t xml:space="preserve"> </w:t>
      </w:r>
      <m:oMath>
        <m:r>
          <m:t>β</m:t>
        </m:r>
      </m:oMath>
      <w:r>
        <w:t xml:space="preserve"> </w:t>
      </w:r>
      <w:r>
        <w:t xml:space="preserve">is updated by Coxnet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 Because the implemented algorithm combines normalization, gradient balancing and a Coxnet approximation, we assessed optimization behavior empirically rather than relying on a formal convergence guarantee. Across independent random initializations of the reported PDAC model, all 100 runs terminated on the stopping criterion and the fitted objective decreased monotonically to numerically stable solutions (Supplementary Information, Empirical optimization stability). Because objective convergence does not imply that the same programs are recovered each time, we separately assessed program-level stability. Individual restarts are dispersed, whereas the reported consensus procedure recovers that decomposition closely across independently seeded replicates (Supplementary Information, Stability of the recovered gene programs). Closed-form update equations are given in Supplementary Information, Sections 1–2, and Bayesian-optimization control parameters in the Bayesian Optimization section.</w:t>
      </w:r>
    </w:p>
    <w:bookmarkEnd w:id="43"/>
    <w:bookmarkStart w:id="44"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which finds near-optimal configurations using far fewer objective evaluations than grid or random search over mixed integer–continuous hyperparameter spaces. The final rank</w:t>
      </w:r>
      <w:r>
        <w:t xml:space="preserve"> </w:t>
      </w:r>
      <m:oMath>
        <m:r>
          <m:t>k</m:t>
        </m:r>
      </m:oMath>
      <w:r>
        <w:t xml:space="preserve"> </w:t>
      </w:r>
      <w:r>
        <w:t xml:space="preserve">was chosen by the one-standard-error rule, the smallest</w:t>
      </w:r>
      <w:r>
        <w:t xml:space="preserve"> </w:t>
      </w:r>
      <m:oMath>
        <m:r>
          <m:t>k</m:t>
        </m:r>
      </m:oMath>
      <w:r>
        <w:t xml:space="preserve"> </w:t>
      </w:r>
      <w:r>
        <w:t xml:space="preserve">whose predicted performance lies within one standard error of the maximum. All model selection was performed entirely within the training data using cross-validation; no validation cohort data were used during any stage of tuning, and unbiased generalization was assessed only on the external validation cohorts. Each fold was trained using multiple random initializations, and fold-level performance was defined as the average C-index across initializations. For stability, we used a consensus-based initialization for the final model, aggregating multiple DeSurv runs into a gene-gene co-occurrence matrix and constructing an initialization</w:t>
      </w:r>
      <w:r>
        <w:t xml:space="preserve"> </w:t>
      </w:r>
      <m:oMath>
        <m:sSub>
          <m:e>
            <m:r>
              <m:t>W</m:t>
            </m:r>
          </m:e>
          <m:sub>
            <m:r>
              <m:t>0</m:t>
            </m:r>
          </m:sub>
        </m:sSub>
      </m:oMath>
      <w:r>
        <w:t xml:space="preserve"> </w:t>
      </w:r>
      <w:r>
        <w:t xml:space="preserve">from the resulting clusters (Supplementary Information, Consensus initialization for the final model). Before projection, the gene support was restricted to the union across factors of each program’s BO-selected top genes, ranked by factor specificity, giving the truncated matrix</w:t>
      </w:r>
      <w:r>
        <w:t xml:space="preserve"> </w:t>
      </w:r>
      <m:oMath>
        <m:acc>
          <m:accPr>
            <m:chr m:val="̃"/>
          </m:accPr>
          <m:e>
            <m:r>
              <m:t>W</m:t>
            </m:r>
          </m:e>
        </m:acc>
      </m:oMath>
      <w:r>
        <w:t xml:space="preserve"> </w:t>
      </w:r>
      <w:r>
        <w:t xml:space="preserve">that was held fixed for all validation cohorts. Two scoring conventions follow from this support and are used for different quantities. Factor-level scores retain all</w:t>
      </w:r>
      <w:r>
        <w:t xml:space="preserve"> </w:t>
      </w:r>
      <m:oMath>
        <m:r>
          <m:t>k</m:t>
        </m:r>
      </m:oMath>
      <w:r>
        <w:t xml:space="preserve"> </w:t>
      </w:r>
      <w:r>
        <w:t xml:space="preserve">columns,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are used for the per-factor and pooled survival analyses.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The two differ only by a positive scalar and so give identical concordance, but we state both because the normalization applies to the collapsed score rather than to individual columns of</w:t>
      </w:r>
      <w:r>
        <w:t xml:space="preserve"> </w:t>
      </w:r>
      <m:oMath>
        <m:r>
          <m:t>W</m:t>
        </m:r>
      </m:oMath>
      <w:r>
        <w:t xml:space="preserve">. In PDAC, BO selected</w:t>
      </w:r>
      <w:r>
        <w:t xml:space="preserve"> </w:t>
      </w:r>
      <m:oMath>
        <m:sSub>
          <m:e>
            <m:r>
              <m:t>n</m:t>
            </m:r>
          </m:e>
          <m:sub>
            <m:r>
              <m:rPr>
                <m:nor/>
                <m:sty m:val="p"/>
              </m:rPr>
              <m:t>top</m:t>
            </m:r>
          </m:sub>
        </m:sSub>
        <m:r>
          <m:rPr>
            <m:sty m:val="p"/>
          </m:rPr>
          <m:t>=</m:t>
        </m:r>
        <m:r>
          <m:t>270</m:t>
        </m:r>
      </m:oMath>
      <w:r>
        <w:t xml:space="preserve"> </w:t>
      </w:r>
      <w:r>
        <w:t xml:space="preserve">top genes per factor. The ridge penalty on the loadings (</w:t>
      </w:r>
      <m:oMath>
        <m:r>
          <m:t>H</m:t>
        </m:r>
      </m:oMath>
      <w:r>
        <w:t xml:space="preserve">) was held fixed at</w:t>
      </w:r>
      <w:r>
        <w:t xml:space="preserve"> </w:t>
      </w:r>
      <m:oMath>
        <m:r>
          <m:t>0</m:t>
        </m:r>
      </m:oMath>
      <w:r>
        <w:t xml:space="preserve"> </w:t>
      </w:r>
      <w:r>
        <w:t xml:space="preserve">in all analyses and was not tuned; factor scaling was instead controlled directly by column-normalization of</w:t>
      </w:r>
      <w:r>
        <w:t xml:space="preserve"> </w:t>
      </w:r>
      <m:oMath>
        <m:r>
          <m:t>W</m:t>
        </m:r>
      </m:oMath>
      <w:r>
        <w:t xml:space="preserve"> </w:t>
      </w:r>
      <w:r>
        <w:t xml:space="preserve">during optimization.</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12</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and a total spread across that range of about two standard errors (Supplementary Fig. [fig:fig-cindex-by-k]). The one-standard-error rule applied to joint BO over rank and supervision strength accordingly selected the parsimonious</w:t>
      </w:r>
      <w:r>
        <w:t xml:space="preserve"> </w:t>
      </w:r>
      <m:oMath>
        <m:r>
          <m:t>k</m:t>
        </m:r>
        <m:r>
          <m:rPr>
            <m:sty m:val="p"/>
          </m:rPr>
          <m:t>=</m:t>
        </m:r>
        <m:r>
          <m:t>3</m:t>
        </m:r>
      </m:oMath>
      <w:r>
        <w:t xml:space="preserve"> </w:t>
      </w:r>
      <w:r>
        <w:t xml:space="preserve">at</w:t>
      </w:r>
      <w:r>
        <w:t xml:space="preserve"> </w:t>
      </w:r>
      <m:oMath>
        <m:r>
          <m:t>α</m:t>
        </m:r>
        <m:r>
          <m:rPr>
            <m:sty m:val="p"/>
          </m:rPr>
          <m:t>=</m:t>
        </m:r>
        <m:r>
          <m:t>0.334</m:t>
        </m:r>
      </m:oMath>
      <w:r>
        <w:t xml:space="preserve">. The three-program solution should therefore be read as a parsimonious choice within a flat performance region, with its biological support coming from reference-program correspondence and the GATA6 comparison rather than from a sharp statistical optimum.</w:t>
      </w:r>
    </w:p>
    <w:p>
      <w:pPr>
        <w:pStyle w:val="BodyText"/>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hazard ratios and log-rank statistics. 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(Supplementary Information, Proper-scoring sensitivity of the external validation). Because the survival-supervised information lives in</w:t>
      </w:r>
      <w:r>
        <w:t xml:space="preserve"> </w:t>
      </w:r>
      <m:oMath>
        <m:r>
          <m:t>W</m:t>
        </m:r>
      </m:oMath>
      <w:r>
        <w:t xml:space="preserve"> </w:t>
      </w:r>
      <w:r>
        <w:t xml:space="preserve">rather than</w:t>
      </w:r>
      <w:r>
        <w:t xml:space="preserve"> </w:t>
      </w:r>
      <m:oMath>
        <m:r>
          <m:t>H</m:t>
        </m:r>
      </m:oMath>
      <w:r>
        <w:t xml:space="preserve">, scoring is a pure matrix projection requiring no retraining or validation survival information.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fits a Cox model on the NMF latent space</w:t>
      </w:r>
      <w:hyperlink w:anchor="ref-le2025survnmf">
        <w:r>
          <w:rPr>
            <w:rStyle w:val="Hyperlink"/>
            <w:vertAlign w:val="superscript"/>
          </w:rPr>
          <w:t xml:space="preserve">33</w:t>
        </w:r>
      </w:hyperlink>
      <w:r>
        <w:t xml:space="preserve">. Because the resulting risk score is a function of</w:t>
      </w:r>
      <w:r>
        <w:t xml:space="preserve"> </w:t>
      </w:r>
      <m:oMath>
        <m:r>
          <m:t>H</m:t>
        </m:r>
      </m:oMath>
      <w:r>
        <w:t xml:space="preserve"> </w:t>
      </w:r>
      <w:r>
        <w:t xml:space="preserve">rather than of</w:t>
      </w:r>
      <w:r>
        <w:t xml:space="preserve"> </w:t>
      </w:r>
      <m:oMath>
        <m:r>
          <m:t>W</m:t>
        </m:r>
      </m:oMath>
      <w:r>
        <w:t xml:space="preserve">, scoring an external cohort under either formulation requires re-estimating that cohort’s sample loadings. Validation survival outcomes were therefore used only for downstream performance evaluation, not for model training, scoring, or hyperparameter tuning. Reported external hazard ratios and log-rank statistics therefore reflect purely out-of-sample generalization. Further training and validation details appear in Supplementary Information, Part I.</w:t>
      </w:r>
    </w:p>
    <w:p>
      <w:pPr>
        <w:pStyle w:val="BodyText"/>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over the top 50 genes per factor), assessing significance with Benjamini–Hochberg control of the false discovery rate within each factor. The same analysis was applied to DeSurv and to standard NMF fit at the same rank. Reference programs whose Spearman correlation exceeded 0.2 with at least one factor of either method are shown, as the same row set in both panels of the main figure (full details in Supplementary Information). The matched-rank comparator shown in the figure is Lee multiplicative NMF (</w:t>
      </w:r>
      <w:r>
        <w:rPr>
          <w:rStyle w:val="VerbatimChar"/>
        </w:rPr>
        <w:t xml:space="preserve">NMF::nmf</w:t>
      </w:r>
      <w:r>
        <w:t xml:space="preserve">), the field-standard implementation, which does not receive DeSurv’s consensus initialization or hyperparameter tuning. We therefore also fit a matched-budget unsupervised control, which removes supervision and holds every other component of the DeSurv procedure fixed.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using the same optimizer, search budget, gene filter and cross-validation folds. The selected model was then fit by the same 100-restart consensus procedure. Any remaining difference in factor structure is therefore attributable to supervision rather than to tuning effort. A further sensitivity analysis instead held DeSurv’s own</w:t>
      </w:r>
      <w:r>
        <w:t xml:space="preserve"> </w:t>
      </w:r>
      <m:oMath>
        <m:r>
          <m:t>λ</m:t>
        </m:r>
      </m:oMath>
      <w:r>
        <w:t xml:space="preserve">,</w:t>
      </w:r>
      <w:r>
        <w:t xml:space="preserve"> </w:t>
      </w:r>
      <m:oMath>
        <m:r>
          <m:t>ν</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Both controls are reported in Supplementary Information, Matched-budget unsupervised control at the same rank.</w:t>
      </w:r>
    </w:p>
    <w:p>
      <w:pPr>
        <w:pStyle w:val="BodyText"/>
      </w:pPr>
      <w:r>
        <w:t xml:space="preserve">To corroborate D1 program identity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44"/>
    <w:bookmarkStart w:id="45" w:name="supervised-comparator-analyses"/>
    <w:p>
      <w:pPr>
        <w:pStyle w:val="Heading2"/>
      </w:pPr>
      <w:r>
        <w:t xml:space="preserve">Supervised comparator analyses</w:t>
      </w:r>
    </w:p>
    <w:p>
      <w:pPr>
        <w:pStyle w:val="FirstParagraph"/>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 The two comparators select features by different mechanisms, and neither matches DeSurv’s. The penalized Cox comparator uses a pure lasso penalty (\texttt{glmnet} with</w:t>
      </w:r>
      <w:r>
        <w:t xml:space="preserve"> </w:t>
      </w:r>
      <m:oMath>
        <m:r>
          <m:t>α</m:t>
        </m:r>
        <m:r>
          <m:rPr>
            <m:sty m:val="p"/>
          </m:rPr>
          <m:t>=</m:t>
        </m:r>
        <m:r>
          <m:t>1</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are therefore far sparser in the genes they retain than DeSurv’s 810-gene support, and both received a smaller tuning budget: a single internal cross-validation each, against DeSurv’s Bayesian-optimization search and consensus initialization. Their comparable external discrimination should be read against that asymmetry. No matched-budget control was run for these supervised comparators, as it was for the unsupervised arm; the comparison with them is therefore about what each representation resolves, not about tuned predictive performance. Correspondence between each supervised risk score and the DeSurv programs D1–D3 was quantified in the training cohort using absolute Spearman correlation. Additional analyses of selected-gene enrichment and compartment attribution are described in the Supplementary Information.</w:t>
      </w:r>
    </w:p>
    <w:bookmarkEnd w:id="45"/>
    <w:bookmarkStart w:id="46"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G</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scenario,</w:t>
      </w:r>
      <w:r>
        <w:t xml:space="preserve"> </w:t>
      </w:r>
      <m:oMath>
        <m:r>
          <m:t>β</m:t>
        </m:r>
        <m:r>
          <m:rPr>
            <m:sty m:val="p"/>
          </m:rPr>
          <m:t>=</m:t>
        </m:r>
        <m:r>
          <m:t>0</m:t>
        </m:r>
      </m:oMath>
      <w:r>
        <w:t xml:space="preserve"> </w:t>
      </w:r>
      <w:r>
        <w:t xml:space="preserve">in the null scenario, and</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mixed scenario where survival risk was driven by 300 genes comprising the 150 factor-1 markers and 150 randomly sampled background genes, creating partial overlap between the prognostic signal and variance-dominant outcome-neutral programs.</w:t>
      </w:r>
    </w:p>
    <w:p>
      <w:pPr>
        <w:pStyle w:val="BodyText"/>
      </w:pPr>
      <w:r>
        <w:t xml:space="preserve">Survival times were generated from an exponential distribution in which risk depended on marker gene expression through</w:t>
      </w:r>
      <w:r>
        <w:t xml:space="preserve"> </w:t>
      </w:r>
      <m:oMath>
        <m:sSup>
          <m:e>
            <m:r>
              <m:t>X</m:t>
            </m:r>
          </m:e>
          <m:sup>
            <m:r>
              <m:t>T</m:t>
            </m:r>
          </m:sup>
        </m:sSup>
        <m:sSub>
          <m:e>
            <m:r>
              <m:t>W</m:t>
            </m:r>
          </m:e>
          <m:sub>
            <m:r>
              <m:rPr>
                <m:nor/>
                <m:sty m:val="p"/>
              </m:rPr>
              <m:t>true</m:t>
            </m:r>
          </m:sub>
        </m:sSub>
      </m:oMath>
      <w:r>
        <w:t xml:space="preserve">, where</w:t>
      </w:r>
      <w:r>
        <w:t xml:space="preserve"> </w:t>
      </w:r>
      <m:oMath>
        <m:sSub>
          <m:e>
            <m:r>
              <m:t>W</m:t>
            </m:r>
          </m:e>
          <m:sub>
            <m:r>
              <m:rPr>
                <m:nor/>
                <m:sty m:val="p"/>
              </m:rPr>
              <m:t>true</m:t>
            </m:r>
          </m:sub>
        </m:sSub>
      </m:oMath>
      <w:r>
        <w:t xml:space="preserve"> </w:t>
      </w:r>
      <w:r>
        <w:t xml:space="preserve">retained marker gene loadings for their corresponding factors and was zero otherwise; censoring times were generated independently from an exponential distribution. Each dataset was analyzed using DeSurv and standard NMF followed by Cox regression on inferred factors, both tuned using cross-validated concordance index via Bayesian optimization. Performance was summarized across repeated simulation replicates using test-set concordance and gene-program recovery. Gene-program recovery was quantified separately for each survival-driving factor. We first matched each true program to the learned factor whose top-ranked genes had the highest precision against it. Recovery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We report the average across survival-driving factors.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 We considered three simulation scenarios: a prognostic scenario in which prognostic programs explain low variance relative to outcome-neutral signals, a null scenario with no survival signal, and a mixed scenario where prognostic and variance-dominant programs partially overlap.</w:t>
      </w:r>
    </w:p>
    <w:bookmarkEnd w:id="46"/>
    <w:bookmarkStart w:id="47" w:name="real-world-datasets"/>
    <w:p>
      <w:pPr>
        <w:pStyle w:val="Heading2"/>
      </w:pPr>
      <w:r>
        <w:t xml:space="preserve">Real-world datasets</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Section 6; accrual and follow-up periods are as defined in each cohort’s original publication. Gene expression matrices were analyzed on a log scale: RNA-seq cohorts as log\textsubscript{2}(TPM + 1); microarray cohorts in platform-normalized log-scale intensities. For each training cohort separately, genes were ranked by mean expression and by variance independently, and the top 3,000 genes with the lowest sum of these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Ranking removes platform- and library-size differences in expression scale that would otherwise dominate cross-cohort projection. More details about the datasets can be found in Supplementary Information, Section 6.</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 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47"/>
    <w:bookmarkStart w:id="48" w:name="use-of-large-language-models"/>
    <w:p>
      <w:pPr>
        <w:pStyle w:val="Heading2"/>
      </w:pPr>
      <w:r>
        <w:t xml:space="preserve">Use of large language models</w:t>
      </w:r>
    </w:p>
    <w:p>
      <w:pPr>
        <w:pStyle w:val="FirstParagraph"/>
      </w:pPr>
      <w:r>
        <w:t xml:space="preserve">During preparation of this manuscript, the authors used a large language model (Claude; Anthropic) to assist with language editing and with code for generating and formatting the display items. All such output was directed, reviewed, and verified by the authors, who take full responsibility for the work. The model was not used to design the study, develop the DeSurv methodology, or interpret the findings, and it does not meet the criteria for authorship.</w:t>
      </w:r>
    </w:p>
    <w:bookmarkEnd w:id="48"/>
    <w:bookmarkEnd w:id="49"/>
    <w:bookmarkStart w:id="50"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and are de-identified; no Institutional Review Board (IRB) approval was required for their analysis. Training data were obtained from the Genomic Data Commons: TCGA-PAAD</w:t>
      </w:r>
      <w:hyperlink w:anchor="ref-data_tcga_paad">
        <w:r>
          <w:rPr>
            <w:rStyle w:val="Hyperlink"/>
            <w:vertAlign w:val="superscript"/>
          </w:rPr>
          <w:t xml:space="preserve">43</w:t>
        </w:r>
      </w:hyperlink>
      <w:r>
        <w:t xml:space="preserve"> </w:t>
      </w:r>
      <w:r>
        <w:t xml:space="preserve">and CPTAC-3</w:t>
      </w:r>
      <w:hyperlink w:anchor="ref-data_cptac3">
        <w:r>
          <w:rPr>
            <w:rStyle w:val="Hyperlink"/>
            <w:vertAlign w:val="superscript"/>
          </w:rPr>
          <w:t xml:space="preserve">44</w:t>
        </w:r>
      </w:hyperlink>
      <w:r>
        <w:t xml:space="preserve">. Validation cohorts were obtained from ArrayExpress (Dijk, E-MTAB-6830</w:t>
      </w:r>
      <w:hyperlink w:anchor="ref-data_dijk_emtab6830">
        <w:r>
          <w:rPr>
            <w:rStyle w:val="Hyperlink"/>
            <w:vertAlign w:val="superscript"/>
          </w:rPr>
          <w:t xml:space="preserve">45</w:t>
        </w:r>
      </w:hyperlink>
      <w:r>
        <w:t xml:space="preserve">; Puleo, E-MTAB-6134</w:t>
      </w:r>
      <w:hyperlink w:anchor="ref-data_puleo_emtab6134">
        <w:r>
          <w:rPr>
            <w:rStyle w:val="Hyperlink"/>
            <w:vertAlign w:val="superscript"/>
          </w:rPr>
          <w:t xml:space="preserve">46</w:t>
        </w:r>
      </w:hyperlink>
      <w:r>
        <w:t xml:space="preserve">), the Gene Expression Omnibus (GEO; Moffitt, GSE71729</w:t>
      </w:r>
      <w:hyperlink w:anchor="ref-data_moffitt_gse71729">
        <w:r>
          <w:rPr>
            <w:rStyle w:val="Hyperlink"/>
            <w:vertAlign w:val="superscript"/>
          </w:rPr>
          <w:t xml:space="preserve">47</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48</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 \texttt{results/treated_cohort_stats.rds}),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0"/>
    <w:bookmarkStart w:id="51" w:name="code-availability"/>
    <w:p>
      <w:pPr>
        <w:pStyle w:val="Heading1"/>
      </w:pPr>
      <w:r>
        <w:t xml:space="preserve">Code Availability</w:t>
      </w:r>
    </w:p>
    <w:p>
      <w:pPr>
        <w:pStyle w:val="FirstParagraph"/>
      </w:pPr>
      <w:r>
        <w:t xml:space="preserve">All analyses were performed in R (version 4.6.0; R Core Team) using DeSurv (v1.0.1; this work), \texttt{NMF}</w:t>
      </w:r>
      <w:hyperlink w:anchor="ref-gaujoux2010flexible">
        <w:r>
          <w:rPr>
            <w:rStyle w:val="Hyperlink"/>
            <w:vertAlign w:val="superscript"/>
          </w:rPr>
          <w:t xml:space="preserve">42</w:t>
        </w:r>
      </w:hyperlink>
      <w:r>
        <w:t xml:space="preserve">, \texttt{glmnet}</w:t>
      </w:r>
      <w:hyperlink w:anchor="ref-simon2011regularization">
        <w:r>
          <w:rPr>
            <w:rStyle w:val="Hyperlink"/>
            <w:vertAlign w:val="superscript"/>
          </w:rPr>
          <w:t xml:space="preserve">23</w:t>
        </w:r>
      </w:hyperlink>
      <w:r>
        <w:t xml:space="preserve">, \texttt{survival}, \texttt{ggplot2}, and \texttt{cowplot}; Bayesian optimization for hyperparameter selection was implemented within DeSurv. The DeSurv R package is available at \url{https://github.com/rashidlab/DeSurv} (archived at Zenodo, DOI \texttt{10.5281/zenodo.20150929}). Reproducibility code, processed data, and the exact session-info file are available at \url{https://github.com/rashidlab/DeSurv-paper} (archived at Zenodo, DOI \texttt{10.5281/zenodo.20150946}); this includes \texttt{code/11_treated_cohort_analysis.R}, which generates the treated-cohort summary statistics above.</w:t>
      </w:r>
    </w:p>
    <w:bookmarkEnd w:id="51"/>
    <w:bookmarkStart w:id="52"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p>
      <w:pPr>
        <w:pStyle w:val="BodyText"/>
      </w:pPr>
      <w:r>
        <w:t xml:space="preserve">\textbf{Inclusion and Diversity.}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where the prognostic association of the DeSurv linear predictor was unchanged.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2"/>
    <w:bookmarkStart w:id="53"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53"/>
    <w:bookmarkStart w:id="54"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included as fixed covariate annotations, and the adjustment analyses using these calls are objective and reproducible from the deposited code. They are not components of DeSurv. The other authors declare no competing interests.</w:t>
      </w:r>
    </w:p>
    <w:bookmarkEnd w:id="54"/>
    <w:bookmarkStart w:id="147" w:name="references"/>
    <w:p>
      <w:pPr>
        <w:pStyle w:val="Heading1"/>
      </w:pPr>
      <w:r>
        <w:t xml:space="preserve">References</w:t>
      </w:r>
    </w:p>
    <w:bookmarkStart w:id="146" w:name="refs"/>
    <w:bookmarkStart w:id="56" w:name="ref-siegel2026cancer"/>
    <w:p>
      <w:pPr>
        <w:pStyle w:val="Bibliography"/>
      </w:pPr>
      <w:r>
        <w:t xml:space="preserve">1.</w:t>
      </w:r>
      <w:r>
        <w:t xml:space="preserve"> </w:t>
      </w:r>
      <w:r>
        <w:t xml:space="preserve">	</w:t>
      </w:r>
      <w:r>
        <w:t xml:space="preserve">Siegel, R. L., Kratzer, T. B., Wagle, N. S., Sung, H. &amp; Jemal, A. Cancer statistics, 2026.</w:t>
      </w:r>
      <w:r>
        <w:t xml:space="preserve"> </w:t>
      </w:r>
      <w:r>
        <w:rPr>
          <w:iCs/>
          <w:i/>
        </w:rPr>
        <w:t xml:space="preserve">CA: A Cancer Journal for Clinicians</w:t>
      </w:r>
      <w:r>
        <w:t xml:space="preserve"> </w:t>
      </w:r>
      <w:hyperlink r:id="rId55">
        <w:r>
          <w:rPr>
            <w:rStyle w:val="Hyperlink"/>
          </w:rPr>
          <w:t xml:space="preserve">https://doi.org/10.3322/caac.70043</w:t>
        </w:r>
      </w:hyperlink>
      <w:r>
        <w:t xml:space="preserve"> </w:t>
      </w:r>
      <w:r>
        <w:t xml:space="preserve">(2026) doi:</w:t>
      </w:r>
      <w:hyperlink r:id="rId55">
        <w:r>
          <w:rPr>
            <w:rStyle w:val="Hyperlink"/>
          </w:rPr>
          <w:t xml:space="preserve">10.3322/caac.70043</w:t>
        </w:r>
      </w:hyperlink>
      <w:r>
        <w:t xml:space="preserve">.</w:t>
      </w:r>
    </w:p>
    <w:bookmarkEnd w:id="56"/>
    <w:bookmarkStart w:id="58"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57">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58"/>
    <w:bookmarkStart w:id="60"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59">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60"/>
    <w:bookmarkStart w:id="62"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61">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62"/>
    <w:bookmarkStart w:id="64"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63">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64"/>
    <w:bookmarkStart w:id="66"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65">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66"/>
    <w:bookmarkStart w:id="68"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67">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68"/>
    <w:bookmarkStart w:id="70"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69">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70"/>
    <w:bookmarkStart w:id="72" w:name="ref-aung2018compass"/>
    <w:p>
      <w:pPr>
        <w:pStyle w:val="Bibliography"/>
      </w:pPr>
      <w:r>
        <w:t xml:space="preserve">9.</w:t>
      </w:r>
      <w:r>
        <w:t xml:space="preserve"> </w:t>
      </w:r>
      <w:r>
        <w:t xml:space="preserve">	</w:t>
      </w:r>
      <w:r>
        <w:t xml:space="preserve">Aung, K. L.</w:t>
      </w:r>
      <w:r>
        <w:t xml:space="preserve"> </w:t>
      </w:r>
      <w:r>
        <w:rPr>
          <w:iCs/>
          <w:i/>
        </w:rPr>
        <w:t xml:space="preserve">et al.</w:t>
      </w:r>
      <w:r>
        <w:t xml:space="preserve"> </w:t>
      </w:r>
      <w:hyperlink r:id="rId71">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72"/>
    <w:bookmarkStart w:id="74" w:name="ref-nguyen2024fourteen"/>
    <w:p>
      <w:pPr>
        <w:pStyle w:val="Bibliography"/>
      </w:pPr>
      <w:r>
        <w:t xml:space="preserve">10.</w:t>
      </w:r>
      <w:r>
        <w:t xml:space="preserve"> </w:t>
      </w:r>
      <w:r>
        <w:t xml:space="preserve">	</w:t>
      </w:r>
      <w:r>
        <w:t xml:space="preserve">Nguyen, H., Nguyen, H., Tran, D., Draghici, S. &amp; Nguyen, T.</w:t>
      </w:r>
      <w:r>
        <w:t xml:space="preserve"> </w:t>
      </w:r>
      <w:hyperlink r:id="rId73">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74"/>
    <w:bookmarkStart w:id="76" w:name="ref-lee1999learning"/>
    <w:p>
      <w:pPr>
        <w:pStyle w:val="Bibliography"/>
      </w:pPr>
      <w:r>
        <w:t xml:space="preserve">11.</w:t>
      </w:r>
      <w:r>
        <w:t xml:space="preserve"> </w:t>
      </w:r>
      <w:r>
        <w:t xml:space="preserve">	</w:t>
      </w:r>
      <w:r>
        <w:t xml:space="preserve">Lee, D. D. &amp; Seung, H. S.</w:t>
      </w:r>
      <w:r>
        <w:t xml:space="preserve"> </w:t>
      </w:r>
      <w:hyperlink r:id="rId75">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76"/>
    <w:bookmarkStart w:id="78" w:name="ref-brunet2004metagenes"/>
    <w:p>
      <w:pPr>
        <w:pStyle w:val="Bibliography"/>
      </w:pPr>
      <w:r>
        <w:t xml:space="preserve">12.</w:t>
      </w:r>
      <w:r>
        <w:t xml:space="preserve"> </w:t>
      </w:r>
      <w:r>
        <w:t xml:space="preserve">	</w:t>
      </w:r>
      <w:r>
        <w:t xml:space="preserve">Brunet, J.-P., Tamayo, P., Golub, T. R. &amp; Mesirov, J. P.</w:t>
      </w:r>
      <w:r>
        <w:t xml:space="preserve"> </w:t>
      </w:r>
      <w:hyperlink r:id="rId77">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78"/>
    <w:bookmarkStart w:id="80" w:name="ref-peng2019novo"/>
    <w:p>
      <w:pPr>
        <w:pStyle w:val="Bibliography"/>
      </w:pPr>
      <w:r>
        <w:t xml:space="preserve">13.</w:t>
      </w:r>
      <w:r>
        <w:t xml:space="preserve"> </w:t>
      </w:r>
      <w:r>
        <w:t xml:space="preserve">	</w:t>
      </w:r>
      <w:r>
        <w:t xml:space="preserve">Peng, X. L., Moffitt, R. A., Torphy, R. J., Volmar, K. E. &amp; Yeh, J. J.</w:t>
      </w:r>
      <w:r>
        <w:t xml:space="preserve"> </w:t>
      </w:r>
      <w:hyperlink r:id="rId79">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80"/>
    <w:bookmarkStart w:id="82" w:name="ref-Bailey2016"/>
    <w:p>
      <w:pPr>
        <w:pStyle w:val="Bibliography"/>
      </w:pPr>
      <w:r>
        <w:t xml:space="preserve">14.</w:t>
      </w:r>
      <w:r>
        <w:t xml:space="preserve"> </w:t>
      </w:r>
      <w:r>
        <w:t xml:space="preserve">	</w:t>
      </w:r>
      <w:r>
        <w:t xml:space="preserve">Bailey, P.</w:t>
      </w:r>
      <w:r>
        <w:t xml:space="preserve"> </w:t>
      </w:r>
      <w:r>
        <w:rPr>
          <w:iCs/>
          <w:i/>
        </w:rPr>
        <w:t xml:space="preserve">et al.</w:t>
      </w:r>
      <w:r>
        <w:t xml:space="preserve"> </w:t>
      </w:r>
      <w:hyperlink r:id="rId81">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2"/>
    <w:bookmarkStart w:id="84" w:name="ref-bair2004semi"/>
    <w:p>
      <w:pPr>
        <w:pStyle w:val="Bibliography"/>
      </w:pPr>
      <w:r>
        <w:t xml:space="preserve">15.</w:t>
      </w:r>
      <w:r>
        <w:t xml:space="preserve"> </w:t>
      </w:r>
      <w:r>
        <w:t xml:space="preserve">	</w:t>
      </w:r>
      <w:r>
        <w:t xml:space="preserve">Bair, E. &amp; Tibshirani, R.</w:t>
      </w:r>
      <w:r>
        <w:t xml:space="preserve"> </w:t>
      </w:r>
      <w:hyperlink r:id="rId83">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84"/>
    <w:bookmarkStart w:id="86" w:name="ref-cook2007fisher"/>
    <w:p>
      <w:pPr>
        <w:pStyle w:val="Bibliography"/>
      </w:pPr>
      <w:r>
        <w:t xml:space="preserve">16.</w:t>
      </w:r>
      <w:r>
        <w:t xml:space="preserve"> </w:t>
      </w:r>
      <w:r>
        <w:t xml:space="preserve">	</w:t>
      </w:r>
      <w:r>
        <w:t xml:space="preserve">Cook, R. D.</w:t>
      </w:r>
      <w:r>
        <w:t xml:space="preserve"> </w:t>
      </w:r>
      <w:hyperlink r:id="rId85">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86"/>
    <w:bookmarkStart w:id="88"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87">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88"/>
    <w:bookmarkStart w:id="90" w:name="ref-aran2015systematic"/>
    <w:p>
      <w:pPr>
        <w:pStyle w:val="Bibliography"/>
      </w:pPr>
      <w:r>
        <w:t xml:space="preserve">18.</w:t>
      </w:r>
      <w:r>
        <w:t xml:space="preserve"> </w:t>
      </w:r>
      <w:r>
        <w:t xml:space="preserve">	</w:t>
      </w:r>
      <w:r>
        <w:t xml:space="preserve">Aran, D., Sirota, M. &amp; Butte, A. J.</w:t>
      </w:r>
      <w:r>
        <w:t xml:space="preserve"> </w:t>
      </w:r>
      <w:hyperlink r:id="rId89">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90"/>
    <w:bookmarkStart w:id="91"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1"/>
    <w:bookmarkStart w:id="93"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9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3"/>
    <w:bookmarkStart w:id="94"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4"/>
    <w:bookmarkStart w:id="96"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95">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96"/>
    <w:bookmarkStart w:id="98" w:name="ref-simon2011regularization"/>
    <w:p>
      <w:pPr>
        <w:pStyle w:val="Bibliography"/>
      </w:pPr>
      <w:r>
        <w:t xml:space="preserve">23.</w:t>
      </w:r>
      <w:r>
        <w:t xml:space="preserve"> </w:t>
      </w:r>
      <w:r>
        <w:t xml:space="preserve">	</w:t>
      </w:r>
      <w:r>
        <w:t xml:space="preserve">Simon, N., Friedman, J. H., Hastie, T. &amp; Tibshirani, R.</w:t>
      </w:r>
      <w:r>
        <w:t xml:space="preserve"> </w:t>
      </w:r>
      <w:hyperlink r:id="rId97">
        <w:r>
          <w:rPr>
            <w:rStyle w:val="Hyperlink"/>
          </w:rPr>
          <w:t xml:space="preserve">Regularization paths for cox’s 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98"/>
    <w:bookmarkStart w:id="100"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99">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0"/>
    <w:bookmarkStart w:id="102"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01">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2"/>
    <w:bookmarkStart w:id="104" w:name="ref-snoek2012practical"/>
    <w:p>
      <w:pPr>
        <w:pStyle w:val="Bibliography"/>
      </w:pPr>
      <w:r>
        <w:t xml:space="preserve">26.</w:t>
      </w:r>
      <w:r>
        <w:t xml:space="preserve"> </w:t>
      </w:r>
      <w:r>
        <w:t xml:space="preserve">	</w:t>
      </w:r>
      <w:r>
        <w:t xml:space="preserve">Snoek, J., Larochelle, H. &amp; Adams, R. P.</w:t>
      </w:r>
      <w:r>
        <w:t xml:space="preserve"> </w:t>
      </w:r>
      <w:hyperlink r:id="rId103">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04"/>
    <w:bookmarkStart w:id="106"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05">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06"/>
    <w:bookmarkStart w:id="108" w:name="ref-frigyesi2008nmf"/>
    <w:p>
      <w:pPr>
        <w:pStyle w:val="Bibliography"/>
      </w:pPr>
      <w:r>
        <w:t xml:space="preserve">28.</w:t>
      </w:r>
      <w:r>
        <w:t xml:space="preserve"> </w:t>
      </w:r>
      <w:r>
        <w:t xml:space="preserve">	</w:t>
      </w:r>
      <w:r>
        <w:t xml:space="preserve">Frigyesi, A. &amp; Höglund, M.</w:t>
      </w:r>
      <w:r>
        <w:t xml:space="preserve"> </w:t>
      </w:r>
      <w:hyperlink r:id="rId107">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08"/>
    <w:bookmarkStart w:id="110"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09">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10"/>
    <w:bookmarkStart w:id="112"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11">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12"/>
    <w:bookmarkStart w:id="113"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13"/>
    <w:bookmarkStart w:id="114"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14"/>
    <w:bookmarkStart w:id="115"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15"/>
    <w:bookmarkStart w:id="117" w:name="ref-zaccaria2023surviae"/>
    <w:p>
      <w:pPr>
        <w:pStyle w:val="Bibliography"/>
      </w:pPr>
      <w:r>
        <w:t xml:space="preserve">34.</w:t>
      </w:r>
      <w:r>
        <w:t xml:space="preserve"> </w:t>
      </w:r>
      <w:r>
        <w:t xml:space="preserve">	</w:t>
      </w:r>
      <w:r>
        <w:t xml:space="preserve">Zaccaria, G. M., Altini, N., Mezzolla, G.,</w:t>
      </w:r>
      <w:r>
        <w:t xml:space="preserve"> </w:t>
      </w:r>
      <w:r>
        <w:rPr>
          <w:iCs/>
          <w:i/>
        </w:rPr>
        <w:t xml:space="preserve">et al.</w:t>
      </w:r>
      <w:r>
        <w:t xml:space="preserve"> </w:t>
      </w:r>
      <w:hyperlink r:id="rId116">
        <w:r>
          <w:rPr>
            <w:rStyle w:val="Hyperlink"/>
          </w:rPr>
          <w:t xml:space="preserve">SurvIAE</w:t>
        </w:r>
        <w:r>
          <w:rPr>
            <w:rStyle w:val="Hyperlink"/>
          </w:rPr>
          <w:t xml:space="preserve">: Survival prediction with interpretable autoencoders from diffuse large</w:t>
        </w:r>
        <w:r>
          <w:rPr>
            <w:rStyle w:val="Hyperlink"/>
          </w:rPr>
          <w:t xml:space="preserve"> </w:t>
        </w:r>
        <w:r>
          <w:rPr>
            <w:rStyle w:val="Hyperlink"/>
          </w:rPr>
          <w:t xml:space="preserve">B</w:t>
        </w:r>
        <w:r>
          <w:rPr>
            <w:rStyle w:val="Hyperlink"/>
          </w:rPr>
          <w:t xml:space="preserve">-cell lymphoma gene expression data</w:t>
        </w:r>
      </w:hyperlink>
      <w:r>
        <w:t xml:space="preserve">.</w:t>
      </w:r>
      <w:r>
        <w:t xml:space="preserve"> </w:t>
      </w:r>
      <w:r>
        <w:rPr>
          <w:iCs/>
          <w:i/>
        </w:rPr>
        <w:t xml:space="preserve">Computer Methods and Programs in Biomedicine</w:t>
      </w:r>
      <w:r>
        <w:t xml:space="preserve"> </w:t>
      </w:r>
      <w:r>
        <w:rPr>
          <w:bCs/>
          <w:b/>
        </w:rPr>
        <w:t xml:space="preserve">244</w:t>
      </w:r>
      <w:r>
        <w:t xml:space="preserve">, 107966 (2024).</w:t>
      </w:r>
    </w:p>
    <w:bookmarkEnd w:id="117"/>
    <w:bookmarkStart w:id="119" w:name="ref-meng2022savae"/>
    <w:p>
      <w:pPr>
        <w:pStyle w:val="Bibliography"/>
      </w:pPr>
      <w:r>
        <w:t xml:space="preserve">35.</w:t>
      </w:r>
      <w:r>
        <w:t xml:space="preserve"> </w:t>
      </w:r>
      <w:r>
        <w:t xml:space="preserve">	</w:t>
      </w:r>
      <w:r>
        <w:t xml:space="preserve">Meng, X., Wang, X., Zhang, X.,</w:t>
      </w:r>
      <w:r>
        <w:t xml:space="preserve"> </w:t>
      </w:r>
      <w:r>
        <w:rPr>
          <w:iCs/>
          <w:i/>
        </w:rPr>
        <w:t xml:space="preserve">et al.</w:t>
      </w:r>
      <w:r>
        <w:t xml:space="preserve"> </w:t>
      </w:r>
      <w:hyperlink r:id="rId118">
        <w:r>
          <w:rPr>
            <w:rStyle w:val="Hyperlink"/>
          </w:rPr>
          <w:t xml:space="preserve">A novel attention-mechanism based</w:t>
        </w:r>
        <w:r>
          <w:rPr>
            <w:rStyle w:val="Hyperlink"/>
          </w:rPr>
          <w:t xml:space="preserve"> </w:t>
        </w:r>
        <w:r>
          <w:rPr>
            <w:rStyle w:val="Hyperlink"/>
          </w:rPr>
          <w:t xml:space="preserve">Cox</w:t>
        </w:r>
        <w:r>
          <w:rPr>
            <w:rStyle w:val="Hyperlink"/>
          </w:rPr>
          <w:t xml:space="preserve"> </w:t>
        </w:r>
        <w:r>
          <w:rPr>
            <w:rStyle w:val="Hyperlink"/>
          </w:rPr>
          <w:t xml:space="preserve">survival model by exploiting pan-cancer empirical genomic information</w:t>
        </w:r>
      </w:hyperlink>
      <w:r>
        <w:t xml:space="preserve">.</w:t>
      </w:r>
      <w:r>
        <w:t xml:space="preserve"> </w:t>
      </w:r>
      <w:r>
        <w:rPr>
          <w:iCs/>
          <w:i/>
        </w:rPr>
        <w:t xml:space="preserve">Cells</w:t>
      </w:r>
      <w:r>
        <w:t xml:space="preserve"> </w:t>
      </w:r>
      <w:r>
        <w:rPr>
          <w:bCs/>
          <w:b/>
        </w:rPr>
        <w:t xml:space="preserve">11</w:t>
      </w:r>
      <w:r>
        <w:t xml:space="preserve">, 1421 (2022).</w:t>
      </w:r>
    </w:p>
    <w:bookmarkEnd w:id="119"/>
    <w:bookmarkStart w:id="121" w:name="ref-ogawa2020stroma"/>
    <w:p>
      <w:pPr>
        <w:pStyle w:val="Bibliography"/>
      </w:pPr>
      <w:r>
        <w:t xml:space="preserve">36.</w:t>
      </w:r>
      <w:r>
        <w:t xml:space="preserve"> </w:t>
      </w:r>
      <w:r>
        <w:t xml:space="preserve">	</w:t>
      </w:r>
      <w:r>
        <w:t xml:space="preserve">Ogawa, Y., Masugi, Y., Abe, T.,</w:t>
      </w:r>
      <w:r>
        <w:t xml:space="preserve"> </w:t>
      </w:r>
      <w:r>
        <w:rPr>
          <w:iCs/>
          <w:i/>
        </w:rPr>
        <w:t xml:space="preserve">et al.</w:t>
      </w:r>
      <w:r>
        <w:t xml:space="preserve"> </w:t>
      </w:r>
      <w:hyperlink r:id="rId120">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1"/>
    <w:bookmarkStart w:id="123" w:name="ref-neuzillet2022periostin"/>
    <w:p>
      <w:pPr>
        <w:pStyle w:val="Bibliography"/>
      </w:pPr>
      <w:r>
        <w:t xml:space="preserve">37.</w:t>
      </w:r>
      <w:r>
        <w:t xml:space="preserve"> </w:t>
      </w:r>
      <w:r>
        <w:t xml:space="preserve">	</w:t>
      </w:r>
      <w:r>
        <w:t xml:space="preserve">Neuzillet, C., Nicolle, R., Raffenne, J.,</w:t>
      </w:r>
      <w:r>
        <w:t xml:space="preserve"> </w:t>
      </w:r>
      <w:r>
        <w:rPr>
          <w:iCs/>
          <w:i/>
        </w:rPr>
        <w:t xml:space="preserve">et al.</w:t>
      </w:r>
      <w:r>
        <w:t xml:space="preserve"> </w:t>
      </w:r>
      <w:hyperlink r:id="rId122">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23"/>
    <w:bookmarkStart w:id="125" w:name="ref-lee2024tumorcaf"/>
    <w:p>
      <w:pPr>
        <w:pStyle w:val="Bibliography"/>
      </w:pPr>
      <w:r>
        <w:t xml:space="preserve">38.</w:t>
      </w:r>
      <w:r>
        <w:t xml:space="preserve"> </w:t>
      </w:r>
      <w:r>
        <w:t xml:space="preserve">	</w:t>
      </w:r>
      <w:r>
        <w:t xml:space="preserve">Lee, J. J., Kearney, J. F., Trembath, H. E.,</w:t>
      </w:r>
      <w:r>
        <w:t xml:space="preserve"> </w:t>
      </w:r>
      <w:r>
        <w:rPr>
          <w:iCs/>
          <w:i/>
        </w:rPr>
        <w:t xml:space="preserve">et al.</w:t>
      </w:r>
      <w:r>
        <w:t xml:space="preserve"> </w:t>
      </w:r>
      <w:hyperlink r:id="rId124">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25"/>
    <w:bookmarkStart w:id="127" w:name="ref-newman2019cibersortx"/>
    <w:p>
      <w:pPr>
        <w:pStyle w:val="Bibliography"/>
      </w:pPr>
      <w:r>
        <w:t xml:space="preserve">39.</w:t>
      </w:r>
      <w:r>
        <w:t xml:space="preserve"> </w:t>
      </w:r>
      <w:r>
        <w:t xml:space="preserve">	</w:t>
      </w:r>
      <w:r>
        <w:t xml:space="preserve">Newman, A. M., Steen, C. B., Liu, C. L., Gentles, A. J.,</w:t>
      </w:r>
      <w:r>
        <w:t xml:space="preserve"> </w:t>
      </w:r>
      <w:r>
        <w:rPr>
          <w:iCs/>
          <w:i/>
        </w:rPr>
        <w:t xml:space="preserve">et al.</w:t>
      </w:r>
      <w:r>
        <w:t xml:space="preserve"> </w:t>
      </w:r>
      <w:hyperlink r:id="rId126">
        <w:r>
          <w:rPr>
            <w:rStyle w:val="Hyperlink"/>
          </w:rPr>
          <w:t xml:space="preserve">Determining cell type abundance and expression from bulk tissues with digital cytometry</w:t>
        </w:r>
      </w:hyperlink>
      <w:r>
        <w:t xml:space="preserve">.</w:t>
      </w:r>
      <w:r>
        <w:t xml:space="preserve"> </w:t>
      </w:r>
      <w:r>
        <w:rPr>
          <w:iCs/>
          <w:i/>
        </w:rPr>
        <w:t xml:space="preserve">Nature Biotechnology</w:t>
      </w:r>
      <w:r>
        <w:t xml:space="preserve"> </w:t>
      </w:r>
      <w:r>
        <w:rPr>
          <w:bCs/>
          <w:b/>
        </w:rPr>
        <w:t xml:space="preserve">37</w:t>
      </w:r>
      <w:r>
        <w:t xml:space="preserve">, 773–782 (2019).</w:t>
      </w:r>
    </w:p>
    <w:bookmarkEnd w:id="127"/>
    <w:bookmarkStart w:id="129" w:name="ref-chu2022bayesprism"/>
    <w:p>
      <w:pPr>
        <w:pStyle w:val="Bibliography"/>
      </w:pPr>
      <w:r>
        <w:t xml:space="preserve">40.</w:t>
      </w:r>
      <w:r>
        <w:t xml:space="preserve"> </w:t>
      </w:r>
      <w:r>
        <w:t xml:space="preserve">	</w:t>
      </w:r>
      <w:r>
        <w:t xml:space="preserve">Chu, T., Wang, Z., Pe’er, D. &amp; Danko, C. G.</w:t>
      </w:r>
      <w:r>
        <w:t xml:space="preserve"> </w:t>
      </w:r>
      <w:hyperlink r:id="rId128">
        <w:r>
          <w:rPr>
            <w:rStyle w:val="Hyperlink"/>
          </w:rPr>
          <w:t xml:space="preserve">Cell type and gene expression deconvolution with</w:t>
        </w:r>
        <w:r>
          <w:rPr>
            <w:rStyle w:val="Hyperlink"/>
          </w:rPr>
          <w:t xml:space="preserve"> </w:t>
        </w:r>
        <w:r>
          <w:rPr>
            <w:rStyle w:val="Hyperlink"/>
          </w:rPr>
          <w:t xml:space="preserve">BayesPrism</w:t>
        </w:r>
        <w:r>
          <w:rPr>
            <w:rStyle w:val="Hyperlink"/>
          </w:rPr>
          <w:t xml:space="preserve"> </w:t>
        </w:r>
        <w:r>
          <w:rPr>
            <w:rStyle w:val="Hyperlink"/>
          </w:rPr>
          <w:t xml:space="preserve">enables</w:t>
        </w:r>
        <w:r>
          <w:rPr>
            <w:rStyle w:val="Hyperlink"/>
          </w:rPr>
          <w:t xml:space="preserve"> </w:t>
        </w:r>
        <w:r>
          <w:rPr>
            <w:rStyle w:val="Hyperlink"/>
          </w:rPr>
          <w:t xml:space="preserve">Bayesian</w:t>
        </w:r>
        <w:r>
          <w:rPr>
            <w:rStyle w:val="Hyperlink"/>
          </w:rPr>
          <w:t xml:space="preserve"> </w:t>
        </w:r>
        <w:r>
          <w:rPr>
            <w:rStyle w:val="Hyperlink"/>
          </w:rPr>
          <w:t xml:space="preserve">integrative analysis across bulk and single-cell</w:t>
        </w:r>
        <w:r>
          <w:rPr>
            <w:rStyle w:val="Hyperlink"/>
          </w:rPr>
          <w:t xml:space="preserve"> </w:t>
        </w:r>
        <w:r>
          <w:rPr>
            <w:rStyle w:val="Hyperlink"/>
          </w:rPr>
          <w:t xml:space="preserve">RNA</w:t>
        </w:r>
        <w:r>
          <w:rPr>
            <w:rStyle w:val="Hyperlink"/>
          </w:rPr>
          <w:t xml:space="preserve"> </w:t>
        </w:r>
        <w:r>
          <w:rPr>
            <w:rStyle w:val="Hyperlink"/>
          </w:rPr>
          <w:t xml:space="preserve">sequencing in oncology</w:t>
        </w:r>
      </w:hyperlink>
      <w:r>
        <w:t xml:space="preserve">.</w:t>
      </w:r>
      <w:r>
        <w:t xml:space="preserve"> </w:t>
      </w:r>
      <w:r>
        <w:rPr>
          <w:iCs/>
          <w:i/>
        </w:rPr>
        <w:t xml:space="preserve">Nature Cancer</w:t>
      </w:r>
      <w:r>
        <w:t xml:space="preserve"> </w:t>
      </w:r>
      <w:r>
        <w:rPr>
          <w:bCs/>
          <w:b/>
        </w:rPr>
        <w:t xml:space="preserve">3</w:t>
      </w:r>
      <w:r>
        <w:t xml:space="preserve">, 505–517 (2022).</w:t>
      </w:r>
    </w:p>
    <w:bookmarkEnd w:id="129"/>
    <w:bookmarkStart w:id="131" w:name="ref-smith2020standard"/>
    <w:p>
      <w:pPr>
        <w:pStyle w:val="Bibliography"/>
      </w:pPr>
      <w:r>
        <w:t xml:space="preserve">41.</w:t>
      </w:r>
      <w:r>
        <w:t xml:space="preserve"> </w:t>
      </w:r>
      <w:r>
        <w:t xml:space="preserve">	</w:t>
      </w:r>
      <w:r>
        <w:t xml:space="preserve">Smith, A. M., Walsh, J. R., Long, J.,</w:t>
      </w:r>
      <w:r>
        <w:t xml:space="preserve"> </w:t>
      </w:r>
      <w:r>
        <w:rPr>
          <w:iCs/>
          <w:i/>
        </w:rPr>
        <w:t xml:space="preserve">et al.</w:t>
      </w:r>
      <w:r>
        <w:t xml:space="preserve"> </w:t>
      </w:r>
      <w:hyperlink r:id="rId130">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1"/>
    <w:bookmarkStart w:id="133" w:name="ref-gaujoux2010flexible"/>
    <w:p>
      <w:pPr>
        <w:pStyle w:val="Bibliography"/>
      </w:pPr>
      <w:r>
        <w:t xml:space="preserve">42.</w:t>
      </w:r>
      <w:r>
        <w:t xml:space="preserve"> </w:t>
      </w:r>
      <w:r>
        <w:t xml:space="preserve">	</w:t>
      </w:r>
      <w:r>
        <w:t xml:space="preserve">Gaujoux, R. &amp; Seoighe, C.</w:t>
      </w:r>
      <w:r>
        <w:t xml:space="preserve"> </w:t>
      </w:r>
      <w:hyperlink r:id="rId132">
        <w:r>
          <w:rPr>
            <w:rStyle w:val="Hyperlink"/>
          </w:rPr>
          <w:t xml:space="preserve">A flexible r 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3"/>
    <w:bookmarkStart w:id="135" w:name="ref-data_tcga_paad"/>
    <w:p>
      <w:pPr>
        <w:pStyle w:val="Bibliography"/>
      </w:pPr>
      <w:r>
        <w:t xml:space="preserve">43.</w:t>
      </w:r>
      <w:r>
        <w:t xml:space="preserve"> </w:t>
      </w:r>
      <w:r>
        <w:t xml:space="preserve">	</w:t>
      </w:r>
      <w:r>
        <w:t xml:space="preserve">The Cancer Genome Atlas Research Network.</w:t>
      </w:r>
      <w:r>
        <w:t xml:space="preserve"> </w:t>
      </w:r>
      <w:hyperlink r:id="rId134">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5"/>
    <w:bookmarkStart w:id="137" w:name="ref-data_cptac3"/>
    <w:p>
      <w:pPr>
        <w:pStyle w:val="Bibliography"/>
      </w:pPr>
      <w:r>
        <w:t xml:space="preserve">44.</w:t>
      </w:r>
      <w:r>
        <w:t xml:space="preserve"> </w:t>
      </w:r>
      <w:r>
        <w:t xml:space="preserve">	</w:t>
      </w:r>
      <w:r>
        <w:t xml:space="preserve">National Cancer Institute Clinical Proteomic Tumor Analysis Consortium.</w:t>
      </w:r>
      <w:r>
        <w:t xml:space="preserve"> </w:t>
      </w:r>
      <w:hyperlink r:id="rId136">
        <w:r>
          <w:rPr>
            <w:rStyle w:val="Hyperlink"/>
          </w:rPr>
          <w:t xml:space="preserve">Data from CPTAC-3 pancreatic ductal adenocarcinoma cohort</w:t>
        </w:r>
      </w:hyperlink>
      <w:r>
        <w:t xml:space="preserve">. (2019).</w:t>
      </w:r>
    </w:p>
    <w:bookmarkEnd w:id="137"/>
    <w:bookmarkStart w:id="139" w:name="ref-data_dijk_emtab6830"/>
    <w:p>
      <w:pPr>
        <w:pStyle w:val="Bibliography"/>
      </w:pPr>
      <w:r>
        <w:t xml:space="preserve">45.</w:t>
      </w:r>
      <w:r>
        <w:t xml:space="preserve"> </w:t>
      </w:r>
      <w:r>
        <w:t xml:space="preserve">	</w:t>
      </w:r>
      <w:r>
        <w:t xml:space="preserve">Dijk, F.</w:t>
      </w:r>
      <w:r>
        <w:t xml:space="preserve"> </w:t>
      </w:r>
      <w:r>
        <w:rPr>
          <w:iCs/>
          <w:i/>
        </w:rPr>
        <w:t xml:space="preserve">et al.</w:t>
      </w:r>
      <w:r>
        <w:t xml:space="preserve"> </w:t>
      </w:r>
      <w:hyperlink r:id="rId138">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39"/>
    <w:bookmarkStart w:id="141" w:name="ref-data_puleo_emtab6134"/>
    <w:p>
      <w:pPr>
        <w:pStyle w:val="Bibliography"/>
      </w:pPr>
      <w:r>
        <w:t xml:space="preserve">46.</w:t>
      </w:r>
      <w:r>
        <w:t xml:space="preserve"> </w:t>
      </w:r>
      <w:r>
        <w:t xml:space="preserve">	</w:t>
      </w:r>
      <w:r>
        <w:t xml:space="preserve">Puleo, F.</w:t>
      </w:r>
      <w:r>
        <w:t xml:space="preserve"> </w:t>
      </w:r>
      <w:r>
        <w:rPr>
          <w:iCs/>
          <w:i/>
        </w:rPr>
        <w:t xml:space="preserve">et al.</w:t>
      </w:r>
      <w:r>
        <w:t xml:space="preserve"> </w:t>
      </w:r>
      <w:hyperlink r:id="rId140">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1"/>
    <w:bookmarkStart w:id="143" w:name="ref-data_moffitt_gse71729"/>
    <w:p>
      <w:pPr>
        <w:pStyle w:val="Bibliography"/>
      </w:pPr>
      <w:r>
        <w:t xml:space="preserve">47.</w:t>
      </w:r>
      <w:r>
        <w:t xml:space="preserve"> </w:t>
      </w:r>
      <w:r>
        <w:t xml:space="preserve">	</w:t>
      </w:r>
      <w:r>
        <w:t xml:space="preserve">Moffitt, R. A.</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3"/>
    <w:bookmarkStart w:id="145" w:name="ref-data_paca_au_egas"/>
    <w:p>
      <w:pPr>
        <w:pStyle w:val="Bibliography"/>
      </w:pPr>
      <w:r>
        <w:t xml:space="preserve">48.</w:t>
      </w:r>
      <w:r>
        <w:t xml:space="preserve"> </w:t>
      </w:r>
      <w:r>
        <w:t xml:space="preserve">	</w:t>
      </w:r>
      <w:r>
        <w:t xml:space="preserve">Australian Pancreatic Cancer Genome Initiative &amp; International Cancer Genome Consortium.</w:t>
      </w:r>
      <w:r>
        <w:t xml:space="preserve"> </w:t>
      </w:r>
      <w:hyperlink r:id="rId144">
        <w:r>
          <w:rPr>
            <w:rStyle w:val="Hyperlink"/>
          </w:rPr>
          <w:t xml:space="preserve">Pancreatic cancer (PACA-AU) cohort: Array and RNA-sequencing data</w:t>
        </w:r>
      </w:hyperlink>
      <w:r>
        <w:t xml:space="preserve">. (2016).</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22" Target="https://doi.org/10.1002/path.6011" TargetMode="External" /><Relationship Type="http://schemas.openxmlformats.org/officeDocument/2006/relationships/hyperlink" Id="rId99" Target="https://doi.org/10.1016/j.ccell.2017.07.007" TargetMode="External" /><Relationship Type="http://schemas.openxmlformats.org/officeDocument/2006/relationships/hyperlink" Id="rId101" Target="https://doi.org/10.1016/j.cell.2021.08.023" TargetMode="External" /><Relationship Type="http://schemas.openxmlformats.org/officeDocument/2006/relationships/hyperlink" Id="rId116" Target="https://doi.org/10.1016/j.cmpb.2023.107966" TargetMode="External" /><Relationship Type="http://schemas.openxmlformats.org/officeDocument/2006/relationships/hyperlink" Id="rId63" Target="https://doi.org/10.1016/j.xcrm.2026.102611" TargetMode="External" /><Relationship Type="http://schemas.openxmlformats.org/officeDocument/2006/relationships/hyperlink" Id="rId75" Target="https://doi.org/10.1038/44565" TargetMode="External" /><Relationship Type="http://schemas.openxmlformats.org/officeDocument/2006/relationships/hyperlink" Id="rId81" Target="https://doi.org/10.1038/nature16965" TargetMode="External" /><Relationship Type="http://schemas.openxmlformats.org/officeDocument/2006/relationships/hyperlink" Id="rId89" Target="https://doi.org/10.1038/ncomms9971" TargetMode="External" /><Relationship Type="http://schemas.openxmlformats.org/officeDocument/2006/relationships/hyperlink" Id="rId59" Target="https://doi.org/10.1038/ng.3398" TargetMode="External" /><Relationship Type="http://schemas.openxmlformats.org/officeDocument/2006/relationships/hyperlink" Id="rId57" Target="https://doi.org/10.1038/nm.2344" TargetMode="External" /><Relationship Type="http://schemas.openxmlformats.org/officeDocument/2006/relationships/hyperlink" Id="rId79" Target="https://doi.org/10.1038/s41467-019-12517-7" TargetMode="External" /><Relationship Type="http://schemas.openxmlformats.org/officeDocument/2006/relationships/hyperlink" Id="rId69" Target="https://doi.org/10.1038/s41467-023-36296-4" TargetMode="External" /><Relationship Type="http://schemas.openxmlformats.org/officeDocument/2006/relationships/hyperlink" Id="rId126" Target="https://doi.org/10.1038/s41587-019-0114-2" TargetMode="External" /><Relationship Type="http://schemas.openxmlformats.org/officeDocument/2006/relationships/hyperlink" Id="rId65" Target="https://doi.org/10.1038/s41587-019-0392-8" TargetMode="External" /><Relationship Type="http://schemas.openxmlformats.org/officeDocument/2006/relationships/hyperlink" Id="rId67" Target="https://doi.org/10.1038/s41588-022-01134-8" TargetMode="External" /><Relationship Type="http://schemas.openxmlformats.org/officeDocument/2006/relationships/hyperlink" Id="rId87" Target="https://doi.org/10.1038/s42003-023-04461-6" TargetMode="External" /><Relationship Type="http://schemas.openxmlformats.org/officeDocument/2006/relationships/hyperlink" Id="rId128" Target="https://doi.org/10.1038/s43018-022-00356-3" TargetMode="External" /><Relationship Type="http://schemas.openxmlformats.org/officeDocument/2006/relationships/hyperlink" Id="rId77" Target="https://doi.org/10.1073/pnas.0308531101" TargetMode="External" /><Relationship Type="http://schemas.openxmlformats.org/officeDocument/2006/relationships/hyperlink" Id="rId109" Target="https://doi.org/10.1093/bioinformatics/btad449" TargetMode="External" /><Relationship Type="http://schemas.openxmlformats.org/officeDocument/2006/relationships/hyperlink" Id="rId73" Target="https://doi.org/10.1093/nar/gkae267" TargetMode="External" /><Relationship Type="http://schemas.openxmlformats.org/officeDocument/2006/relationships/hyperlink" Id="rId95" Target="https://doi.org/10.1093/narcan/zcac030" TargetMode="External" /><Relationship Type="http://schemas.openxmlformats.org/officeDocument/2006/relationships/hyperlink" Id="rId124" Target="https://doi.org/10.1097/SLA.0000000000006416" TargetMode="External" /><Relationship Type="http://schemas.openxmlformats.org/officeDocument/2006/relationships/hyperlink" Id="rId105" Target="https://doi.org/10.1109/JPROC.2015.2494218" TargetMode="External" /><Relationship Type="http://schemas.openxmlformats.org/officeDocument/2006/relationships/hyperlink" Id="rId111"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71" Target="https://doi.org/10.1158/1078-0432.CCR-17-2994" TargetMode="External" /><Relationship Type="http://schemas.openxmlformats.org/officeDocument/2006/relationships/hyperlink" Id="rId61" Target="https://doi.org/10.1158/1078-0432.CCR-19-1467" TargetMode="External" /><Relationship Type="http://schemas.openxmlformats.org/officeDocument/2006/relationships/hyperlink" Id="rId120" Target="https://doi.org/10.1158/1078-0432.CCR-20-2298" TargetMode="External" /><Relationship Type="http://schemas.openxmlformats.org/officeDocument/2006/relationships/hyperlink" Id="rId132" Target="https://doi.org/10.1186/1471-2105-11-367" TargetMode="External" /><Relationship Type="http://schemas.openxmlformats.org/officeDocument/2006/relationships/hyperlink" Id="rId130" Target="https://doi.org/10.1186/s12859-020-3427-8" TargetMode="External" /><Relationship Type="http://schemas.openxmlformats.org/officeDocument/2006/relationships/hyperlink" Id="rId85" Target="https://doi.org/10.1214/088342306000000682" TargetMode="External" /><Relationship Type="http://schemas.openxmlformats.org/officeDocument/2006/relationships/hyperlink" Id="rId83" Target="https://doi.org/10.1371/journal.pbio.0020108" TargetMode="External" /><Relationship Type="http://schemas.openxmlformats.org/officeDocument/2006/relationships/hyperlink" Id="rId97" Target="https://doi.org/10.18637/jss.v039.i05" TargetMode="External" /><Relationship Type="http://schemas.openxmlformats.org/officeDocument/2006/relationships/hyperlink" Id="rId55" Target="https://doi.org/10.3322/caac.70043" TargetMode="External" /><Relationship Type="http://schemas.openxmlformats.org/officeDocument/2006/relationships/hyperlink" Id="rId118" Target="https://doi.org/10.3390/cells11091421" TargetMode="External" /><Relationship Type="http://schemas.openxmlformats.org/officeDocument/2006/relationships/hyperlink" Id="rId107" Target="https://doi.org/10.4137/CIN.S606" TargetMode="External" /><Relationship Type="http://schemas.openxmlformats.org/officeDocument/2006/relationships/hyperlink" Id="rId136" Target="https://portal.gdc.cancer.gov/projects/CPTAC-3" TargetMode="External" /><Relationship Type="http://schemas.openxmlformats.org/officeDocument/2006/relationships/hyperlink" Id="rId134" Target="https://portal.gdc.cancer.gov/projects/TCGA-PAAD" TargetMode="External" /><Relationship Type="http://schemas.openxmlformats.org/officeDocument/2006/relationships/hyperlink" Id="rId103" Target="https://proceedings.neurips.cc/paper/2012/hash/05311655a15b75fab86956663e1819cd-Abstract.html" TargetMode="External" /><Relationship Type="http://schemas.openxmlformats.org/officeDocument/2006/relationships/hyperlink" Id="rId140" Target="https://www.ebi.ac.uk/biostudies/arrayexpress/studies/E-MTAB-6134" TargetMode="External" /><Relationship Type="http://schemas.openxmlformats.org/officeDocument/2006/relationships/hyperlink" Id="rId138" Target="https://www.ebi.ac.uk/biostudies/arrayexpress/studies/E-MTAB-6830" TargetMode="External" /><Relationship Type="http://schemas.openxmlformats.org/officeDocument/2006/relationships/hyperlink" Id="rId144" Target="https://www.ncbi.nlm.nih.gov/geo/query/acc.cgi?acc=GSE36924" TargetMode="External" /><Relationship Type="http://schemas.openxmlformats.org/officeDocument/2006/relationships/hyperlink" Id="rId142"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2" Target="https://doi.org/10.1002/path.6011" TargetMode="External" /><Relationship Type="http://schemas.openxmlformats.org/officeDocument/2006/relationships/hyperlink" Id="rId99" Target="https://doi.org/10.1016/j.ccell.2017.07.007" TargetMode="External" /><Relationship Type="http://schemas.openxmlformats.org/officeDocument/2006/relationships/hyperlink" Id="rId101" Target="https://doi.org/10.1016/j.cell.2021.08.023" TargetMode="External" /><Relationship Type="http://schemas.openxmlformats.org/officeDocument/2006/relationships/hyperlink" Id="rId116" Target="https://doi.org/10.1016/j.cmpb.2023.107966" TargetMode="External" /><Relationship Type="http://schemas.openxmlformats.org/officeDocument/2006/relationships/hyperlink" Id="rId63" Target="https://doi.org/10.1016/j.xcrm.2026.102611" TargetMode="External" /><Relationship Type="http://schemas.openxmlformats.org/officeDocument/2006/relationships/hyperlink" Id="rId75" Target="https://doi.org/10.1038/44565" TargetMode="External" /><Relationship Type="http://schemas.openxmlformats.org/officeDocument/2006/relationships/hyperlink" Id="rId81" Target="https://doi.org/10.1038/nature16965" TargetMode="External" /><Relationship Type="http://schemas.openxmlformats.org/officeDocument/2006/relationships/hyperlink" Id="rId89" Target="https://doi.org/10.1038/ncomms9971" TargetMode="External" /><Relationship Type="http://schemas.openxmlformats.org/officeDocument/2006/relationships/hyperlink" Id="rId59" Target="https://doi.org/10.1038/ng.3398" TargetMode="External" /><Relationship Type="http://schemas.openxmlformats.org/officeDocument/2006/relationships/hyperlink" Id="rId57" Target="https://doi.org/10.1038/nm.2344" TargetMode="External" /><Relationship Type="http://schemas.openxmlformats.org/officeDocument/2006/relationships/hyperlink" Id="rId79" Target="https://doi.org/10.1038/s41467-019-12517-7" TargetMode="External" /><Relationship Type="http://schemas.openxmlformats.org/officeDocument/2006/relationships/hyperlink" Id="rId69" Target="https://doi.org/10.1038/s41467-023-36296-4" TargetMode="External" /><Relationship Type="http://schemas.openxmlformats.org/officeDocument/2006/relationships/hyperlink" Id="rId126" Target="https://doi.org/10.1038/s41587-019-0114-2" TargetMode="External" /><Relationship Type="http://schemas.openxmlformats.org/officeDocument/2006/relationships/hyperlink" Id="rId65" Target="https://doi.org/10.1038/s41587-019-0392-8" TargetMode="External" /><Relationship Type="http://schemas.openxmlformats.org/officeDocument/2006/relationships/hyperlink" Id="rId67" Target="https://doi.org/10.1038/s41588-022-01134-8" TargetMode="External" /><Relationship Type="http://schemas.openxmlformats.org/officeDocument/2006/relationships/hyperlink" Id="rId87" Target="https://doi.org/10.1038/s42003-023-04461-6" TargetMode="External" /><Relationship Type="http://schemas.openxmlformats.org/officeDocument/2006/relationships/hyperlink" Id="rId128" Target="https://doi.org/10.1038/s43018-022-00356-3" TargetMode="External" /><Relationship Type="http://schemas.openxmlformats.org/officeDocument/2006/relationships/hyperlink" Id="rId77" Target="https://doi.org/10.1073/pnas.0308531101" TargetMode="External" /><Relationship Type="http://schemas.openxmlformats.org/officeDocument/2006/relationships/hyperlink" Id="rId109" Target="https://doi.org/10.1093/bioinformatics/btad449" TargetMode="External" /><Relationship Type="http://schemas.openxmlformats.org/officeDocument/2006/relationships/hyperlink" Id="rId73" Target="https://doi.org/10.1093/nar/gkae267" TargetMode="External" /><Relationship Type="http://schemas.openxmlformats.org/officeDocument/2006/relationships/hyperlink" Id="rId95" Target="https://doi.org/10.1093/narcan/zcac030" TargetMode="External" /><Relationship Type="http://schemas.openxmlformats.org/officeDocument/2006/relationships/hyperlink" Id="rId124" Target="https://doi.org/10.1097/SLA.0000000000006416" TargetMode="External" /><Relationship Type="http://schemas.openxmlformats.org/officeDocument/2006/relationships/hyperlink" Id="rId105" Target="https://doi.org/10.1109/JPROC.2015.2494218" TargetMode="External" /><Relationship Type="http://schemas.openxmlformats.org/officeDocument/2006/relationships/hyperlink" Id="rId111"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71" Target="https://doi.org/10.1158/1078-0432.CCR-17-2994" TargetMode="External" /><Relationship Type="http://schemas.openxmlformats.org/officeDocument/2006/relationships/hyperlink" Id="rId61" Target="https://doi.org/10.1158/1078-0432.CCR-19-1467" TargetMode="External" /><Relationship Type="http://schemas.openxmlformats.org/officeDocument/2006/relationships/hyperlink" Id="rId120" Target="https://doi.org/10.1158/1078-0432.CCR-20-2298" TargetMode="External" /><Relationship Type="http://schemas.openxmlformats.org/officeDocument/2006/relationships/hyperlink" Id="rId132" Target="https://doi.org/10.1186/1471-2105-11-367" TargetMode="External" /><Relationship Type="http://schemas.openxmlformats.org/officeDocument/2006/relationships/hyperlink" Id="rId130" Target="https://doi.org/10.1186/s12859-020-3427-8" TargetMode="External" /><Relationship Type="http://schemas.openxmlformats.org/officeDocument/2006/relationships/hyperlink" Id="rId85" Target="https://doi.org/10.1214/088342306000000682" TargetMode="External" /><Relationship Type="http://schemas.openxmlformats.org/officeDocument/2006/relationships/hyperlink" Id="rId83" Target="https://doi.org/10.1371/journal.pbio.0020108" TargetMode="External" /><Relationship Type="http://schemas.openxmlformats.org/officeDocument/2006/relationships/hyperlink" Id="rId97" Target="https://doi.org/10.18637/jss.v039.i05" TargetMode="External" /><Relationship Type="http://schemas.openxmlformats.org/officeDocument/2006/relationships/hyperlink" Id="rId55" Target="https://doi.org/10.3322/caac.70043" TargetMode="External" /><Relationship Type="http://schemas.openxmlformats.org/officeDocument/2006/relationships/hyperlink" Id="rId118" Target="https://doi.org/10.3390/cells11091421" TargetMode="External" /><Relationship Type="http://schemas.openxmlformats.org/officeDocument/2006/relationships/hyperlink" Id="rId107" Target="https://doi.org/10.4137/CIN.S606" TargetMode="External" /><Relationship Type="http://schemas.openxmlformats.org/officeDocument/2006/relationships/hyperlink" Id="rId136" Target="https://portal.gdc.cancer.gov/projects/CPTAC-3" TargetMode="External" /><Relationship Type="http://schemas.openxmlformats.org/officeDocument/2006/relationships/hyperlink" Id="rId134" Target="https://portal.gdc.cancer.gov/projects/TCGA-PAAD" TargetMode="External" /><Relationship Type="http://schemas.openxmlformats.org/officeDocument/2006/relationships/hyperlink" Id="rId103" Target="https://proceedings.neurips.cc/paper/2012/hash/05311655a15b75fab86956663e1819cd-Abstract.html" TargetMode="External" /><Relationship Type="http://schemas.openxmlformats.org/officeDocument/2006/relationships/hyperlink" Id="rId140" Target="https://www.ebi.ac.uk/biostudies/arrayexpress/studies/E-MTAB-6134" TargetMode="External" /><Relationship Type="http://schemas.openxmlformats.org/officeDocument/2006/relationships/hyperlink" Id="rId138" Target="https://www.ebi.ac.uk/biostudies/arrayexpress/studies/E-MTAB-6830" TargetMode="External" /><Relationship Type="http://schemas.openxmlformats.org/officeDocument/2006/relationships/hyperlink" Id="rId144" Target="https://www.ncbi.nlm.nih.gov/geo/query/acc.cgi?acc=GSE36924" TargetMode="External" /><Relationship Type="http://schemas.openxmlformats.org/officeDocument/2006/relationships/hyperlink" Id="rId142"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Survival-supervised deconvolution identifies a replicable tumor–stroma prognostic architecture in pancreatic cancer</dc:title>
  <dc:creator/>
  <cp:keywords>nonnegative matrix factorization, survival analysis, survival-supervised learning, tumor deconvolution, pancreatic cancer</cp:keywords>
  <dcterms:created xsi:type="dcterms:W3CDTF">2026-08-16T01:15:43Z</dcterms:created>
  <dcterms:modified xsi:type="dcterms:W3CDTF">2026-08-16T01:15:43Z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 reflects both malignant and stromal state, yet transcriptomic programs are typically discovered without outcome information and tested against survival only afterward. We developed DeSurv, a survival-supervised matrix factorization that incorporates outcome into gene-program estimation and holds the gene weights fixed for new cohorts. In pooled TCGA and CPTAC cohorts, DeSurv recovered a three-program tumor–stroma architecture whose dominant survival-aligned direction (D1) linked classical tumor identity with restCAF-like stroma, alongside proCAF-like stromal and basal-like tumor programs. The frozen representation transferred across five external datasets spanning four independent cohorts, where the combined risk score remained prognostic (HR per SD, 1.42; 95% CI, 1.26–1.59), including after PurIST and DeCAF adjustment, and D1 remained prognostic in an exploratory analysis of treated metastatic disease. Unsupervised factorization matched on program number and tuning budget did not recover D1, indicating that it arose from survival supervision rather than model size or computational effort.</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