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6.png" ContentType="image/png"/>
  <Override PartName="/word/media/rId28.png" ContentType="image/png"/>
  <Override PartName="/word/media/rId23.png" ContentType="image/png"/>
  <Override PartName="/word/media/rId20.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Information</w:t>
      </w:r>
    </w:p>
    <w:p>
      <w:pPr>
        <w:pStyle w:val="Subtitle"/>
      </w:pPr>
      <w:r>
        <w:t xml:space="preserve">Survival-supervised</w:t>
      </w:r>
      <w:r>
        <w:t xml:space="preserve"> </w:t>
      </w:r>
      <w:r>
        <w:t xml:space="preserve">deconvolution</w:t>
      </w:r>
      <w:r>
        <w:t xml:space="preserve"> </w:t>
      </w:r>
      <w:r>
        <w:t xml:space="preserve">identifies</w:t>
      </w:r>
      <w:r>
        <w:t xml:space="preserve"> </w:t>
      </w:r>
      <w:r>
        <w:t xml:space="preserve">a</w:t>
      </w:r>
      <w:r>
        <w:t xml:space="preserve"> </w:t>
      </w:r>
      <w:r>
        <w:t xml:space="preserve">replicable</w:t>
      </w:r>
      <w:r>
        <w:t xml:space="preserve"> </w:t>
      </w:r>
      <w:r>
        <w:t xml:space="preserve">tumor–stroma</w:t>
      </w:r>
      <w:r>
        <w:t xml:space="preserve"> </w:t>
      </w:r>
      <w:r>
        <w:t xml:space="preserve">prognostic</w:t>
      </w:r>
      <w:r>
        <w:t xml:space="preserve"> </w:t>
      </w:r>
      <w:r>
        <w:t xml:space="preserve">architecture</w:t>
      </w:r>
      <w:r>
        <w:t xml:space="preserve"> </w:t>
      </w:r>
      <w:r>
        <w:t xml:space="preserve">in</w:t>
      </w:r>
      <w:r>
        <w:t xml:space="preserve"> </w:t>
      </w:r>
      <w:r>
        <w:t xml:space="preserve">pancreatic</w:t>
      </w:r>
      <w:r>
        <w:t xml:space="preserve"> </w:t>
      </w:r>
      <w:r>
        <w:t xml:space="preserve">cancer</w:t>
      </w:r>
    </w:p>
    <w:p>
      <w:pPr>
        <w:pStyle w:val="Author"/>
      </w:pPr>
      <w:r>
        <w:t xml:space="preserve">Amber</w:t>
      </w:r>
      <w:r>
        <w:t xml:space="preserve"> </w:t>
      </w:r>
      <w:r>
        <w:t xml:space="preserve">M.</w:t>
      </w:r>
      <w:r>
        <w:t xml:space="preserve"> </w:t>
      </w:r>
      <w:r>
        <w:t xml:space="preserve">Young,</w:t>
      </w:r>
      <w:r>
        <w:t xml:space="preserve"> </w:t>
      </w:r>
      <w:r>
        <w:t xml:space="preserve">Alisa</w:t>
      </w:r>
      <w:r>
        <w:t xml:space="preserve"> </w:t>
      </w:r>
      <w:r>
        <w:t xml:space="preserve">Yurovsky,</w:t>
      </w:r>
      <w:r>
        <w:t xml:space="preserve"> </w:t>
      </w:r>
      <w:r>
        <w:t xml:space="preserve">Xianlu</w:t>
      </w:r>
      <w:r>
        <w:t xml:space="preserve"> </w:t>
      </w:r>
      <w:r>
        <w:t xml:space="preserve">Laura</w:t>
      </w:r>
      <w:r>
        <w:t xml:space="preserve"> </w:t>
      </w:r>
      <w:r>
        <w:t xml:space="preserve">Peng,</w:t>
      </w:r>
      <w:r>
        <w:t xml:space="preserve"> </w:t>
      </w:r>
      <w:r>
        <w:t xml:space="preserve">Jen</w:t>
      </w:r>
      <w:r>
        <w:t xml:space="preserve"> </w:t>
      </w:r>
      <w:r>
        <w:t xml:space="preserve">Jen</w:t>
      </w:r>
      <w:r>
        <w:t xml:space="preserve"> </w:t>
      </w:r>
      <w:r>
        <w:t xml:space="preserve">Yeh,</w:t>
      </w:r>
      <w:r>
        <w:t xml:space="preserve"> </w:t>
      </w:r>
      <w:r>
        <w:t xml:space="preserve">Didong</w:t>
      </w:r>
      <w:r>
        <w:t xml:space="preserve"> </w:t>
      </w:r>
      <w:r>
        <w:t xml:space="preserve">Li,</w:t>
      </w:r>
      <w:r>
        <w:t xml:space="preserve"> </w:t>
      </w:r>
      <w:r>
        <w:t xml:space="preserve">Naim</w:t>
      </w:r>
      <w:r>
        <w:t xml:space="preserve"> </w:t>
      </w:r>
      <w:r>
        <w:t xml:space="preserve">U.</w:t>
      </w:r>
      <w:r>
        <w:t xml:space="preserve"> </w:t>
      </w:r>
      <w:r>
        <w:t xml:space="preserve">Rashid</w:t>
      </w:r>
    </w:p>
    <w:p>
      <w:pPr>
        <w:pStyle w:val="FirstParagraph"/>
      </w:pPr>
      <w:r>
        <w:t xml:space="preserve">\newpage</w:t>
      </w:r>
      <w:r>
        <w:t xml:space="preserve"> </w:t>
      </w:r>
      <w:r>
        <w:t xml:space="preserve">\phantomsection</w:t>
      </w:r>
      <w:r>
        <w:t xml:space="preserve"> </w:t>
      </w:r>
      <w:r>
        <w:t xml:space="preserve">\addcontentsline{toc}{section}{List of Figures}</w:t>
      </w:r>
      <w:r>
        <w:t xml:space="preserve"> </w:t>
      </w:r>
      <w:r>
        <w:t xml:space="preserve">\listoffigures</w:t>
      </w:r>
      <w:r>
        <w:t xml:space="preserve"> </w:t>
      </w:r>
      <w:r>
        <w:t xml:space="preserve">\newpage</w:t>
      </w:r>
      <w:r>
        <w:t xml:space="preserve"> </w:t>
      </w:r>
      <w:r>
        <w:t xml:space="preserve">\phantomsection</w:t>
      </w:r>
      <w:r>
        <w:t xml:space="preserve"> </w:t>
      </w:r>
      <w:r>
        <w:t xml:space="preserve">\addcontentsline{toc}{section}{List of Tables}</w:t>
      </w:r>
      <w:r>
        <w:t xml:space="preserve"> </w:t>
      </w:r>
      <w:r>
        <w:t xml:space="preserve">\listoftables</w:t>
      </w:r>
      <w:r>
        <w:t xml:space="preserve"> </w:t>
      </w:r>
      <w:r>
        <w:t xml:space="preserve">\newpage</w:t>
      </w:r>
    </w:p>
    <w:p>
      <w:pPr>
        <w:pStyle w:val="BodyText"/>
      </w:pPr>
      <w:r>
        <w:t xml:space="preserve">\part{Supplementary Methods}</w:t>
      </w:r>
    </w:p>
    <w:p>
      <w:pPr>
        <w:pStyle w:val="BodyText"/>
      </w:pPr>
      <w:r>
        <w:t xml:space="preserve">\section{Model details}</w:t>
      </w:r>
      <w:r>
        <w:t xml:space="preserve"> </w:t>
      </w:r>
      <w:r>
        <w:t xml:space="preserve">Let</w:t>
      </w:r>
      <w:r>
        <w:t xml:space="preserve"> </w:t>
      </w:r>
      <m:oMath>
        <m:r>
          <m:t>X</m:t>
        </m:r>
        <m:r>
          <m:rPr>
            <m:sty m:val="p"/>
          </m:rPr>
          <m:t>∈</m:t>
        </m:r>
        <m:sSubSup>
          <m:e>
            <m:r>
              <m:rPr>
                <m:sty m:val="p"/>
                <m:scr m:val="double-struck"/>
              </m:rPr>
              <m:t>R</m:t>
            </m:r>
          </m:e>
          <m:sub>
            <m:r>
              <m:rPr>
                <m:sty m:val="p"/>
              </m:rPr>
              <m:t>≥</m:t>
            </m:r>
            <m:r>
              <m:t>0</m:t>
            </m:r>
          </m:sub>
          <m:sup>
            <m:r>
              <m:t>p</m:t>
            </m:r>
            <m:r>
              <m:rPr>
                <m:sty m:val="p"/>
              </m:rPr>
              <m:t>×</m:t>
            </m:r>
            <m:r>
              <m:t>n</m:t>
            </m:r>
          </m:sup>
        </m:sSubSup>
      </m:oMath>
      <w:r>
        <w:t xml:space="preserve"> </w:t>
      </w:r>
      <w:r>
        <w:t xml:space="preserve">denote the nonnegative gene</w:t>
      </w:r>
      <w:r>
        <w:t xml:space="preserve"> </w:t>
      </w:r>
      <w:r>
        <w:t xml:space="preserve">expression matrix with</w:t>
      </w:r>
      <w:r>
        <w:t xml:space="preserve"> </w:t>
      </w:r>
      <m:oMath>
        <m:r>
          <m:t>p</m:t>
        </m:r>
      </m:oMath>
      <w:r>
        <w:t xml:space="preserve"> </w:t>
      </w:r>
      <w:r>
        <w:t xml:space="preserve">genes and</w:t>
      </w:r>
      <w:r>
        <w:t xml:space="preserve"> </w:t>
      </w:r>
      <m:oMath>
        <m:r>
          <m:t>n</m:t>
        </m:r>
      </m:oMath>
      <w:r>
        <w:t xml:space="preserve"> </w:t>
      </w:r>
      <w:r>
        <w:t xml:space="preserve">subjects. DeSurv approximates</w:t>
      </w:r>
      <w:r>
        <w:t xml:space="preserve"> </w:t>
      </w:r>
      <m:oMath>
        <m:r>
          <m:t>X</m:t>
        </m:r>
        <m:r>
          <m:rPr>
            <m:sty m:val="p"/>
          </m:rPr>
          <m:t>≈</m:t>
        </m:r>
        <m:r>
          <m:t>W</m:t>
        </m:r>
        <m:r>
          <m:t>H</m:t>
        </m:r>
      </m:oMath>
      <w:r>
        <w:t xml:space="preserve"> </w:t>
      </w:r>
      <w:r>
        <w:t xml:space="preserve">with</w:t>
      </w:r>
      <w:r>
        <w:t xml:space="preserve"> </w:t>
      </w:r>
      <m:oMath>
        <m:r>
          <m:t>W</m:t>
        </m:r>
        <m:r>
          <m:rPr>
            <m:sty m:val="p"/>
          </m:rPr>
          <m:t>∈</m:t>
        </m:r>
        <m:sSubSup>
          <m:e>
            <m:r>
              <m:rPr>
                <m:sty m:val="p"/>
                <m:scr m:val="double-struck"/>
              </m:rPr>
              <m:t>R</m:t>
            </m:r>
          </m:e>
          <m:sub>
            <m:r>
              <m:rPr>
                <m:sty m:val="p"/>
              </m:rPr>
              <m:t>≥</m:t>
            </m:r>
            <m:r>
              <m:t>0</m:t>
            </m:r>
          </m:sub>
          <m:sup>
            <m:r>
              <m:t>p</m:t>
            </m:r>
            <m:r>
              <m:rPr>
                <m:sty m:val="p"/>
              </m:rPr>
              <m:t>×</m:t>
            </m:r>
            <m:r>
              <m:t>k</m:t>
            </m:r>
          </m:sup>
        </m:sSubSup>
      </m:oMath>
      <w:r>
        <w:t xml:space="preserve"> </w:t>
      </w:r>
      <w:r>
        <w:t xml:space="preserve">and</w:t>
      </w:r>
      <w:r>
        <w:t xml:space="preserve"> </w:t>
      </w:r>
      <m:oMath>
        <m:r>
          <m:t>H</m:t>
        </m:r>
        <m:r>
          <m:rPr>
            <m:sty m:val="p"/>
          </m:rPr>
          <m:t>∈</m:t>
        </m:r>
        <m:sSubSup>
          <m:e>
            <m:r>
              <m:rPr>
                <m:sty m:val="p"/>
                <m:scr m:val="double-struck"/>
              </m:rPr>
              <m:t>R</m:t>
            </m:r>
          </m:e>
          <m:sub>
            <m:r>
              <m:rPr>
                <m:sty m:val="p"/>
              </m:rPr>
              <m:t>≥</m:t>
            </m:r>
            <m:r>
              <m:t>0</m:t>
            </m:r>
          </m:sub>
          <m:sup>
            <m:r>
              <m:t>k</m:t>
            </m:r>
            <m:r>
              <m:rPr>
                <m:sty m:val="p"/>
              </m:rPr>
              <m:t>×</m:t>
            </m:r>
            <m:r>
              <m:t>n</m:t>
            </m:r>
          </m:sup>
        </m:sSubSup>
      </m:oMath>
      <w:r>
        <w:t xml:space="preserve">, and links the shared program matrix</w:t>
      </w:r>
      <w:r>
        <w:t xml:space="preserve"> </w:t>
      </w:r>
      <m:oMath>
        <m:r>
          <m:t>W</m:t>
        </m:r>
      </m:oMath>
      <w:r>
        <w:t xml:space="preserve"> </w:t>
      </w:r>
      <w:r>
        <w:t xml:space="preserve">to survival via an elastic-net–penalized Cox model. Supervision is placed on the program matrix</w:t>
      </w:r>
      <w:r>
        <w:t xml:space="preserve"> </w:t>
      </w:r>
      <m:oMath>
        <m:r>
          <m:t>W</m:t>
        </m:r>
      </m:oMath>
      <w:r>
        <w:t xml:space="preserve">, the basis that transfers to new cohorts, whereas the sample loadings</w:t>
      </w:r>
      <w:r>
        <w:t xml:space="preserve"> </w:t>
      </w:r>
      <m:oMath>
        <m:r>
          <m:t>H</m:t>
        </m:r>
      </m:oMath>
      <w:r>
        <w:t xml:space="preserve"> </w:t>
      </w:r>
      <w:r>
        <w:t xml:space="preserve">serve only to reconstruct the training expression matrix; new samples are therefore scored by projection onto the learned programs,</w:t>
      </w:r>
      <w:r>
        <w:t xml:space="preserve"> </w:t>
      </w:r>
      <m:oMath>
        <m:r>
          <m:t>Z</m:t>
        </m:r>
        <m:r>
          <m:rPr>
            <m:sty m:val="p"/>
          </m:rPr>
          <m:t>=</m:t>
        </m:r>
        <m:sSup>
          <m:e>
            <m:r>
              <m:t>W</m:t>
            </m:r>
          </m:e>
          <m:sup>
            <m:r>
              <m:rPr>
                <m:sty m:val="p"/>
              </m:rPr>
              <m:t>⊤</m:t>
            </m:r>
          </m:sup>
        </m:sSup>
        <m:r>
          <m:t>X</m:t>
        </m:r>
      </m:oMath>
      <w:r>
        <w:t xml:space="preserve">, rather than by re-estimating loadings.</w:t>
      </w:r>
    </w:p>
    <w:p>
      <w:pPr>
        <w:pStyle w:val="BodyText"/>
      </w:pPr>
      <w:r>
        <w:t xml:space="preserve">Let</w:t>
      </w:r>
      <w:r>
        <w:t xml:space="preserve"> </w:t>
      </w:r>
      <m:oMath>
        <m:r>
          <m:t>y</m:t>
        </m:r>
        <m:r>
          <m:rPr>
            <m:sty m:val="p"/>
          </m:rPr>
          <m:t>∈</m:t>
        </m:r>
        <m:sSubSup>
          <m:e>
            <m:r>
              <m:rPr>
                <m:sty m:val="p"/>
                <m:scr m:val="double-struck"/>
              </m:rPr>
              <m:t>R</m:t>
            </m:r>
          </m:e>
          <m:sub>
            <m:r>
              <m:rPr>
                <m:sty m:val="p"/>
              </m:rPr>
              <m:t>&gt;</m:t>
            </m:r>
            <m:r>
              <m:t>0</m:t>
            </m:r>
          </m:sub>
          <m:sup>
            <m:r>
              <m:t>n</m:t>
            </m:r>
          </m:sup>
        </m:sSubSup>
      </m:oMath>
      <w:r>
        <w:t xml:space="preserve"> </w:t>
      </w:r>
      <w:r>
        <w:t xml:space="preserve">be the observed survival times,</w:t>
      </w:r>
      <w:r>
        <w:t xml:space="preserve"> </w:t>
      </w:r>
      <m:oMath>
        <m:r>
          <m:t>δ</m:t>
        </m:r>
        <m:r>
          <m:rPr>
            <m:sty m:val="p"/>
          </m:rPr>
          <m:t>∈</m:t>
        </m:r>
        <m:r>
          <m:rPr>
            <m:sty m:val="p"/>
          </m:rPr>
          <m:t>{</m:t>
        </m:r>
        <m:r>
          <m:t>0</m:t>
        </m:r>
        <m:r>
          <m:rPr>
            <m:sty m:val="p"/>
          </m:rPr>
          <m:t>,</m:t>
        </m:r>
        <m:r>
          <m:t>1</m:t>
        </m:r>
        <m:sSup>
          <m:e>
            <m:r>
              <m:rPr>
                <m:sty m:val="p"/>
              </m:rPr>
              <m:t>}</m:t>
            </m:r>
          </m:e>
          <m:sup>
            <m:r>
              <m:t>n</m:t>
            </m:r>
          </m:sup>
        </m:sSup>
      </m:oMath>
      <w:r>
        <w:t xml:space="preserve"> </w:t>
      </w:r>
      <w:r>
        <w:t xml:space="preserve">the event indicators, and</w:t>
      </w:r>
      <w:r>
        <w:t xml:space="preserve"> </w:t>
      </w:r>
      <m:oMath>
        <m:r>
          <m:t>Z</m:t>
        </m:r>
        <m:r>
          <m:rPr>
            <m:sty m:val="p"/>
          </m:rPr>
          <m:t>=</m:t>
        </m:r>
        <m:sSup>
          <m:e>
            <m:r>
              <m:t>W</m:t>
            </m:r>
          </m:e>
          <m:sup>
            <m:r>
              <m:rPr>
                <m:sty m:val="p"/>
              </m:rPr>
              <m:t>⊤</m:t>
            </m:r>
          </m:sup>
        </m:sSup>
        <m:r>
          <m:t>X</m:t>
        </m:r>
        <m:r>
          <m:rPr>
            <m:sty m:val="p"/>
          </m:rPr>
          <m:t>∈</m:t>
        </m:r>
        <m:sSup>
          <m:e>
            <m:r>
              <m:rPr>
                <m:sty m:val="p"/>
                <m:scr m:val="double-struck"/>
              </m:rPr>
              <m:t>R</m:t>
            </m:r>
          </m:e>
          <m:sup>
            <m:r>
              <m:t>k</m:t>
            </m:r>
            <m:r>
              <m:rPr>
                <m:sty m:val="p"/>
              </m:rPr>
              <m:t>×</m:t>
            </m:r>
            <m:r>
              <m:t>n</m:t>
            </m:r>
          </m:sup>
        </m:sSup>
      </m:oMath>
      <w:r>
        <w:t xml:space="preserve"> </w:t>
      </w:r>
      <w:r>
        <w:t xml:space="preserve">the sample-wise factor scores. We write</w:t>
      </w:r>
      <w:r>
        <w:t xml:space="preserve"> </w:t>
      </w:r>
      <m:oMath>
        <m:sSub>
          <m:e>
            <m:r>
              <m:t>Z</m:t>
            </m:r>
          </m:e>
          <m:sub>
            <m:r>
              <m:t>i</m:t>
            </m:r>
          </m:sub>
        </m:sSub>
      </m:oMath>
      <w:r>
        <w:t xml:space="preserve"> </w:t>
      </w:r>
      <w:r>
        <w:t xml:space="preserve">for the</w:t>
      </w:r>
      <w:r>
        <w:t xml:space="preserve"> </w:t>
      </w:r>
      <m:oMath>
        <m:r>
          <m:t>i</m:t>
        </m:r>
      </m:oMath>
      <w:r>
        <w:t xml:space="preserve">th column of</w:t>
      </w:r>
      <w:r>
        <w:t xml:space="preserve"> </w:t>
      </w:r>
      <m:oMath>
        <m:r>
          <m:t>Z</m:t>
        </m:r>
      </m:oMath>
      <w:r>
        <w:t xml:space="preserve">, and</w:t>
      </w:r>
      <w:r>
        <w:t xml:space="preserve"> </w:t>
      </w:r>
      <m:oMath>
        <m:sSub>
          <m:e>
            <m:r>
              <m:t>n</m:t>
            </m:r>
          </m:e>
          <m:sub>
            <m:r>
              <m:rPr>
                <m:nor/>
                <m:sty m:val="p"/>
              </m:rPr>
              <m:t>event</m:t>
            </m:r>
          </m:sub>
        </m:sSub>
        <m:r>
          <m:rPr>
            <m:sty m:val="p"/>
          </m:rPr>
          <m:t>=</m:t>
        </m:r>
        <m:nary>
          <m:naryPr>
            <m:chr m:val="∑"/>
            <m:limLoc m:val="undOvr"/>
            <m:subHide m:val="off"/>
            <m:supHide m:val="off"/>
          </m:naryPr>
          <m:sub>
            <m:r>
              <m:t>i</m:t>
            </m:r>
            <m:r>
              <m:rPr>
                <m:sty m:val="p"/>
              </m:rPr>
              <m:t>=</m:t>
            </m:r>
            <m:r>
              <m:t>1</m:t>
            </m:r>
          </m:sub>
          <m:sup>
            <m:r>
              <m:t>n</m:t>
            </m:r>
          </m:sup>
          <m:e>
            <m:sSub>
              <m:e>
                <m:r>
                  <m:t>δ</m:t>
                </m:r>
              </m:e>
              <m:sub>
                <m:r>
                  <m:t>i</m:t>
                </m:r>
              </m:sub>
            </m:sSub>
          </m:e>
        </m:nary>
      </m:oMath>
      <w:r>
        <w:t xml:space="preserve">. For convenience we recall the</w:t>
      </w:r>
      <w:r>
        <w:t xml:space="preserve"> </w:t>
      </w:r>
      <w:r>
        <w:t xml:space="preserve">DeSurv loss from Equation 1 in the main text and rewrite it as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script"/>
                  </m:rPr>
                  <m:t>L</m:t>
                </m:r>
                <m:d>
                  <m:dPr>
                    <m:begChr m:val="("/>
                    <m:endChr m:val=")"/>
                    <m:sepChr m:val=""/>
                    <m:grow/>
                  </m:dPr>
                  <m:e>
                    <m:r>
                      <m:t>W</m:t>
                    </m:r>
                    <m:r>
                      <m:rPr>
                        <m:sty m:val="p"/>
                      </m:rPr>
                      <m:t>,</m:t>
                    </m:r>
                    <m:r>
                      <m:t>H</m:t>
                    </m:r>
                    <m:r>
                      <m:rPr>
                        <m:sty m:val="p"/>
                      </m:rPr>
                      <m:t>,</m:t>
                    </m:r>
                    <m:r>
                      <m:t>β</m:t>
                    </m:r>
                  </m:e>
                </m:d>
              </m:e>
              <m:e>
                <m:r>
                  <m:rPr>
                    <m:sty m:val="p"/>
                  </m:rPr>
                  <m:t>=</m:t>
                </m:r>
              </m:e>
            </m:mr>
            <m:mr>
              <m:e/>
              <m:e>
                <m:d>
                  <m:dPr>
                    <m:begChr m:val="("/>
                    <m:endChr m:val=")"/>
                    <m:sepChr m:val=""/>
                    <m:grow/>
                  </m:dPr>
                  <m:e>
                    <m:r>
                      <m:t>1</m:t>
                    </m:r>
                    <m:r>
                      <m:rPr>
                        <m:sty m:val="p"/>
                      </m:rPr>
                      <m:t>−</m:t>
                    </m:r>
                    <m:r>
                      <m:t>α</m:t>
                    </m:r>
                  </m:e>
                </m:d>
                <m:d>
                  <m:dPr>
                    <m:begChr m:val="("/>
                    <m:endChr m:val=")"/>
                    <m:sepChr m:val=""/>
                    <m:grow/>
                  </m:dPr>
                  <m:e>
                    <m:f>
                      <m:fPr>
                        <m:type m:val="bar"/>
                      </m:fPr>
                      <m:num>
                        <m:r>
                          <m:t>1</m:t>
                        </m:r>
                      </m:num>
                      <m:den>
                        <m:r>
                          <m:t>2</m:t>
                        </m:r>
                        <m:r>
                          <m:rPr>
                            <m:sty m:val="p"/>
                          </m:rPr>
                          <m:t>∥</m:t>
                        </m:r>
                        <m:r>
                          <m:t>X</m:t>
                        </m:r>
                        <m:sSubSup>
                          <m:e>
                            <m:r>
                              <m:rPr>
                                <m:sty m:val="p"/>
                              </m:rPr>
                              <m:t>∥</m:t>
                            </m:r>
                          </m:e>
                          <m:sub>
                            <m:r>
                              <m:t>F</m:t>
                            </m:r>
                          </m:sub>
                          <m:sup>
                            <m:r>
                              <m:t>2</m:t>
                            </m:r>
                          </m:sup>
                        </m:sSubSup>
                      </m:den>
                    </m:f>
                    <m:r>
                      <m:rPr>
                        <m:sty m:val="p"/>
                      </m:rPr>
                      <m:t>∥</m:t>
                    </m:r>
                    <m:r>
                      <m:t>X</m:t>
                    </m:r>
                    <m:r>
                      <m:rPr>
                        <m:sty m:val="p"/>
                      </m:rPr>
                      <m:t>−</m:t>
                    </m:r>
                    <m:r>
                      <m:t>W</m:t>
                    </m:r>
                    <m:r>
                      <m:t>H</m:t>
                    </m:r>
                    <m:sSubSup>
                      <m:e>
                        <m:r>
                          <m:rPr>
                            <m:sty m:val="p"/>
                          </m:rPr>
                          <m:t>∥</m:t>
                        </m:r>
                      </m:e>
                      <m:sub>
                        <m:r>
                          <m:t>F</m:t>
                        </m:r>
                      </m:sub>
                      <m:sup>
                        <m:r>
                          <m:t>2</m:t>
                        </m:r>
                      </m:sup>
                    </m:sSubSup>
                    <m:r>
                      <m:rPr>
                        <m:sty m:val="p"/>
                      </m:rPr>
                      <m:t>+</m:t>
                    </m:r>
                    <m:f>
                      <m:fPr>
                        <m:type m:val="bar"/>
                      </m:fPr>
                      <m:num>
                        <m:sSub>
                          <m:e>
                            <m:r>
                              <m:t>λ</m:t>
                            </m:r>
                          </m:e>
                          <m:sub>
                            <m:r>
                              <m:t>H</m:t>
                            </m:r>
                          </m:sub>
                        </m:sSub>
                      </m:num>
                      <m:den>
                        <m:r>
                          <m:t>2</m:t>
                        </m:r>
                        <m:r>
                          <m:t>n</m:t>
                        </m:r>
                        <m:r>
                          <m:t>k</m:t>
                        </m:r>
                      </m:den>
                    </m:f>
                    <m:r>
                      <m:rPr>
                        <m:sty m:val="p"/>
                      </m:rPr>
                      <m:t>∥</m:t>
                    </m:r>
                    <m:r>
                      <m:t>H</m:t>
                    </m:r>
                    <m:sSubSup>
                      <m:e>
                        <m:r>
                          <m:rPr>
                            <m:sty m:val="p"/>
                          </m:rPr>
                          <m:t>∥</m:t>
                        </m:r>
                      </m:e>
                      <m:sub>
                        <m:r>
                          <m:t>F</m:t>
                        </m:r>
                      </m:sub>
                      <m:sup>
                        <m:r>
                          <m:t>2</m:t>
                        </m:r>
                      </m:sup>
                    </m:sSubSup>
                  </m:e>
                </m:d>
              </m:e>
            </m:mr>
            <m:mr>
              <m:e>
                <m:r>
                  <m:rPr>
                    <m:sty m:val="p"/>
                  </m:rPr>
                  <m:t>−</m:t>
                </m:r>
              </m:e>
              <m:e>
                <m:r>
                  <m:t>α</m:t>
                </m:r>
                <m:d>
                  <m:dPr>
                    <m:begChr m:val="("/>
                    <m:endChr m:val=")"/>
                    <m:sepChr m:val=""/>
                    <m:grow/>
                  </m:dPr>
                  <m:e>
                    <m:f>
                      <m:fPr>
                        <m:type m:val="bar"/>
                      </m:fPr>
                      <m:num>
                        <m:r>
                          <m:t>2</m:t>
                        </m:r>
                      </m:num>
                      <m:den>
                        <m:sSub>
                          <m:e>
                            <m:r>
                              <m:t>n</m:t>
                            </m:r>
                          </m:e>
                          <m:sub>
                            <m:r>
                              <m:t>e</m:t>
                            </m:r>
                            <m:r>
                              <m:t>v</m:t>
                            </m:r>
                            <m:r>
                              <m:t>e</m:t>
                            </m:r>
                            <m:r>
                              <m:t>n</m:t>
                            </m:r>
                            <m:r>
                              <m:t>t</m:t>
                            </m:r>
                          </m:sub>
                        </m:sSub>
                      </m:den>
                    </m:f>
                    <m:r>
                      <m:rPr>
                        <m:sty m:val="p"/>
                      </m:rPr>
                      <m:t>ℓ</m:t>
                    </m:r>
                    <m:d>
                      <m:dPr>
                        <m:begChr m:val="("/>
                        <m:endChr m:val=")"/>
                        <m:sepChr m:val=""/>
                        <m:grow/>
                      </m:dPr>
                      <m:e>
                        <m:r>
                          <m:t>W</m:t>
                        </m:r>
                        <m:r>
                          <m:rPr>
                            <m:sty m:val="p"/>
                          </m:rPr>
                          <m:t>,</m:t>
                        </m:r>
                        <m:r>
                          <m:t>β</m:t>
                        </m:r>
                      </m:e>
                    </m:d>
                    <m:r>
                      <m:rPr>
                        <m:sty m:val="p"/>
                      </m:rPr>
                      <m:t>−</m:t>
                    </m:r>
                    <m:r>
                      <m:t>λ</m:t>
                    </m:r>
                    <m:r>
                      <m:rPr>
                        <m:sty m:val="p"/>
                      </m:rPr>
                      <m:t>{</m:t>
                    </m:r>
                    <m:r>
                      <m:t>ξ</m:t>
                    </m:r>
                    <m:r>
                      <m:rPr>
                        <m:sty m:val="p"/>
                      </m:rPr>
                      <m:t>∥</m:t>
                    </m:r>
                    <m:r>
                      <m:t>β</m:t>
                    </m:r>
                    <m:sSub>
                      <m:e>
                        <m:r>
                          <m:rPr>
                            <m:sty m:val="p"/>
                          </m:rPr>
                          <m:t>∥</m:t>
                        </m:r>
                      </m:e>
                      <m:sub>
                        <m:r>
                          <m:t>1</m:t>
                        </m:r>
                      </m:sub>
                    </m:sSub>
                    <m:r>
                      <m:rPr>
                        <m:sty m:val="p"/>
                      </m:rPr>
                      <m:t>+</m:t>
                    </m:r>
                    <m:f>
                      <m:fPr>
                        <m:type m:val="lin"/>
                      </m:fPr>
                      <m:num>
                        <m:r>
                          <m:t>1</m:t>
                        </m:r>
                        <m:r>
                          <m:rPr>
                            <m:sty m:val="p"/>
                          </m:rPr>
                          <m:t>−</m:t>
                        </m:r>
                        <m:r>
                          <m:t>ξ</m:t>
                        </m:r>
                      </m:num>
                      <m:den>
                        <m:r>
                          <m:t>2</m:t>
                        </m:r>
                      </m:den>
                    </m:f>
                    <m:r>
                      <m:rPr>
                        <m:sty m:val="p"/>
                      </m:rPr>
                      <m:t>∥</m:t>
                    </m:r>
                    <m:r>
                      <m:t>β</m:t>
                    </m:r>
                    <m:sSubSup>
                      <m:e>
                        <m:r>
                          <m:rPr>
                            <m:sty m:val="p"/>
                          </m:rPr>
                          <m:t>∥</m:t>
                        </m:r>
                      </m:e>
                      <m:sub>
                        <m:r>
                          <m:t>2</m:t>
                        </m:r>
                      </m:sub>
                      <m:sup>
                        <m:r>
                          <m:t>2</m:t>
                        </m:r>
                      </m:sup>
                    </m:sSubSup>
                    <m:r>
                      <m:rPr>
                        <m:sty m:val="p"/>
                      </m:rPr>
                      <m:t>}</m:t>
                    </m:r>
                  </m:e>
                </m:d>
              </m:e>
            </m:mr>
          </m:m>
        </m:oMath>
      </m:oMathPara>
    </w:p>
    <w:p>
      <w:pPr>
        <w:pStyle w:val="FirstParagraph"/>
      </w:pPr>
      <w:r>
        <w:t xml:space="preserve">where</w:t>
      </w:r>
      <w:r>
        <w:t xml:space="preserve"> </w:t>
      </w:r>
      <m:oMath>
        <m:r>
          <m:rPr>
            <m:sty m:val="p"/>
          </m:rPr>
          <m:t>∥</m:t>
        </m:r>
        <m:r>
          <m:rPr>
            <m:sty m:val="p"/>
          </m:rPr>
          <m:t>⋅</m:t>
        </m:r>
        <m:sSub>
          <m:e>
            <m:r>
              <m:rPr>
                <m:sty m:val="p"/>
              </m:rPr>
              <m:t>∥</m:t>
            </m:r>
          </m:e>
          <m:sub>
            <m:r>
              <m:t>F</m:t>
            </m:r>
          </m:sub>
        </m:sSub>
      </m:oMath>
      <w:r>
        <w:t xml:space="preserve"> </w:t>
      </w:r>
      <w:r>
        <w:t xml:space="preserve">is the Frobenius norm and</w:t>
      </w:r>
      <w:r>
        <w:t xml:space="preserve"> </w:t>
      </w:r>
      <m:oMath>
        <m:r>
          <m:t>β</m:t>
        </m:r>
        <m:r>
          <m:rPr>
            <m:sty m:val="p"/>
          </m:rPr>
          <m:t>∈</m:t>
        </m:r>
        <m:sSup>
          <m:e>
            <m:r>
              <m:rPr>
                <m:sty m:val="p"/>
                <m:scr m:val="double-struck"/>
              </m:rPr>
              <m:t>R</m:t>
            </m:r>
          </m:e>
          <m:sup>
            <m:r>
              <m:t>k</m:t>
            </m:r>
          </m:sup>
        </m:sSup>
      </m:oMath>
      <w:r>
        <w:t xml:space="preserve"> </w:t>
      </w:r>
      <w:r>
        <w:t xml:space="preserve">are the Cox coefficients. The Cox log-partial</w:t>
      </w:r>
      <w:r>
        <w:t xml:space="preserve"> </w:t>
      </w:r>
      <w:r>
        <w:t xml:space="preserve">likelihood</w:t>
      </w:r>
      <w:r>
        <w:t xml:space="preserve"> </w:t>
      </w:r>
      <m:oMath>
        <m:r>
          <m:rPr>
            <m:sty m:val="p"/>
          </m:rPr>
          <m:t>ℓ</m:t>
        </m:r>
        <m:d>
          <m:dPr>
            <m:begChr m:val="("/>
            <m:endChr m:val=")"/>
            <m:sepChr m:val=""/>
            <m:grow/>
          </m:dPr>
          <m:e>
            <m:r>
              <m:t>W</m:t>
            </m:r>
            <m:r>
              <m:rPr>
                <m:sty m:val="p"/>
              </m:rPr>
              <m:t>,</m:t>
            </m:r>
            <m:r>
              <m:t>β</m:t>
            </m:r>
          </m:e>
        </m:d>
      </m:oMath>
      <w:r>
        <w:t xml:space="preserve"> </w:t>
      </w:r>
      <w:r>
        <w:t xml:space="preserve">is</w:t>
      </w:r>
    </w:p>
    <w:p>
      <w:pPr>
        <w:pStyle w:val="BodyText"/>
      </w:pPr>
      <m:oMathPara>
        <m:oMathParaPr>
          <m:jc m:val="center"/>
        </m:oMathParaPr>
        <m:oMath>
          <m:r>
            <m:rPr>
              <m:sty m:val="p"/>
            </m:rPr>
            <m:t>ℓ</m:t>
          </m:r>
          <m:d>
            <m:dPr>
              <m:begChr m:val="("/>
              <m:endChr m:val=")"/>
              <m:sepChr m:val=""/>
              <m:grow/>
            </m:dPr>
            <m:e>
              <m:r>
                <m:t>W</m:t>
              </m:r>
              <m:r>
                <m:rPr>
                  <m:sty m:val="p"/>
                </m:rPr>
                <m:t>,</m:t>
              </m:r>
              <m:r>
                <m:t>β</m:t>
              </m:r>
            </m:e>
          </m:d>
          <m:r>
            <m:rPr>
              <m:sty m:val="p"/>
            </m:rPr>
            <m:t>=</m:t>
          </m:r>
          <m:nary>
            <m:naryPr>
              <m:chr m:val="∑"/>
              <m:limLoc m:val="undOvr"/>
              <m:subHide m:val="off"/>
              <m:supHide m:val="off"/>
            </m:naryPr>
            <m:sub>
              <m:r>
                <m:t>i</m:t>
              </m:r>
              <m:r>
                <m:rPr>
                  <m:sty m:val="p"/>
                </m:rPr>
                <m:t>=</m:t>
              </m:r>
              <m:r>
                <m:t>1</m:t>
              </m:r>
            </m:sub>
            <m:sup>
              <m:r>
                <m:t>n</m:t>
              </m:r>
            </m:sup>
            <m:e>
              <m:sSub>
                <m:e>
                  <m:r>
                    <m:t>δ</m:t>
                  </m:r>
                </m:e>
                <m:sub>
                  <m:r>
                    <m:t>i</m:t>
                  </m:r>
                </m:sub>
              </m:sSub>
            </m:e>
          </m:nary>
          <m:d>
            <m:dPr>
              <m:begChr m:val="["/>
              <m:endChr m:val="]"/>
              <m:sepChr m:val=""/>
              <m:grow/>
            </m:dPr>
            <m:e>
              <m:sSubSup>
                <m:e>
                  <m:r>
                    <m:t>Z</m:t>
                  </m:r>
                </m:e>
                <m:sub>
                  <m:r>
                    <m:t>i</m:t>
                  </m:r>
                </m:sub>
                <m:sup>
                  <m:r>
                    <m:rPr>
                      <m:sty m:val="p"/>
                    </m:rPr>
                    <m:t>⊤</m:t>
                  </m:r>
                </m:sup>
              </m:sSubSup>
              <m:r>
                <m:t>β</m:t>
              </m:r>
              <m:r>
                <m:rPr>
                  <m:sty m:val="p"/>
                </m:rPr>
                <m:t>−</m:t>
              </m:r>
              <m:r>
                <m:rPr>
                  <m:sty m:val="p"/>
                </m:rPr>
                <m:t>log</m:t>
              </m:r>
              <m:d>
                <m:dPr>
                  <m:begChr m:val="("/>
                  <m:endChr m:val=")"/>
                  <m:sepChr m:val=""/>
                  <m:grow/>
                </m:dPr>
                <m:e>
                  <m:nary>
                    <m:naryPr>
                      <m:chr m:val="∑"/>
                      <m:limLoc m:val="undOvr"/>
                      <m:subHide m:val="off"/>
                      <m:supHide m:val="on"/>
                    </m:naryPr>
                    <m:sub>
                      <m:r>
                        <m:t>j</m:t>
                      </m:r>
                      <m:r>
                        <m:rPr>
                          <m:sty m:val="p"/>
                        </m:rPr>
                        <m:t>:</m:t>
                      </m:r>
                      <m:sSub>
                        <m:e>
                          <m:r>
                            <m:t>y</m:t>
                          </m:r>
                        </m:e>
                        <m:sub>
                          <m:r>
                            <m:t>j</m:t>
                          </m:r>
                        </m:sub>
                      </m:sSub>
                      <m:r>
                        <m:rPr>
                          <m:sty m:val="p"/>
                        </m:rPr>
                        <m:t>≥</m:t>
                      </m:r>
                      <m:sSub>
                        <m:e>
                          <m:r>
                            <m:t>y</m:t>
                          </m:r>
                        </m:e>
                        <m:sub>
                          <m:r>
                            <m:t>i</m:t>
                          </m:r>
                        </m:sub>
                      </m:sSub>
                    </m:sub>
                    <m:sup>
                      <m:r>
                        <m:t>​</m:t>
                      </m:r>
                    </m:sup>
                    <m:e>
                      <m:r>
                        <m:rPr>
                          <m:sty m:val="p"/>
                        </m:rPr>
                        <m:t>exp</m:t>
                      </m:r>
                    </m:e>
                  </m:nary>
                  <m:d>
                    <m:dPr>
                      <m:begChr m:val="("/>
                      <m:endChr m:val=")"/>
                      <m:sepChr m:val=""/>
                      <m:grow/>
                    </m:dPr>
                    <m:e>
                      <m:sSubSup>
                        <m:e>
                          <m:r>
                            <m:t>Z</m:t>
                          </m:r>
                        </m:e>
                        <m:sub>
                          <m:r>
                            <m:t>j</m:t>
                          </m:r>
                        </m:sub>
                        <m:sup>
                          <m:r>
                            <m:rPr>
                              <m:sty m:val="p"/>
                            </m:rPr>
                            <m:t>⊤</m:t>
                          </m:r>
                        </m:sup>
                      </m:sSubSup>
                      <m:r>
                        <m:t>β</m:t>
                      </m:r>
                    </m:e>
                  </m:d>
                </m:e>
              </m:d>
            </m:e>
          </m:d>
          <m:r>
            <m:rPr>
              <m:sty m:val="p"/>
            </m:rPr>
            <m:t>.</m:t>
          </m:r>
        </m:oMath>
      </m:oMathPara>
    </w:p>
    <w:p>
      <w:pPr>
        <w:pStyle w:val="FirstParagraph"/>
      </w:pPr>
      <w:r>
        <w:t xml:space="preserve">The inner sum runs over the risk set</w:t>
      </w:r>
      <w:r>
        <w:t xml:space="preserve"> </w:t>
      </w:r>
      <m:oMath>
        <m:r>
          <m:rPr>
            <m:sty m:val="p"/>
          </m:rPr>
          <m:t>{</m:t>
        </m:r>
        <m:r>
          <m:t>j</m:t>
        </m:r>
        <m:r>
          <m:rPr>
            <m:sty m:val="p"/>
          </m:rPr>
          <m:t>:</m:t>
        </m:r>
        <m:sSub>
          <m:e>
            <m:r>
              <m:t>y</m:t>
            </m:r>
          </m:e>
          <m:sub>
            <m:r>
              <m:t>j</m:t>
            </m:r>
          </m:sub>
        </m:sSub>
        <m:r>
          <m:rPr>
            <m:sty m:val="p"/>
          </m:rPr>
          <m:t>≥</m:t>
        </m:r>
        <m:sSub>
          <m:e>
            <m:r>
              <m:t>y</m:t>
            </m:r>
          </m:e>
          <m:sub>
            <m:r>
              <m:t>i</m:t>
            </m:r>
          </m:sub>
        </m:sSub>
        <m:r>
          <m:rPr>
            <m:sty m:val="p"/>
          </m:rPr>
          <m:t>}</m:t>
        </m:r>
      </m:oMath>
      <w:r>
        <w:t xml:space="preserve"> </w:t>
      </w:r>
      <w:r>
        <w:t xml:space="preserve">of subjects still at risk at the observed time</w:t>
      </w:r>
      <w:r>
        <w:t xml:space="preserve"> </w:t>
      </w:r>
      <m:oMath>
        <m:sSub>
          <m:e>
            <m:r>
              <m:t>y</m:t>
            </m:r>
          </m:e>
          <m:sub>
            <m:r>
              <m:t>i</m:t>
            </m:r>
          </m:sub>
        </m:sSub>
      </m:oMath>
      <w:r>
        <w:t xml:space="preserve">; tied event times are handled by the Breslow approximation in the \texttt{glmnet} Coxnet routine used for the</w:t>
      </w:r>
      <w:r>
        <w:t xml:space="preserve"> </w:t>
      </w:r>
      <m:oMath>
        <m:r>
          <m:t>β</m:t>
        </m:r>
      </m:oMath>
      <w:r>
        <w:t xml:space="preserve"> </w:t>
      </w:r>
      <w:r>
        <w:t xml:space="preserve">update (below).</w:t>
      </w:r>
      <w:r>
        <w:t xml:space="preserve"> </w:t>
      </w:r>
      <w:r>
        <w:t xml:space="preserve">Hyperparameters satisfy</w:t>
      </w:r>
      <w:r>
        <w:t xml:space="preserve"> </w:t>
      </w:r>
      <m:oMath>
        <m:r>
          <m:t>α</m:t>
        </m:r>
        <m:r>
          <m:rPr>
            <m:sty m:val="p"/>
          </m:rPr>
          <m:t>∈</m:t>
        </m:r>
        <m:r>
          <m:rPr>
            <m:sty m:val="p"/>
          </m:rPr>
          <m:t>[</m:t>
        </m:r>
        <m:r>
          <m:t>0</m:t>
        </m:r>
        <m:r>
          <m:rPr>
            <m:sty m:val="p"/>
          </m:rPr>
          <m:t>,</m:t>
        </m:r>
        <m:r>
          <m:t>1</m:t>
        </m:r>
        <m:r>
          <m:rPr>
            <m:sty m:val="p"/>
          </m:rPr>
          <m:t>)</m:t>
        </m:r>
      </m:oMath>
      <w:r>
        <w:t xml:space="preserve">,</w:t>
      </w:r>
      <w:r>
        <w:t xml:space="preserve"> </w:t>
      </w:r>
      <m:oMath>
        <m:sSub>
          <m:e>
            <m:r>
              <m:t>λ</m:t>
            </m:r>
          </m:e>
          <m:sub>
            <m:r>
              <m:t>H</m:t>
            </m:r>
          </m:sub>
        </m:sSub>
        <m:r>
          <m:rPr>
            <m:sty m:val="p"/>
          </m:rPr>
          <m:t>≥</m:t>
        </m:r>
        <m:r>
          <m:t>0</m:t>
        </m:r>
      </m:oMath>
      <w:r>
        <w:t xml:space="preserve">,</w:t>
      </w:r>
      <w:r>
        <w:t xml:space="preserve"> </w:t>
      </w:r>
      <m:oMath>
        <m:r>
          <m:t>λ</m:t>
        </m:r>
        <m:r>
          <m:rPr>
            <m:sty m:val="p"/>
          </m:rPr>
          <m:t>≥</m:t>
        </m:r>
        <m:r>
          <m:t>0</m:t>
        </m:r>
      </m:oMath>
      <w:r>
        <w:t xml:space="preserve">, and</w:t>
      </w:r>
      <w:r>
        <w:t xml:space="preserve"> </w:t>
      </w:r>
      <m:oMath>
        <m:r>
          <m:t>ξ</m:t>
        </m:r>
        <m:r>
          <m:rPr>
            <m:sty m:val="p"/>
          </m:rPr>
          <m:t>∈</m:t>
        </m:r>
        <m:d>
          <m:dPr>
            <m:begChr m:val="["/>
            <m:endChr m:val="]"/>
            <m:sepChr m:val=""/>
            <m:grow/>
          </m:dPr>
          <m:e>
            <m:r>
              <m:t>0</m:t>
            </m:r>
            <m:r>
              <m:rPr>
                <m:sty m:val="p"/>
              </m:rPr>
              <m:t>,</m:t>
            </m:r>
            <m:r>
              <m:t>1</m:t>
            </m:r>
          </m:e>
        </m:d>
      </m:oMath>
      <w:r>
        <w:t xml:space="preserve">.</w:t>
      </w:r>
      <w:r>
        <w:t xml:space="preserve"> </w:t>
      </w:r>
      <w:r>
        <w:t xml:space="preserve">The constants</w:t>
      </w:r>
      <w:r>
        <w:t xml:space="preserve"> </w:t>
      </w:r>
      <m:oMath>
        <m:r>
          <m:t>1</m:t>
        </m:r>
        <m:r>
          <m:rPr>
            <m:sty m:val="p"/>
          </m:rPr>
          <m:t>/</m:t>
        </m:r>
        <m:d>
          <m:dPr>
            <m:begChr m:val="("/>
            <m:endChr m:val=")"/>
            <m:sepChr m:val=""/>
            <m:grow/>
          </m:dPr>
          <m:e>
            <m:r>
              <m:t>2</m:t>
            </m:r>
            <m:r>
              <m:rPr>
                <m:sty m:val="p"/>
              </m:rPr>
              <m:t>∥</m:t>
            </m:r>
            <m:r>
              <m:t>X</m:t>
            </m:r>
            <m:sSubSup>
              <m:e>
                <m:r>
                  <m:rPr>
                    <m:sty m:val="p"/>
                  </m:rPr>
                  <m:t>∥</m:t>
                </m:r>
              </m:e>
              <m:sub>
                <m:r>
                  <m:t>F</m:t>
                </m:r>
              </m:sub>
              <m:sup>
                <m:r>
                  <m:t>2</m:t>
                </m:r>
              </m:sup>
            </m:sSubSup>
          </m:e>
        </m:d>
      </m:oMath>
      <w:r>
        <w:t xml:space="preserve">,</w:t>
      </w:r>
      <w:r>
        <w:t xml:space="preserve"> </w:t>
      </w:r>
      <m:oMath>
        <m:r>
          <m:t>2</m:t>
        </m:r>
        <m:r>
          <m:rPr>
            <m:sty m:val="p"/>
          </m:rPr>
          <m:t>/</m:t>
        </m:r>
        <m:sSub>
          <m:e>
            <m:r>
              <m:t>n</m:t>
            </m:r>
          </m:e>
          <m:sub>
            <m:r>
              <m:rPr>
                <m:nor/>
                <m:sty m:val="p"/>
              </m:rPr>
              <m:t>event</m:t>
            </m:r>
          </m:sub>
        </m:sSub>
      </m:oMath>
      <w:r>
        <w:t xml:space="preserve">, and</w:t>
      </w:r>
      <w:r>
        <w:t xml:space="preserve"> </w:t>
      </w:r>
      <m:oMath>
        <m:r>
          <m:t>1</m:t>
        </m:r>
        <m:r>
          <m:rPr>
            <m:sty m:val="p"/>
          </m:rPr>
          <m:t>/</m:t>
        </m:r>
        <m:d>
          <m:dPr>
            <m:begChr m:val="("/>
            <m:endChr m:val=")"/>
            <m:sepChr m:val=""/>
            <m:grow/>
          </m:dPr>
          <m:e>
            <m:r>
              <m:t>2</m:t>
            </m:r>
            <m:r>
              <m:t>n</m:t>
            </m:r>
            <m:r>
              <m:t>k</m:t>
            </m:r>
          </m:e>
        </m:d>
      </m:oMath>
      <w:r>
        <w:t xml:space="preserve"> </w:t>
      </w:r>
      <w:r>
        <w:t xml:space="preserve">place the reconstruction, loadings-penalty, and survival terms on comparable numerical scales for stable optimization.</w:t>
      </w:r>
    </w:p>
    <w:p>
      <w:pPr>
        <w:pStyle w:val="BodyText"/>
      </w:pPr>
      <w:r>
        <w:t xml:space="preserve">\section{Optimization Algorithm}</w:t>
      </w:r>
    </w:p>
    <w:p>
      <w:pPr>
        <w:pStyle w:val="BodyText"/>
      </w:pPr>
      <w:r>
        <w:t xml:space="preserve">\subsection{Block coordinate descent scheme}</w:t>
      </w:r>
      <w:r>
        <w:t xml:space="preserve"> </w:t>
      </w:r>
      <w:r>
        <w:t xml:space="preserve">Optimization proceeds by block coordinate descent (BCD; Algorithm [alg:desurv]), which at each outer iteration updates</w:t>
      </w:r>
      <w:r>
        <w:t xml:space="preserve"> </w:t>
      </w:r>
      <m:oMath>
        <m:r>
          <m:t>H</m:t>
        </m:r>
      </m:oMath>
      <w:r>
        <w:t xml:space="preserve">, then</w:t>
      </w:r>
      <w:r>
        <w:t xml:space="preserve"> </w:t>
      </w:r>
      <m:oMath>
        <m:r>
          <m:t>W</m:t>
        </m:r>
      </m:oMath>
      <w:r>
        <w:t xml:space="preserve">, then</w:t>
      </w:r>
      <w:r>
        <w:t xml:space="preserve"> </w:t>
      </w:r>
      <m:oMath>
        <m:r>
          <m:t>β</m:t>
        </m:r>
      </m:oMath>
      <w:r>
        <w:t xml:space="preserve"> </w:t>
      </w:r>
      <w:r>
        <w:t xml:space="preserve">while holding the other blocks fixed.</w:t>
      </w:r>
    </w:p>
    <w:p>
      <w:pPr>
        <w:pStyle w:val="BodyText"/>
      </w:pPr>
      <w:r>
        <w:rPr>
          <w:bCs/>
          <w:b/>
        </w:rPr>
        <w:t xml:space="preserve">DeSurv block coordinate descent</w:t>
      </w:r>
    </w:p>
    <w:p>
      <w:pPr>
        <w:pStyle w:val="BodyText"/>
      </w:pPr>
      <w:r>
        <w:t xml:space="preserve">Input:</w:t>
      </w:r>
      <w:r>
        <w:t xml:space="preserve"> </w:t>
      </w:r>
      <m:oMath>
        <m:r>
          <m:t>X</m:t>
        </m:r>
        <m:r>
          <m:rPr>
            <m:sty m:val="p"/>
          </m:rPr>
          <m:t>∈</m:t>
        </m:r>
        <m:sSubSup>
          <m:e>
            <m:r>
              <m:rPr>
                <m:sty m:val="p"/>
                <m:scr m:val="double-struck"/>
              </m:rPr>
              <m:t>R</m:t>
            </m:r>
          </m:e>
          <m:sub>
            <m:r>
              <m:rPr>
                <m:sty m:val="p"/>
              </m:rPr>
              <m:t>≥</m:t>
            </m:r>
            <m:r>
              <m:t>0</m:t>
            </m:r>
          </m:sub>
          <m:sup>
            <m:r>
              <m:t>p</m:t>
            </m:r>
            <m:r>
              <m:rPr>
                <m:sty m:val="p"/>
              </m:rPr>
              <m:t>×</m:t>
            </m:r>
            <m:r>
              <m:t>n</m:t>
            </m:r>
          </m:sup>
        </m:sSubSup>
      </m:oMath>
      <w:r>
        <w:t xml:space="preserve">, survival times</w:t>
      </w:r>
      <w:r>
        <w:t xml:space="preserve"> </w:t>
      </w:r>
      <m:oMath>
        <m:r>
          <m:t>y</m:t>
        </m:r>
        <m:r>
          <m:rPr>
            <m:sty m:val="p"/>
          </m:rPr>
          <m:t>∈</m:t>
        </m:r>
        <m:sSubSup>
          <m:e>
            <m:r>
              <m:rPr>
                <m:sty m:val="p"/>
                <m:scr m:val="double-struck"/>
              </m:rPr>
              <m:t>R</m:t>
            </m:r>
          </m:e>
          <m:sub>
            <m:r>
              <m:rPr>
                <m:sty m:val="p"/>
              </m:rPr>
              <m:t>&gt;</m:t>
            </m:r>
            <m:r>
              <m:t>0</m:t>
            </m:r>
          </m:sub>
          <m:sup>
            <m:r>
              <m:t>n</m:t>
            </m:r>
          </m:sup>
        </m:sSubSup>
      </m:oMath>
      <w:r>
        <w:t xml:space="preserve">, event indicators</w:t>
      </w:r>
      <w:r>
        <w:t xml:space="preserve"> </w:t>
      </w:r>
      <m:oMath>
        <m:r>
          <m:t>δ</m:t>
        </m:r>
        <m:r>
          <m:rPr>
            <m:sty m:val="p"/>
          </m:rPr>
          <m:t>∈</m:t>
        </m:r>
        <m:r>
          <m:rPr>
            <m:sty m:val="p"/>
          </m:rPr>
          <m:t>{</m:t>
        </m:r>
        <m:r>
          <m:t>0</m:t>
        </m:r>
        <m:r>
          <m:rPr>
            <m:sty m:val="p"/>
          </m:rPr>
          <m:t>,</m:t>
        </m:r>
        <m:r>
          <m:t>1</m:t>
        </m:r>
        <m:sSup>
          <m:e>
            <m:r>
              <m:rPr>
                <m:sty m:val="p"/>
              </m:rPr>
              <m:t>}</m:t>
            </m:r>
          </m:e>
          <m:sup>
            <m:r>
              <m:t>n</m:t>
            </m:r>
          </m:sup>
        </m:sSup>
      </m:oMath>
      <w:r>
        <w:t xml:space="preserve">, tolerance</w:t>
      </w:r>
      <w:r>
        <w:t xml:space="preserve"> </w:t>
      </w:r>
      <m:oMath>
        <m:r>
          <m:t>t</m:t>
        </m:r>
        <m:r>
          <m:t>o</m:t>
        </m:r>
        <m:r>
          <m:t>l</m:t>
        </m:r>
      </m:oMath>
      <w:r>
        <w:t xml:space="preserve">, maximum iterations</w:t>
      </w:r>
      <w:r>
        <w:t xml:space="preserve"> </w:t>
      </w:r>
      <m:oMath>
        <m:r>
          <m:t>m</m:t>
        </m:r>
        <m:r>
          <m:t>a</m:t>
        </m:r>
        <m:r>
          <m:t>x</m:t>
        </m:r>
        <m:r>
          <m:t>i</m:t>
        </m:r>
        <m:r>
          <m:t>t</m:t>
        </m:r>
      </m:oMath>
      <w:r>
        <w:t xml:space="preserve">, supervision parameter</w:t>
      </w:r>
      <w:r>
        <w:t xml:space="preserve"> </w:t>
      </w:r>
      <m:oMath>
        <m:r>
          <m:t>α</m:t>
        </m:r>
      </m:oMath>
      <w:r>
        <w:t xml:space="preserve">, rank</w:t>
      </w:r>
      <w:r>
        <w:t xml:space="preserve"> </w:t>
      </w:r>
      <m:oMath>
        <m:r>
          <m:t>k</m:t>
        </m:r>
      </m:oMath>
      <w:r>
        <w:t xml:space="preserve">, penalties</w:t>
      </w:r>
      <w:r>
        <w:t xml:space="preserve"> </w:t>
      </w:r>
      <m:oMath>
        <m:sSub>
          <m:e>
            <m:r>
              <m:t>λ</m:t>
            </m:r>
          </m:e>
          <m:sub>
            <m:r>
              <m:t>H</m:t>
            </m:r>
          </m:sub>
        </m:sSub>
      </m:oMath>
      <w:r>
        <w:t xml:space="preserve">,</w:t>
      </w:r>
      <w:r>
        <w:t xml:space="preserve"> </w:t>
      </w:r>
      <m:oMath>
        <m:r>
          <m:t>λ</m:t>
        </m:r>
      </m:oMath>
      <w:r>
        <w:t xml:space="preserve">, and</w:t>
      </w:r>
      <w:r>
        <w:t xml:space="preserve"> </w:t>
      </w:r>
      <m:oMath>
        <m:r>
          <m:t>ξ</m:t>
        </m:r>
      </m:oMath>
      <w:r>
        <w:br/>
      </w:r>
      <w:r>
        <w:t xml:space="preserve">Output: Fitted DeSurv parameters</w:t>
      </w:r>
      <w:r>
        <w:t xml:space="preserve"> </w:t>
      </w:r>
      <m:oMath>
        <m:d>
          <m:dPr>
            <m:begChr m:val="("/>
            <m:endChr m:val=")"/>
            <m:sepChr m:val=""/>
            <m:grow/>
          </m:dPr>
          <m:e>
            <m:r>
              <m:t>W</m:t>
            </m:r>
            <m:r>
              <m:rPr>
                <m:sty m:val="p"/>
              </m:rPr>
              <m:t>,</m:t>
            </m:r>
            <m:r>
              <m:t>H</m:t>
            </m:r>
            <m:r>
              <m:rPr>
                <m:sty m:val="p"/>
              </m:rPr>
              <m:t>,</m:t>
            </m:r>
            <m:r>
              <m:t>β</m:t>
            </m:r>
          </m:e>
        </m:d>
      </m:oMath>
      <w:r>
        <w:br/>
      </w:r>
      <w:r>
        <w:t xml:space="preserve">Initialize</w:t>
      </w:r>
      <w:r>
        <w:t xml:space="preserve"> </w:t>
      </w:r>
      <m:oMath>
        <m:sSup>
          <m:e>
            <m:r>
              <m:t>W</m:t>
            </m:r>
          </m:e>
          <m:sup>
            <m:d>
              <m:dPr>
                <m:begChr m:val="("/>
                <m:endChr m:val=")"/>
                <m:sepChr m:val=""/>
                <m:grow/>
              </m:dPr>
              <m:e>
                <m:r>
                  <m:t>0</m:t>
                </m:r>
              </m:e>
            </m:d>
          </m:sup>
        </m:sSup>
        <m:r>
          <m:rPr>
            <m:sty m:val="p"/>
          </m:rPr>
          <m:t>,</m:t>
        </m:r>
        <m:sSup>
          <m:e>
            <m:r>
              <m:t>H</m:t>
            </m:r>
          </m:e>
          <m:sup>
            <m:d>
              <m:dPr>
                <m:begChr m:val="("/>
                <m:endChr m:val=")"/>
                <m:sepChr m:val=""/>
                <m:grow/>
              </m:dPr>
              <m:e>
                <m:r>
                  <m:t>0</m:t>
                </m:r>
              </m:e>
            </m:d>
          </m:sup>
        </m:sSup>
      </m:oMath>
      <w:r>
        <w:t xml:space="preserve"> </w:t>
      </w:r>
      <w:r>
        <w:t xml:space="preserve">with positive entries (e.g.,</w:t>
      </w:r>
      <w:r>
        <w:t xml:space="preserve"> </w:t>
      </w:r>
      <m:oMath>
        <m:sSup>
          <m:e>
            <m:r>
              <m:t>W</m:t>
            </m:r>
          </m:e>
          <m:sup>
            <m:d>
              <m:dPr>
                <m:begChr m:val="("/>
                <m:endChr m:val=")"/>
                <m:sepChr m:val=""/>
                <m:grow/>
              </m:dPr>
              <m:e>
                <m:r>
                  <m:t>0</m:t>
                </m:r>
              </m:e>
            </m:d>
          </m:sup>
        </m:sSup>
        <m:r>
          <m:rPr>
            <m:sty m:val="p"/>
          </m:rPr>
          <m:t>,</m:t>
        </m:r>
        <m:sSup>
          <m:e>
            <m:r>
              <m:t>H</m:t>
            </m:r>
          </m:e>
          <m:sup>
            <m:d>
              <m:dPr>
                <m:begChr m:val="("/>
                <m:endChr m:val=")"/>
                <m:sepChr m:val=""/>
                <m:grow/>
              </m:dPr>
              <m:e>
                <m:r>
                  <m:t>0</m:t>
                </m:r>
              </m:e>
            </m:d>
          </m:sup>
        </m:sSup>
        <m:r>
          <m:rPr>
            <m:sty m:val="p"/>
          </m:rPr>
          <m:t>∼</m:t>
        </m:r>
        <m:r>
          <m:rPr>
            <m:sty m:val="p"/>
          </m:rPr>
          <m:t>U</m:t>
        </m:r>
        <m:r>
          <m:rPr>
            <m:sty m:val="p"/>
          </m:rPr>
          <m:t>n</m:t>
        </m:r>
        <m:r>
          <m:rPr>
            <m:sty m:val="p"/>
          </m:rPr>
          <m:t>i</m:t>
        </m:r>
        <m:r>
          <m:rPr>
            <m:sty m:val="p"/>
          </m:rPr>
          <m:t>f</m:t>
        </m:r>
        <m:r>
          <m:rPr>
            <m:sty m:val="p"/>
          </m:rPr>
          <m:t>o</m:t>
        </m:r>
        <m:r>
          <m:rPr>
            <m:sty m:val="p"/>
          </m:rPr>
          <m:t>r</m:t>
        </m:r>
        <m:r>
          <m:rPr>
            <m:sty m:val="p"/>
          </m:rPr>
          <m:t>m</m:t>
        </m:r>
        <m:d>
          <m:dPr>
            <m:begChr m:val="("/>
            <m:endChr m:val=")"/>
            <m:sepChr m:val=""/>
            <m:grow/>
          </m:dPr>
          <m:e>
            <m:r>
              <m:t>0</m:t>
            </m:r>
            <m:r>
              <m:rPr>
                <m:sty m:val="p"/>
              </m:rPr>
              <m:t>,</m:t>
            </m:r>
            <m:r>
              <m:rPr>
                <m:sty m:val="p"/>
              </m:rPr>
              <m:t>max</m:t>
            </m:r>
            <m:r>
              <m:t>X</m:t>
            </m:r>
          </m:e>
        </m:d>
      </m:oMath>
      <w:r>
        <w:t xml:space="preserve">)</w:t>
      </w:r>
      <w:r>
        <w:br/>
      </w:r>
      <w:r>
        <w:t xml:space="preserve">Initialize</w:t>
      </w:r>
      <w:r>
        <w:t xml:space="preserve"> </w:t>
      </w:r>
      <m:oMath>
        <m:sSup>
          <m:e>
            <m:r>
              <m:t>β</m:t>
            </m:r>
          </m:e>
          <m:sup>
            <m:d>
              <m:dPr>
                <m:begChr m:val="("/>
                <m:endChr m:val=")"/>
                <m:sepChr m:val=""/>
                <m:grow/>
              </m:dPr>
              <m:e>
                <m:r>
                  <m:t>0</m:t>
                </m:r>
              </m:e>
            </m:d>
          </m:sup>
        </m:sSup>
      </m:oMath>
      <w:r>
        <w:t xml:space="preserve"> </w:t>
      </w:r>
      <w:r>
        <w:t xml:space="preserve">(e.g.,</w:t>
      </w:r>
      <w:r>
        <w:t xml:space="preserve"> </w:t>
      </w:r>
      <m:oMath>
        <m:sSup>
          <m:e>
            <m:r>
              <m:t>β</m:t>
            </m:r>
          </m:e>
          <m:sup>
            <m:d>
              <m:dPr>
                <m:begChr m:val="("/>
                <m:endChr m:val=")"/>
                <m:sepChr m:val=""/>
                <m:grow/>
              </m:dPr>
              <m:e>
                <m:r>
                  <m:t>0</m:t>
                </m:r>
              </m:e>
            </m:d>
          </m:sup>
        </m:sSup>
        <m:r>
          <m:rPr>
            <m:sty m:val="p"/>
          </m:rPr>
          <m:t>=</m:t>
        </m:r>
        <m:r>
          <m:rPr>
            <m:sty m:val="b"/>
          </m:rPr>
          <m:t>1</m:t>
        </m:r>
      </m:oMath>
      <w:r>
        <w:t xml:space="preserve">)</w:t>
      </w:r>
      <w:r>
        <w:br/>
      </w:r>
      <m:oMath>
        <m:r>
          <m:t>l</m:t>
        </m:r>
        <m:r>
          <m:t>o</m:t>
        </m:r>
        <m:r>
          <m:t>s</m:t>
        </m:r>
        <m:r>
          <m:t>s</m:t>
        </m:r>
        <m:r>
          <m:rPr>
            <m:sty m:val="p"/>
          </m:rPr>
          <m:t>=</m:t>
        </m:r>
        <m:r>
          <m:rPr>
            <m:sty m:val="p"/>
            <m:scr m:val="script"/>
          </m:rPr>
          <m:t>L</m:t>
        </m:r>
        <m:d>
          <m:dPr>
            <m:begChr m:val="("/>
            <m:endChr m:val=")"/>
            <m:sepChr m:val=""/>
            <m:grow/>
          </m:dPr>
          <m:e>
            <m:sSup>
              <m:e>
                <m:r>
                  <m:t>W</m:t>
                </m:r>
              </m:e>
              <m:sup>
                <m:d>
                  <m:dPr>
                    <m:begChr m:val="("/>
                    <m:endChr m:val=")"/>
                    <m:sepChr m:val=""/>
                    <m:grow/>
                  </m:dPr>
                  <m:e>
                    <m:r>
                      <m:t>0</m:t>
                    </m:r>
                  </m:e>
                </m:d>
              </m:sup>
            </m:sSup>
            <m:r>
              <m:rPr>
                <m:sty m:val="p"/>
              </m:rPr>
              <m:t>,</m:t>
            </m:r>
            <m:sSup>
              <m:e>
                <m:r>
                  <m:t>H</m:t>
                </m:r>
              </m:e>
              <m:sup>
                <m:d>
                  <m:dPr>
                    <m:begChr m:val="("/>
                    <m:endChr m:val=")"/>
                    <m:sepChr m:val=""/>
                    <m:grow/>
                  </m:dPr>
                  <m:e>
                    <m:r>
                      <m:t>0</m:t>
                    </m:r>
                  </m:e>
                </m:d>
              </m:sup>
            </m:sSup>
            <m:r>
              <m:rPr>
                <m:sty m:val="p"/>
              </m:rPr>
              <m:t>,</m:t>
            </m:r>
            <m:sSup>
              <m:e>
                <m:r>
                  <m:t>β</m:t>
                </m:r>
              </m:e>
              <m:sup>
                <m:d>
                  <m:dPr>
                    <m:begChr m:val="("/>
                    <m:endChr m:val=")"/>
                    <m:sepChr m:val=""/>
                    <m:grow/>
                  </m:dPr>
                  <m:e>
                    <m:r>
                      <m:t>0</m:t>
                    </m:r>
                  </m:e>
                </m:d>
              </m:sup>
            </m:sSup>
          </m:e>
        </m:d>
      </m:oMath>
      <w:r>
        <w:br/>
      </w:r>
      <m:oMath>
        <m:r>
          <m:t>e</m:t>
        </m:r>
        <m:r>
          <m:t>p</m:t>
        </m:r>
        <m:r>
          <m:t>s</m:t>
        </m:r>
        <m:r>
          <m:rPr>
            <m:sty m:val="p"/>
          </m:rPr>
          <m:t>=</m:t>
        </m:r>
        <m:r>
          <m:rPr>
            <m:sty m:val="p"/>
          </m:rPr>
          <m:t>∞</m:t>
        </m:r>
      </m:oMath>
      <w:r>
        <w:t xml:space="preserve">,</w:t>
      </w:r>
      <w:r>
        <w:t xml:space="preserve"> </w:t>
      </w:r>
      <m:oMath>
        <m:r>
          <m:t>t</m:t>
        </m:r>
        <m:r>
          <m:rPr>
            <m:sty m:val="p"/>
          </m:rPr>
          <m:t>=</m:t>
        </m:r>
        <m:r>
          <m:t>0</m:t>
        </m:r>
      </m:oMath>
      <w:r>
        <w:br/>
      </w:r>
      <w:r>
        <w:t xml:space="preserve">while</w:t>
      </w:r>
      <w:r>
        <w:t xml:space="preserve"> </w:t>
      </w:r>
      <m:oMath>
        <m:r>
          <m:t>e</m:t>
        </m:r>
        <m:r>
          <m:t>p</m:t>
        </m:r>
        <m:r>
          <m:t>s</m:t>
        </m:r>
        <m:r>
          <m:rPr>
            <m:sty m:val="p"/>
          </m:rPr>
          <m:t>≥</m:t>
        </m:r>
        <m:r>
          <m:t>t</m:t>
        </m:r>
        <m:r>
          <m:t>o</m:t>
        </m:r>
        <m:r>
          <m:t>l</m:t>
        </m:r>
      </m:oMath>
      <w:r>
        <w:t xml:space="preserve"> </w:t>
      </w:r>
      <w:r>
        <w:rPr>
          <w:bCs/>
          <w:b/>
        </w:rPr>
        <w:t xml:space="preserve">and</w:t>
      </w:r>
      <w:r>
        <w:t xml:space="preserve"> </w:t>
      </w:r>
      <m:oMath>
        <m:r>
          <m:t>t</m:t>
        </m:r>
        <m:r>
          <m:rPr>
            <m:sty m:val="p"/>
          </m:rPr>
          <m:t>&lt;</m:t>
        </m:r>
        <m:r>
          <m:t>m</m:t>
        </m:r>
        <m:r>
          <m:t>a</m:t>
        </m:r>
        <m:r>
          <m:t>x</m:t>
        </m:r>
        <m:r>
          <m:t>i</m:t>
        </m:r>
        <m:r>
          <m:t>t</m:t>
        </m:r>
      </m:oMath>
      <w:r>
        <w:t xml:space="preserve"> </w:t>
      </w:r>
      <w:r>
        <w:t xml:space="preserve">do</w:t>
      </w:r>
      <w:r>
        <w:br/>
      </w:r>
      <w:r>
        <w:rPr>
          <w:bCs/>
          <w:b/>
        </w:rPr>
        <w:t xml:space="preserve">(H-update)</w:t>
      </w:r>
      <w:r>
        <w:br/>
      </w:r>
      <w:r>
        <w:t xml:space="preserve">Update</w:t>
      </w:r>
      <w:r>
        <w:t xml:space="preserve"> </w:t>
      </w:r>
      <m:oMath>
        <m:sSup>
          <m:e>
            <m:r>
              <m:t>H</m:t>
            </m:r>
          </m:e>
          <m:sup>
            <m:d>
              <m:dPr>
                <m:begChr m:val="("/>
                <m:endChr m:val=")"/>
                <m:sepChr m:val=""/>
                <m:grow/>
              </m:dPr>
              <m:e>
                <m:r>
                  <m:t>t</m:t>
                </m:r>
                <m:r>
                  <m:rPr>
                    <m:sty m:val="p"/>
                  </m:rPr>
                  <m:t>+</m:t>
                </m:r>
                <m:r>
                  <m:t>1</m:t>
                </m:r>
              </m:e>
            </m:d>
          </m:sup>
        </m:sSup>
      </m:oMath>
      <w:r>
        <w:t xml:space="preserve"> </w:t>
      </w:r>
      <w:r>
        <w:t xml:space="preserve">from</w:t>
      </w:r>
      <w:r>
        <w:t xml:space="preserve"> </w:t>
      </w:r>
      <m:oMath>
        <m:sSup>
          <m:e>
            <m:r>
              <m:t>H</m:t>
            </m:r>
          </m:e>
          <m:sup>
            <m:d>
              <m:dPr>
                <m:begChr m:val="("/>
                <m:endChr m:val=")"/>
                <m:sepChr m:val=""/>
                <m:grow/>
              </m:dPr>
              <m:e>
                <m:r>
                  <m:t>t</m:t>
                </m:r>
              </m:e>
            </m:d>
          </m:sup>
        </m:sSup>
      </m:oMath>
      <w:r>
        <w:t xml:space="preserve"> </w:t>
      </w:r>
      <w:r>
        <w:t xml:space="preserve">using the multiplicative rule in Eq. [eqn:Hupdate],</w:t>
      </w:r>
      <w:r>
        <w:br/>
      </w:r>
      <w:r>
        <w:t xml:space="preserve">holding</w:t>
      </w:r>
      <w:r>
        <w:t xml:space="preserve"> </w:t>
      </w:r>
      <m:oMath>
        <m:sSup>
          <m:e>
            <m:r>
              <m:t>W</m:t>
            </m:r>
          </m:e>
          <m:sup>
            <m:d>
              <m:dPr>
                <m:begChr m:val="("/>
                <m:endChr m:val=")"/>
                <m:sepChr m:val=""/>
                <m:grow/>
              </m:dPr>
              <m:e>
                <m:r>
                  <m:t>t</m:t>
                </m:r>
              </m:e>
            </m:d>
          </m:sup>
        </m:sSup>
      </m:oMath>
      <w:r>
        <w:t xml:space="preserve"> </w:t>
      </w:r>
      <w:r>
        <w:t xml:space="preserve">and</w:t>
      </w:r>
      <w:r>
        <w:t xml:space="preserve"> </w:t>
      </w:r>
      <m:oMath>
        <m:sSup>
          <m:e>
            <m:r>
              <m:t>β</m:t>
            </m:r>
          </m:e>
          <m:sup>
            <m:d>
              <m:dPr>
                <m:begChr m:val="("/>
                <m:endChr m:val=")"/>
                <m:sepChr m:val=""/>
                <m:grow/>
              </m:dPr>
              <m:e>
                <m:r>
                  <m:t>t</m:t>
                </m:r>
              </m:e>
            </m:d>
          </m:sup>
        </m:sSup>
      </m:oMath>
      <w:r>
        <w:t xml:space="preserve"> </w:t>
      </w:r>
      <w:r>
        <w:t xml:space="preserve">fixed.</w:t>
      </w:r>
      <w:r>
        <w:br/>
      </w:r>
      <w:r>
        <w:rPr>
          <w:bCs/>
          <w:b/>
        </w:rPr>
        <w:t xml:space="preserve">(W-update)</w:t>
      </w:r>
      <w:r>
        <w:br/>
      </w:r>
      <w:r>
        <w:t xml:space="preserve">Update</w:t>
      </w:r>
      <w:r>
        <w:t xml:space="preserve"> </w:t>
      </w:r>
      <m:oMath>
        <m:sSup>
          <m:e>
            <m:r>
              <m:t>W</m:t>
            </m:r>
          </m:e>
          <m:sup>
            <m:d>
              <m:dPr>
                <m:begChr m:val="("/>
                <m:endChr m:val=")"/>
                <m:sepChr m:val=""/>
                <m:grow/>
              </m:dPr>
              <m:e>
                <m:r>
                  <m:t>t</m:t>
                </m:r>
                <m:r>
                  <m:rPr>
                    <m:sty m:val="p"/>
                  </m:rPr>
                  <m:t>+</m:t>
                </m:r>
                <m:r>
                  <m:t>1</m:t>
                </m:r>
              </m:e>
            </m:d>
          </m:sup>
        </m:sSup>
      </m:oMath>
      <w:r>
        <w:t xml:space="preserve"> </w:t>
      </w:r>
      <w:r>
        <w:t xml:space="preserve">from</w:t>
      </w:r>
      <w:r>
        <w:t xml:space="preserve"> </w:t>
      </w:r>
      <m:oMath>
        <m:sSup>
          <m:e>
            <m:r>
              <m:t>W</m:t>
            </m:r>
          </m:e>
          <m:sup>
            <m:d>
              <m:dPr>
                <m:begChr m:val="("/>
                <m:endChr m:val=")"/>
                <m:sepChr m:val=""/>
                <m:grow/>
              </m:dPr>
              <m:e>
                <m:r>
                  <m:t>t</m:t>
                </m:r>
              </m:e>
            </m:d>
          </m:sup>
        </m:sSup>
      </m:oMath>
      <w:r>
        <w:t xml:space="preserve"> </w:t>
      </w:r>
      <w:r>
        <w:t xml:space="preserve">using the hybrid multiplicative rule in Eq. [eqn:W_update],</w:t>
      </w:r>
      <w:r>
        <w:br/>
      </w:r>
      <w:r>
        <w:t xml:space="preserve">holding</w:t>
      </w:r>
      <w:r>
        <w:t xml:space="preserve"> </w:t>
      </w:r>
      <m:oMath>
        <m:sSup>
          <m:e>
            <m:r>
              <m:t>H</m:t>
            </m:r>
          </m:e>
          <m:sup>
            <m:d>
              <m:dPr>
                <m:begChr m:val="("/>
                <m:endChr m:val=")"/>
                <m:sepChr m:val=""/>
                <m:grow/>
              </m:dPr>
              <m:e>
                <m:r>
                  <m:t>t</m:t>
                </m:r>
                <m:r>
                  <m:rPr>
                    <m:sty m:val="p"/>
                  </m:rPr>
                  <m:t>+</m:t>
                </m:r>
                <m:r>
                  <m:t>1</m:t>
                </m:r>
              </m:e>
            </m:d>
          </m:sup>
        </m:sSup>
      </m:oMath>
      <w:r>
        <w:t xml:space="preserve"> </w:t>
      </w:r>
      <w:r>
        <w:t xml:space="preserve">and</w:t>
      </w:r>
      <w:r>
        <w:t xml:space="preserve"> </w:t>
      </w:r>
      <m:oMath>
        <m:sSup>
          <m:e>
            <m:r>
              <m:t>β</m:t>
            </m:r>
          </m:e>
          <m:sup>
            <m:d>
              <m:dPr>
                <m:begChr m:val="("/>
                <m:endChr m:val=")"/>
                <m:sepChr m:val=""/>
                <m:grow/>
              </m:dPr>
              <m:e>
                <m:r>
                  <m:t>t</m:t>
                </m:r>
              </m:e>
            </m:d>
          </m:sup>
        </m:sSup>
      </m:oMath>
      <w:r>
        <w:t xml:space="preserve"> </w:t>
      </w:r>
      <w:r>
        <w:t xml:space="preserve">fixed, and perform backtracking to ensure</w:t>
      </w:r>
      <w:r>
        <w:br/>
      </w:r>
      <m:oMath>
        <m:r>
          <m:rPr>
            <m:sty m:val="p"/>
            <m:scr m:val="script"/>
          </m:rPr>
          <m:t>L</m:t>
        </m:r>
      </m:oMath>
      <w:r>
        <w:t xml:space="preserve"> </w:t>
      </w:r>
      <w:r>
        <w:t xml:space="preserve">does not increase.</w:t>
      </w:r>
      <w:r>
        <w:br/>
      </w:r>
      <w:r>
        <w:rPr>
          <w:bCs/>
          <w:b/>
        </w:rPr>
        <w:t xml:space="preserve">(</w:t>
      </w:r>
      <m:oMath>
        <m:r>
          <m:t>β</m:t>
        </m:r>
      </m:oMath>
      <w:r>
        <w:rPr>
          <w:bCs/>
          <w:b/>
        </w:rPr>
        <w:t xml:space="preserve">-update)</w:t>
      </w:r>
      <w:r>
        <w:br/>
      </w:r>
      <w:r>
        <w:t xml:space="preserve">Update</w:t>
      </w:r>
      <w:r>
        <w:t xml:space="preserve"> </w:t>
      </w:r>
      <m:oMath>
        <m:sSup>
          <m:e>
            <m:r>
              <m:t>β</m:t>
            </m:r>
          </m:e>
          <m:sup>
            <m:d>
              <m:dPr>
                <m:begChr m:val="("/>
                <m:endChr m:val=")"/>
                <m:sepChr m:val=""/>
                <m:grow/>
              </m:dPr>
              <m:e>
                <m:r>
                  <m:t>t</m:t>
                </m:r>
                <m:r>
                  <m:rPr>
                    <m:sty m:val="p"/>
                  </m:rPr>
                  <m:t>+</m:t>
                </m:r>
                <m:r>
                  <m:t>1</m:t>
                </m:r>
              </m:e>
            </m:d>
          </m:sup>
        </m:sSup>
      </m:oMath>
      <w:r>
        <w:t xml:space="preserve"> </w:t>
      </w:r>
      <w:r>
        <w:t xml:space="preserve">by solving the elastic-net Cox subproblem using cyclic coordinate descent to numerical tolerance</w:t>
      </w:r>
      <w:r>
        <w:br/>
      </w:r>
      <w:r>
        <w:t xml:space="preserve">(Eq. [eqn:beta_update]), holding</w:t>
      </w:r>
      <w:r>
        <w:t xml:space="preserve"> </w:t>
      </w:r>
      <m:oMath>
        <m:sSup>
          <m:e>
            <m:r>
              <m:t>W</m:t>
            </m:r>
          </m:e>
          <m:sup>
            <m:d>
              <m:dPr>
                <m:begChr m:val="("/>
                <m:endChr m:val=")"/>
                <m:sepChr m:val=""/>
                <m:grow/>
              </m:dPr>
              <m:e>
                <m:r>
                  <m:t>t</m:t>
                </m:r>
                <m:r>
                  <m:rPr>
                    <m:sty m:val="p"/>
                  </m:rPr>
                  <m:t>+</m:t>
                </m:r>
                <m:r>
                  <m:t>1</m:t>
                </m:r>
              </m:e>
            </m:d>
          </m:sup>
        </m:sSup>
      </m:oMath>
      <w:r>
        <w:t xml:space="preserve"> </w:t>
      </w:r>
      <w:r>
        <w:t xml:space="preserve">and</w:t>
      </w:r>
      <w:r>
        <w:t xml:space="preserve"> </w:t>
      </w:r>
      <m:oMath>
        <m:sSup>
          <m:e>
            <m:r>
              <m:t>H</m:t>
            </m:r>
          </m:e>
          <m:sup>
            <m:d>
              <m:dPr>
                <m:begChr m:val="("/>
                <m:endChr m:val=")"/>
                <m:sepChr m:val=""/>
                <m:grow/>
              </m:dPr>
              <m:e>
                <m:r>
                  <m:t>t</m:t>
                </m:r>
                <m:r>
                  <m:rPr>
                    <m:sty m:val="p"/>
                  </m:rPr>
                  <m:t>+</m:t>
                </m:r>
                <m:r>
                  <m:t>1</m:t>
                </m:r>
              </m:e>
            </m:d>
          </m:sup>
        </m:sSup>
      </m:oMath>
      <w:r>
        <w:t xml:space="preserve"> </w:t>
      </w:r>
      <w:r>
        <w:t xml:space="preserve">fixed.</w:t>
      </w:r>
      <w:r>
        <w:br/>
      </w:r>
      <m:oMath>
        <m:r>
          <m:t>l</m:t>
        </m:r>
        <m:r>
          <m:t>o</m:t>
        </m:r>
        <m:r>
          <m:t>s</m:t>
        </m:r>
        <m:r>
          <m:t>s</m:t>
        </m:r>
        <m:r>
          <m:t>N</m:t>
        </m:r>
        <m:r>
          <m:t>e</m:t>
        </m:r>
        <m:r>
          <m:t>w</m:t>
        </m:r>
        <m:r>
          <m:rPr>
            <m:sty m:val="p"/>
          </m:rPr>
          <m:t>=</m:t>
        </m:r>
        <m:r>
          <m:rPr>
            <m:sty m:val="p"/>
            <m:scr m:val="script"/>
          </m:rPr>
          <m:t>L</m:t>
        </m:r>
        <m:d>
          <m:dPr>
            <m:begChr m:val="("/>
            <m:endChr m:val=")"/>
            <m:sepChr m:val=""/>
            <m:grow/>
          </m:dPr>
          <m:e>
            <m:sSup>
              <m:e>
                <m:r>
                  <m:t>W</m:t>
                </m:r>
              </m:e>
              <m:sup>
                <m:d>
                  <m:dPr>
                    <m:begChr m:val="("/>
                    <m:endChr m:val=")"/>
                    <m:sepChr m:val=""/>
                    <m:grow/>
                  </m:dPr>
                  <m:e>
                    <m:r>
                      <m:t>t</m:t>
                    </m:r>
                    <m:r>
                      <m:rPr>
                        <m:sty m:val="p"/>
                      </m:rPr>
                      <m:t>+</m:t>
                    </m:r>
                    <m:r>
                      <m:t>1</m:t>
                    </m:r>
                  </m:e>
                </m:d>
              </m:sup>
            </m:sSup>
            <m:r>
              <m:rPr>
                <m:sty m:val="p"/>
              </m:rPr>
              <m:t>,</m:t>
            </m:r>
            <m:sSup>
              <m:e>
                <m:r>
                  <m:t>H</m:t>
                </m:r>
              </m:e>
              <m:sup>
                <m:d>
                  <m:dPr>
                    <m:begChr m:val="("/>
                    <m:endChr m:val=")"/>
                    <m:sepChr m:val=""/>
                    <m:grow/>
                  </m:dPr>
                  <m:e>
                    <m:r>
                      <m:t>t</m:t>
                    </m:r>
                    <m:r>
                      <m:rPr>
                        <m:sty m:val="p"/>
                      </m:rPr>
                      <m:t>+</m:t>
                    </m:r>
                    <m:r>
                      <m:t>1</m:t>
                    </m:r>
                  </m:e>
                </m:d>
              </m:sup>
            </m:sSup>
            <m:r>
              <m:rPr>
                <m:sty m:val="p"/>
              </m:rPr>
              <m:t>,</m:t>
            </m:r>
            <m:sSup>
              <m:e>
                <m:r>
                  <m:t>β</m:t>
                </m:r>
              </m:e>
              <m:sup>
                <m:d>
                  <m:dPr>
                    <m:begChr m:val="("/>
                    <m:endChr m:val=")"/>
                    <m:sepChr m:val=""/>
                    <m:grow/>
                  </m:dPr>
                  <m:e>
                    <m:r>
                      <m:t>t</m:t>
                    </m:r>
                    <m:r>
                      <m:rPr>
                        <m:sty m:val="p"/>
                      </m:rPr>
                      <m:t>+</m:t>
                    </m:r>
                    <m:r>
                      <m:t>1</m:t>
                    </m:r>
                  </m:e>
                </m:d>
              </m:sup>
            </m:sSup>
          </m:e>
        </m:d>
      </m:oMath>
      <w:r>
        <w:br/>
      </w:r>
      <m:oMath>
        <m:r>
          <m:t>e</m:t>
        </m:r>
        <m:r>
          <m:t>p</m:t>
        </m:r>
        <m:r>
          <m:t>s</m:t>
        </m:r>
        <m:r>
          <m:rPr>
            <m:sty m:val="p"/>
          </m:rPr>
          <m:t>=</m:t>
        </m:r>
        <m:d>
          <m:dPr>
            <m:begChr m:val="|"/>
            <m:endChr m:val="|"/>
            <m:sepChr m:val=""/>
            <m:grow/>
          </m:dPr>
          <m:e>
            <m:r>
              <m:t>l</m:t>
            </m:r>
            <m:r>
              <m:t>o</m:t>
            </m:r>
            <m:r>
              <m:t>s</m:t>
            </m:r>
            <m:r>
              <m:t>s</m:t>
            </m:r>
            <m:r>
              <m:t>N</m:t>
            </m:r>
            <m:r>
              <m:t>e</m:t>
            </m:r>
            <m:r>
              <m:t>w</m:t>
            </m:r>
            <m:r>
              <m:rPr>
                <m:sty m:val="p"/>
              </m:rPr>
              <m:t>−</m:t>
            </m:r>
            <m:r>
              <m:t>l</m:t>
            </m:r>
            <m:r>
              <m:t>o</m:t>
            </m:r>
            <m:r>
              <m:t>s</m:t>
            </m:r>
            <m:r>
              <m:t>s</m:t>
            </m:r>
          </m:e>
        </m:d>
        <m:r>
          <m:rPr>
            <m:sty m:val="p"/>
          </m:rPr>
          <m:t>/</m:t>
        </m:r>
        <m:d>
          <m:dPr>
            <m:begChr m:val="|"/>
            <m:endChr m:val="|"/>
            <m:sepChr m:val=""/>
            <m:grow/>
          </m:dPr>
          <m:e>
            <m:r>
              <m:t>l</m:t>
            </m:r>
            <m:r>
              <m:t>o</m:t>
            </m:r>
            <m:r>
              <m:t>s</m:t>
            </m:r>
            <m:r>
              <m:t>s</m:t>
            </m:r>
          </m:e>
        </m:d>
      </m:oMath>
      <w:r>
        <w:br/>
      </w:r>
      <m:oMath>
        <m:r>
          <m:t>l</m:t>
        </m:r>
        <m:r>
          <m:t>o</m:t>
        </m:r>
        <m:r>
          <m:t>s</m:t>
        </m:r>
        <m:r>
          <m:t>s</m:t>
        </m:r>
        <m:r>
          <m:rPr>
            <m:sty m:val="p"/>
          </m:rPr>
          <m:t>=</m:t>
        </m:r>
        <m:r>
          <m:t>l</m:t>
        </m:r>
        <m:r>
          <m:t>o</m:t>
        </m:r>
        <m:r>
          <m:t>s</m:t>
        </m:r>
        <m:r>
          <m:t>s</m:t>
        </m:r>
        <m:r>
          <m:t>N</m:t>
        </m:r>
        <m:r>
          <m:t>e</m:t>
        </m:r>
        <m:r>
          <m:t>w</m:t>
        </m:r>
      </m:oMath>
      <w:r>
        <w:br/>
      </w:r>
      <m:oMath>
        <m:r>
          <m:t>t</m:t>
        </m:r>
        <m:r>
          <m:rPr>
            <m:sty m:val="p"/>
          </m:rPr>
          <m:t>=</m:t>
        </m:r>
        <m:r>
          <m:t>t</m:t>
        </m:r>
        <m:r>
          <m:rPr>
            <m:sty m:val="p"/>
          </m:rPr>
          <m:t>+</m:t>
        </m:r>
        <m:r>
          <m:t>1</m:t>
        </m:r>
      </m:oMath>
      <w:r>
        <w:br/>
      </w:r>
      <w:r>
        <w:t xml:space="preserve">end while</w:t>
      </w:r>
      <w:r>
        <w:br/>
      </w:r>
      <m:oMath>
        <m:acc>
          <m:accPr>
            <m:chr m:val="̂"/>
          </m:accPr>
          <m:e>
            <m:r>
              <m:t>W</m:t>
            </m:r>
          </m:e>
        </m:acc>
        <m:r>
          <m:rPr>
            <m:sty m:val="p"/>
          </m:rPr>
          <m:t>=</m:t>
        </m:r>
        <m:sSup>
          <m:e>
            <m:r>
              <m:t>W</m:t>
            </m:r>
          </m:e>
          <m:sup>
            <m:d>
              <m:dPr>
                <m:begChr m:val="("/>
                <m:endChr m:val=")"/>
                <m:sepChr m:val=""/>
                <m:grow/>
              </m:dPr>
              <m:e>
                <m:r>
                  <m:t>t</m:t>
                </m:r>
              </m:e>
            </m:d>
          </m:sup>
        </m:sSup>
        <m:r>
          <m:rPr>
            <m:sty m:val="p"/>
          </m:rPr>
          <m:t>,</m:t>
        </m:r>
        <m:acc>
          <m:accPr>
            <m:chr m:val="̂"/>
          </m:accPr>
          <m:e>
            <m:r>
              <m:t>H</m:t>
            </m:r>
          </m:e>
        </m:acc>
        <m:r>
          <m:rPr>
            <m:sty m:val="p"/>
          </m:rPr>
          <m:t>=</m:t>
        </m:r>
        <m:sSup>
          <m:e>
            <m:r>
              <m:t>H</m:t>
            </m:r>
          </m:e>
          <m:sup>
            <m:d>
              <m:dPr>
                <m:begChr m:val="("/>
                <m:endChr m:val=")"/>
                <m:sepChr m:val=""/>
                <m:grow/>
              </m:dPr>
              <m:e>
                <m:r>
                  <m:t>t</m:t>
                </m:r>
              </m:e>
            </m:d>
          </m:sup>
        </m:sSup>
        <m:r>
          <m:rPr>
            <m:sty m:val="p"/>
          </m:rPr>
          <m:t>,</m:t>
        </m:r>
        <m:acc>
          <m:accPr>
            <m:chr m:val="̂"/>
          </m:accPr>
          <m:e>
            <m:r>
              <m:t>β</m:t>
            </m:r>
          </m:e>
        </m:acc>
        <m:r>
          <m:rPr>
            <m:sty m:val="p"/>
          </m:rPr>
          <m:t>=</m:t>
        </m:r>
        <m:sSup>
          <m:e>
            <m:r>
              <m:t>β</m:t>
            </m:r>
          </m:e>
          <m:sup>
            <m:d>
              <m:dPr>
                <m:begChr m:val="("/>
                <m:endChr m:val=")"/>
                <m:sepChr m:val=""/>
                <m:grow/>
              </m:dPr>
              <m:e>
                <m:r>
                  <m:t>t</m:t>
                </m:r>
              </m:e>
            </m:d>
          </m:sup>
        </m:sSup>
      </m:oMath>
    </w:p>
    <w:p>
      <w:pPr>
        <w:pStyle w:val="BodyText"/>
      </w:pPr>
      <w:r>
        <w:t xml:space="preserve">\subsection{Update for</w:t>
      </w:r>
      <w:r>
        <w:t xml:space="preserve"> </w:t>
      </w:r>
      <m:oMath>
        <m:r>
          <m:t>H</m:t>
        </m:r>
      </m:oMath>
      <w:r>
        <w:t xml:space="preserve">}</w:t>
      </w:r>
      <w:r>
        <w:t xml:space="preserve"> </w:t>
      </w:r>
      <w:r>
        <w:t xml:space="preserve">Conditional on</w:t>
      </w:r>
      <w:r>
        <w:t xml:space="preserve"> </w:t>
      </w:r>
      <m:oMath>
        <m:r>
          <m:t>W</m:t>
        </m:r>
      </m:oMath>
      <w:r>
        <w:t xml:space="preserve">, the loss</w:t>
      </w:r>
      <w:r>
        <w:t xml:space="preserve"> </w:t>
      </w:r>
      <m:oMath>
        <m:r>
          <m:rPr>
            <m:sty m:val="p"/>
            <m:scr m:val="script"/>
          </m:rPr>
          <m:t>L</m:t>
        </m:r>
        <m:d>
          <m:dPr>
            <m:begChr m:val="("/>
            <m:endChr m:val=")"/>
            <m:sepChr m:val=""/>
            <m:grow/>
          </m:dPr>
          <m:e>
            <m:r>
              <m:t>W</m:t>
            </m:r>
            <m:r>
              <m:rPr>
                <m:sty m:val="p"/>
              </m:rPr>
              <m:t>,</m:t>
            </m:r>
            <m:r>
              <m:t>H</m:t>
            </m:r>
            <m:r>
              <m:rPr>
                <m:sty m:val="p"/>
              </m:rPr>
              <m:t>,</m:t>
            </m:r>
            <m:r>
              <m:t>β</m:t>
            </m:r>
          </m:e>
        </m:d>
      </m:oMath>
      <w:r>
        <w:t xml:space="preserve"> </w:t>
      </w:r>
      <w:r>
        <w:t xml:space="preserve">reduces to a</w:t>
      </w:r>
      <w:r>
        <w:t xml:space="preserve"> </w:t>
      </w:r>
      <w:r>
        <w:t xml:space="preserve">convex quadratic function of</w:t>
      </w:r>
      <w:r>
        <w:t xml:space="preserve"> </w:t>
      </w:r>
      <m:oMath>
        <m:r>
          <m:t>H</m:t>
        </m:r>
      </m:oMath>
      <w:r>
        <w:t xml:space="preserve">. We adopt the standard NMF multiplicative</w:t>
      </w:r>
      <w:r>
        <w:t xml:space="preserve"> </w:t>
      </w:r>
      <w:r>
        <w:t xml:space="preserve">update with</w:t>
      </w:r>
      <w:r>
        <w:t xml:space="preserve"> </w:t>
      </w:r>
      <m:oMath>
        <m:sSub>
          <m:e>
            <m:r>
              <m:rPr>
                <m:sty m:val="p"/>
              </m:rPr>
              <m:t>ℓ</m:t>
            </m:r>
          </m:e>
          <m:sub>
            <m:r>
              <m:t>2</m:t>
            </m:r>
          </m:sub>
        </m:sSub>
      </m:oMath>
      <w:r>
        <w:t xml:space="preserve"> </w:t>
      </w:r>
      <w:r>
        <w:t xml:space="preserve">penalty:</w:t>
      </w:r>
    </w:p>
    <w:p>
      <w:pPr>
        <w:pStyle w:val="BodyText"/>
      </w:pPr>
      <m:oMathPara>
        <m:oMathParaPr>
          <m:jc m:val="center"/>
        </m:oMathParaPr>
        <m:oMath>
          <m:r>
            <m:t>H</m:t>
          </m:r>
          <m:r>
            <m:rPr>
              <m:sty m:val="p"/>
            </m:rPr>
            <m:t>←</m:t>
          </m:r>
          <m:r>
            <m:rPr>
              <m:sty m:val="p"/>
            </m:rPr>
            <m:t>max</m:t>
          </m:r>
          <m:r>
            <m:t>​</m:t>
          </m:r>
          <m:d>
            <m:dPr>
              <m:begChr m:val="("/>
              <m:endChr m:val=")"/>
              <m:sepChr m:val=""/>
              <m:grow/>
            </m:dPr>
            <m:e>
              <m:r>
                <m:t>H</m:t>
              </m:r>
              <m:r>
                <m:rPr>
                  <m:sty m:val="p"/>
                </m:rPr>
                <m:t>⊙</m:t>
              </m:r>
              <m:f>
                <m:fPr>
                  <m:type m:val="bar"/>
                </m:fPr>
                <m:num>
                  <m:sSup>
                    <m:e>
                      <m:r>
                        <m:t>W</m:t>
                      </m:r>
                    </m:e>
                    <m:sup>
                      <m:r>
                        <m:rPr>
                          <m:sty m:val="p"/>
                        </m:rPr>
                        <m:t>⊤</m:t>
                      </m:r>
                    </m:sup>
                  </m:sSup>
                  <m:r>
                    <m:t>X</m:t>
                  </m:r>
                </m:num>
                <m:den>
                  <m:sSup>
                    <m:e>
                      <m:r>
                        <m:t>W</m:t>
                      </m:r>
                    </m:e>
                    <m:sup>
                      <m:r>
                        <m:rPr>
                          <m:sty m:val="p"/>
                        </m:rPr>
                        <m:t>⊤</m:t>
                      </m:r>
                    </m:sup>
                  </m:sSup>
                  <m:r>
                    <m:t>W</m:t>
                  </m:r>
                  <m:r>
                    <m:t>H</m:t>
                  </m:r>
                  <m:r>
                    <m:rPr>
                      <m:sty m:val="p"/>
                    </m:rPr>
                    <m:t>+</m:t>
                  </m:r>
                  <m:f>
                    <m:fPr>
                      <m:type m:val="bar"/>
                    </m:fPr>
                    <m:num>
                      <m:r>
                        <m:rPr>
                          <m:sty m:val="p"/>
                        </m:rPr>
                        <m:t>∥</m:t>
                      </m:r>
                      <m:r>
                        <m:t>X</m:t>
                      </m:r>
                      <m:sSubSup>
                        <m:e>
                          <m:r>
                            <m:rPr>
                              <m:sty m:val="p"/>
                            </m:rPr>
                            <m:t>∥</m:t>
                          </m:r>
                        </m:e>
                        <m:sub>
                          <m:r>
                            <m:t>F</m:t>
                          </m:r>
                        </m:sub>
                        <m:sup>
                          <m:r>
                            <m:t>2</m:t>
                          </m:r>
                        </m:sup>
                      </m:sSubSup>
                    </m:num>
                    <m:den>
                      <m:r>
                        <m:t>n</m:t>
                      </m:r>
                      <m:r>
                        <m:t>k</m:t>
                      </m:r>
                    </m:den>
                  </m:f>
                  <m:r>
                    <m:t> </m:t>
                  </m:r>
                  <m:sSub>
                    <m:e>
                      <m:r>
                        <m:t>λ</m:t>
                      </m:r>
                    </m:e>
                    <m:sub>
                      <m:r>
                        <m:t>H</m:t>
                      </m:r>
                    </m:sub>
                  </m:sSub>
                  <m:r>
                    <m:t>H</m:t>
                  </m:r>
                  <m:r>
                    <m:rPr>
                      <m:sty m:val="p"/>
                    </m:rPr>
                    <m:t>+</m:t>
                  </m:r>
                  <m:sSub>
                    <m:e>
                      <m:r>
                        <m:t>ε</m:t>
                      </m:r>
                    </m:e>
                    <m:sub>
                      <m:r>
                        <m:t>H</m:t>
                      </m:r>
                    </m:sub>
                  </m:sSub>
                </m:den>
              </m:f>
              <m:r>
                <m:rPr>
                  <m:sty m:val="p"/>
                </m:rPr>
                <m:t>,</m:t>
              </m:r>
              <m:sSub>
                <m:e>
                  <m:r>
                    <m:t>ε</m:t>
                  </m:r>
                </m:e>
                <m:sub>
                  <m:r>
                    <m:t>H</m:t>
                  </m:r>
                </m:sub>
              </m:sSub>
            </m:e>
          </m:d>
          <m:r>
            <m:rPr>
              <m:sty m:val="p"/>
            </m:rPr>
            <m:t>,</m:t>
          </m:r>
        </m:oMath>
      </m:oMathPara>
    </w:p>
    <w:p>
      <w:pPr>
        <w:pStyle w:val="FirstParagraph"/>
      </w:pPr>
      <w:r>
        <w:t xml:space="preserve">where</w:t>
      </w:r>
      <w:r>
        <w:t xml:space="preserve"> </w:t>
      </w:r>
      <m:oMath>
        <m:r>
          <m:rPr>
            <m:sty m:val="p"/>
          </m:rPr>
          <m:t>⊙</m:t>
        </m:r>
      </m:oMath>
      <w:r>
        <w:t xml:space="preserve"> </w:t>
      </w:r>
      <w:r>
        <w:t xml:space="preserve">denotes elementwise multiplication, all divisions are</w:t>
      </w:r>
      <w:r>
        <w:t xml:space="preserve"> </w:t>
      </w:r>
      <w:r>
        <w:t xml:space="preserve">elementwise, and</w:t>
      </w:r>
      <w:r>
        <w:t xml:space="preserve"> </w:t>
      </w:r>
      <m:oMath>
        <m:sSub>
          <m:e>
            <m:r>
              <m:t>ε</m:t>
            </m:r>
          </m:e>
          <m:sub>
            <m:r>
              <m:t>H</m:t>
            </m:r>
          </m:sub>
        </m:sSub>
        <m:r>
          <m:rPr>
            <m:sty m:val="p"/>
          </m:rPr>
          <m:t>&gt;</m:t>
        </m:r>
        <m:r>
          <m:t>0</m:t>
        </m:r>
      </m:oMath>
      <w:r>
        <w:t xml:space="preserve"> </w:t>
      </w:r>
      <w:r>
        <w:t xml:space="preserve">is a small floor to prevent entries from</w:t>
      </w:r>
      <w:r>
        <w:t xml:space="preserve"> </w:t>
      </w:r>
      <w:r>
        <w:t xml:space="preserve">becoming exactly zero. This update is equivalent to a majorization–minimization</w:t>
      </w:r>
      <w:r>
        <w:t xml:space="preserve"> </w:t>
      </w:r>
      <w:r>
        <w:t xml:space="preserve">step and guarantees a nonincreasing reconstruction term conditional on</w:t>
      </w:r>
      <w:r>
        <w:t xml:space="preserve"> </w:t>
      </w:r>
      <m:oMath>
        <m:r>
          <m:t>W</m:t>
        </m:r>
      </m:oMath>
      <w:hyperlink w:anchor="ref-seung2001algorithms">
        <w:r>
          <w:rPr>
            <w:rStyle w:val="Hyperlink"/>
            <w:vertAlign w:val="superscript"/>
          </w:rPr>
          <w:t xml:space="preserve">1</w:t>
        </w:r>
      </w:hyperlink>
      <w:r>
        <w:rPr>
          <w:vertAlign w:val="superscript"/>
        </w:rPr>
        <w:t xml:space="preserve">,</w:t>
      </w:r>
      <w:hyperlink w:anchor="ref-pascualmontano2006nonsmooth">
        <w:r>
          <w:rPr>
            <w:rStyle w:val="Hyperlink"/>
            <w:vertAlign w:val="superscript"/>
          </w:rPr>
          <w:t xml:space="preserve">2</w:t>
        </w:r>
      </w:hyperlink>
      <w:r>
        <w:t xml:space="preserve">. The</w:t>
      </w:r>
      <w:r>
        <w:t xml:space="preserve"> </w:t>
      </w:r>
      <m:oMath>
        <m:sSub>
          <m:e>
            <m:r>
              <m:t>ε</m:t>
            </m:r>
          </m:e>
          <m:sub>
            <m:r>
              <m:t>H</m:t>
            </m:r>
          </m:sub>
        </m:sSub>
      </m:oMath>
      <w:r>
        <w:t xml:space="preserve">-floor</w:t>
      </w:r>
      <w:r>
        <w:t xml:space="preserve"> </w:t>
      </w:r>
      <w:r>
        <w:t xml:space="preserve">ensures that iterates remain in the interior of the nonnegative orthant, which</w:t>
      </w:r>
      <w:r>
        <w:t xml:space="preserve"> </w:t>
      </w:r>
      <w:r>
        <w:t xml:space="preserve">keeps the multiplicative</w:t>
      </w:r>
      <w:r>
        <w:t xml:space="preserve"> </w:t>
      </w:r>
      <m:oMath>
        <m:r>
          <m:t>H</m:t>
        </m:r>
      </m:oMath>
      <w:r>
        <w:t xml:space="preserve">-update numerically well-defined.</w:t>
      </w:r>
    </w:p>
    <w:p>
      <w:pPr>
        <w:pStyle w:val="BodyText"/>
      </w:pPr>
      <w:r>
        <w:t xml:space="preserve">\subsection{Update for</w:t>
      </w:r>
      <w:r>
        <w:t xml:space="preserve"> </w:t>
      </w:r>
      <m:oMath>
        <m:r>
          <m:t>W</m:t>
        </m:r>
      </m:oMath>
      <w:r>
        <w:t xml:space="preserve">}</w:t>
      </w:r>
      <w:r>
        <w:t xml:space="preserve"> </w:t>
      </w:r>
      <w:r>
        <w:t xml:space="preserve">For</w:t>
      </w:r>
      <w:r>
        <w:t xml:space="preserve"> </w:t>
      </w:r>
      <m:oMath>
        <m:r>
          <m:t>W</m:t>
        </m:r>
      </m:oMath>
      <w:r>
        <w:t xml:space="preserve">, we construct a hybrid multiplicative update that balances the</w:t>
      </w:r>
      <w:r>
        <w:t xml:space="preserve"> </w:t>
      </w:r>
      <w:r>
        <w:t xml:space="preserve">contributions of the NMF and Cox gradients. Let</w:t>
      </w:r>
      <w:r>
        <w:t xml:space="preserve"> </w:t>
      </w:r>
      <w:r>
        <w:t xml:space="preserve">[</w:t>
      </w:r>
      <w:r>
        <w:t xml:space="preserve"> </w:t>
      </w:r>
      <w:r>
        <w:t xml:space="preserve">\nabla_W \mathcal{L}</w:t>
      </w:r>
      <w:r>
        <w:rPr>
          <w:iCs/>
          <w:i/>
        </w:rPr>
        <w:t xml:space="preserve">{\mathrm{NMF}}(W,H)</w:t>
      </w:r>
      <w:r>
        <w:rPr>
          <w:iCs/>
          <w:i/>
        </w:rPr>
        <w:t xml:space="preserve"> </w:t>
      </w:r>
      <w:r>
        <w:rPr>
          <w:iCs/>
          <w:i/>
        </w:rPr>
        <w:t xml:space="preserve">=</w:t>
      </w:r>
      <w:r>
        <w:rPr>
          <w:iCs/>
          <w:i/>
        </w:rPr>
        <w:t xml:space="preserve"> </w:t>
      </w:r>
      <w:r>
        <w:rPr>
          <w:iCs/>
          <w:i/>
        </w:rPr>
        <w:t xml:space="preserve">\frac{1}{\lVert X \rVert_F^2}(W H - X)H^\top,</w:t>
      </w:r>
      <w:r>
        <w:rPr>
          <w:iCs/>
          <w:i/>
        </w:rPr>
        <w:t xml:space="preserve"> </w:t>
      </w:r>
      <w:r>
        <w:rPr>
          <w:iCs/>
          <w:i/>
        </w:rPr>
        <w:t xml:space="preserve">]</w:t>
      </w:r>
      <w:r>
        <w:rPr>
          <w:iCs/>
          <w:i/>
        </w:rPr>
        <w:t xml:space="preserve"> </w:t>
      </w:r>
      <w:r>
        <w:rPr>
          <w:iCs/>
          <w:i/>
        </w:rPr>
        <w:t xml:space="preserve">and let</w:t>
      </w:r>
      <w:r>
        <w:rPr>
          <w:iCs/>
          <w:i/>
        </w:rPr>
        <w:t xml:space="preserve"> </w:t>
      </w:r>
      <w:r>
        <w:rPr>
          <w:iCs/>
          <w:i/>
        </w:rPr>
        <w:t xml:space="preserve">[</w:t>
      </w:r>
      <w:r>
        <w:rPr>
          <w:iCs/>
          <w:i/>
        </w:rPr>
        <w:t xml:space="preserve"> </w:t>
      </w:r>
      <w:r>
        <w:rPr>
          <w:iCs/>
          <w:i/>
        </w:rPr>
        <w:t xml:space="preserve">\nabla_W \mathcal{L}</w:t>
      </w:r>
      <w:r>
        <w:t xml:space="preserve">{\mathrm{Cox}}(W,\beta)</w:t>
      </w:r>
      <w:r>
        <w:t xml:space="preserve"> </w:t>
      </w:r>
      <w:r>
        <w:t xml:space="preserve">=</w:t>
      </w:r>
      <w:r>
        <w:t xml:space="preserve"> </w:t>
      </w:r>
      <w:r>
        <w:t xml:space="preserve">\frac{2}{n_{event}}\nabla_W \ell(W,\beta).</w:t>
      </w:r>
      <w:r>
        <w:t xml:space="preserve"> </w:t>
      </w:r>
      <w:r>
        <w:t xml:space="preserve">]</w:t>
      </w:r>
      <w:r>
        <w:t xml:space="preserve"> </w:t>
      </w:r>
      <w:r>
        <w:t xml:space="preserve">where</w:t>
      </w:r>
      <w:r>
        <w:t xml:space="preserve"> </w:t>
      </w:r>
      <m:oMath>
        <m:sSub>
          <m:e>
            <m:r>
              <m:rPr>
                <m:sty m:val="p"/>
              </m:rPr>
              <m:t>∇</m:t>
            </m:r>
          </m:e>
          <m:sub>
            <m:r>
              <m:t>W</m:t>
            </m:r>
          </m:sub>
        </m:sSub>
        <m:r>
          <m:rPr>
            <m:sty m:val="p"/>
          </m:rPr>
          <m:t>ℓ</m:t>
        </m:r>
        <m:d>
          <m:dPr>
            <m:begChr m:val="("/>
            <m:endChr m:val=")"/>
            <m:sepChr m:val=""/>
            <m:grow/>
          </m:dPr>
          <m:e>
            <m:r>
              <m:t>W</m:t>
            </m:r>
            <m:r>
              <m:rPr>
                <m:sty m:val="p"/>
              </m:rPr>
              <m:t>,</m:t>
            </m:r>
            <m:r>
              <m:t>β</m:t>
            </m:r>
          </m:e>
        </m:d>
      </m:oMath>
      <w:r>
        <w:t xml:space="preserve"> </w:t>
      </w:r>
      <w:r>
        <w:t xml:space="preserve">denotes the Cox gradient with respect to</w:t>
      </w:r>
      <w:r>
        <w:t xml:space="preserve"> </w:t>
      </w:r>
      <m:oMath>
        <m:r>
          <m:t>W</m:t>
        </m:r>
      </m:oMath>
      <w:r>
        <w:t xml:space="preserve">. A closed-form expression for</w:t>
      </w:r>
      <w:r>
        <w:t xml:space="preserve"> </w:t>
      </w:r>
      <m:oMath>
        <m:sSub>
          <m:e>
            <m:r>
              <m:rPr>
                <m:sty m:val="p"/>
              </m:rPr>
              <m:t>∇</m:t>
            </m:r>
          </m:e>
          <m:sub>
            <m:r>
              <m:t>W</m:t>
            </m:r>
          </m:sub>
        </m:sSub>
        <m:r>
          <m:rPr>
            <m:sty m:val="p"/>
          </m:rPr>
          <m:t>ℓ</m:t>
        </m:r>
      </m:oMath>
      <w:r>
        <w:t xml:space="preserve"> </w:t>
      </w:r>
      <w:r>
        <w:t xml:space="preserve">is</w:t>
      </w:r>
    </w:p>
    <w:p>
      <w:pPr>
        <w:pStyle w:val="BodyText"/>
      </w:pPr>
      <m:oMathPara>
        <m:oMathParaPr>
          <m:jc m:val="center"/>
        </m:oMathParaPr>
        <m:oMath>
          <m:sSub>
            <m:e>
              <m:r>
                <m:rPr>
                  <m:sty m:val="p"/>
                </m:rPr>
                <m:t>∇</m:t>
              </m:r>
            </m:e>
            <m:sub>
              <m:r>
                <m:t>W</m:t>
              </m:r>
            </m:sub>
          </m:sSub>
          <m:r>
            <m:rPr>
              <m:sty m:val="p"/>
            </m:rPr>
            <m:t>ℓ</m:t>
          </m:r>
          <m:d>
            <m:dPr>
              <m:begChr m:val="("/>
              <m:endChr m:val=")"/>
              <m:sepChr m:val=""/>
              <m:grow/>
            </m:dPr>
            <m:e>
              <m:r>
                <m:t>W</m:t>
              </m:r>
              <m:r>
                <m:rPr>
                  <m:sty m:val="p"/>
                </m:rPr>
                <m:t>,</m:t>
              </m:r>
              <m:r>
                <m:t>β</m:t>
              </m:r>
            </m:e>
          </m:d>
          <m:r>
            <m:rPr>
              <m:sty m:val="p"/>
            </m:rPr>
            <m:t>=</m:t>
          </m:r>
          <m:nary>
            <m:naryPr>
              <m:chr m:val="∑"/>
              <m:limLoc m:val="undOvr"/>
              <m:subHide m:val="off"/>
              <m:supHide m:val="off"/>
            </m:naryPr>
            <m:sub>
              <m:r>
                <m:t>i</m:t>
              </m:r>
              <m:r>
                <m:rPr>
                  <m:sty m:val="p"/>
                </m:rPr>
                <m:t>=</m:t>
              </m:r>
              <m:r>
                <m:t>1</m:t>
              </m:r>
            </m:sub>
            <m:sup>
              <m:r>
                <m:t>n</m:t>
              </m:r>
            </m:sup>
            <m:e>
              <m:sSub>
                <m:e>
                  <m:r>
                    <m:t>δ</m:t>
                  </m:r>
                </m:e>
                <m:sub>
                  <m:r>
                    <m:t>i</m:t>
                  </m:r>
                </m:sub>
              </m:sSub>
            </m:e>
          </m:nary>
          <m:d>
            <m:dPr>
              <m:begChr m:val="("/>
              <m:endChr m:val=")"/>
              <m:sepChr m:val=""/>
              <m:grow/>
            </m:dPr>
            <m:e>
              <m:sSub>
                <m:e>
                  <m:r>
                    <m:t>x</m:t>
                  </m:r>
                </m:e>
                <m:sub>
                  <m:r>
                    <m:t>i</m:t>
                  </m:r>
                </m:sub>
              </m:sSub>
              <m:r>
                <m:rPr>
                  <m:sty m:val="p"/>
                </m:rPr>
                <m:t>−</m:t>
              </m:r>
              <m:f>
                <m:fPr>
                  <m:type m:val="bar"/>
                </m:fPr>
                <m:num>
                  <m:nary>
                    <m:naryPr>
                      <m:chr m:val="∑"/>
                      <m:limLoc m:val="undOvr"/>
                      <m:subHide m:val="off"/>
                      <m:supHide m:val="on"/>
                    </m:naryPr>
                    <m:sub>
                      <m:r>
                        <m:t>j</m:t>
                      </m:r>
                      <m:r>
                        <m:rPr>
                          <m:sty m:val="p"/>
                        </m:rPr>
                        <m:t>:</m:t>
                      </m:r>
                      <m:sSub>
                        <m:e>
                          <m:r>
                            <m:t>y</m:t>
                          </m:r>
                        </m:e>
                        <m:sub>
                          <m:r>
                            <m:t>j</m:t>
                          </m:r>
                        </m:sub>
                      </m:sSub>
                      <m:r>
                        <m:rPr>
                          <m:sty m:val="p"/>
                        </m:rPr>
                        <m:t>≥</m:t>
                      </m:r>
                      <m:sSub>
                        <m:e>
                          <m:r>
                            <m:t>y</m:t>
                          </m:r>
                        </m:e>
                        <m:sub>
                          <m:r>
                            <m:t>i</m:t>
                          </m:r>
                        </m:sub>
                      </m:sSub>
                    </m:sub>
                    <m:sup>
                      <m:r>
                        <m:t>​</m:t>
                      </m:r>
                    </m:sup>
                    <m:e>
                      <m:sSub>
                        <m:e>
                          <m:r>
                            <m:t>x</m:t>
                          </m:r>
                        </m:e>
                        <m:sub>
                          <m:r>
                            <m:t>j</m:t>
                          </m:r>
                        </m:sub>
                      </m:sSub>
                    </m:e>
                  </m:nary>
                  <m:r>
                    <m:rPr>
                      <m:sty m:val="p"/>
                    </m:rPr>
                    <m:t>exp</m:t>
                  </m:r>
                  <m:d>
                    <m:dPr>
                      <m:begChr m:val="("/>
                      <m:endChr m:val=")"/>
                      <m:sepChr m:val=""/>
                      <m:grow/>
                    </m:dPr>
                    <m:e>
                      <m:sSubSup>
                        <m:e>
                          <m:r>
                            <m:t>x</m:t>
                          </m:r>
                        </m:e>
                        <m:sub>
                          <m:r>
                            <m:t>j</m:t>
                          </m:r>
                        </m:sub>
                        <m:sup>
                          <m:r>
                            <m:rPr>
                              <m:sty m:val="p"/>
                            </m:rPr>
                            <m:t>⊤</m:t>
                          </m:r>
                        </m:sup>
                      </m:sSubSup>
                      <m:r>
                        <m:t>W</m:t>
                      </m:r>
                      <m:r>
                        <m:t>β</m:t>
                      </m:r>
                    </m:e>
                  </m:d>
                </m:num>
                <m:den>
                  <m:nary>
                    <m:naryPr>
                      <m:chr m:val="∑"/>
                      <m:limLoc m:val="undOvr"/>
                      <m:subHide m:val="off"/>
                      <m:supHide m:val="on"/>
                    </m:naryPr>
                    <m:sub>
                      <m:r>
                        <m:t>j</m:t>
                      </m:r>
                      <m:r>
                        <m:rPr>
                          <m:sty m:val="p"/>
                        </m:rPr>
                        <m:t>:</m:t>
                      </m:r>
                      <m:sSub>
                        <m:e>
                          <m:r>
                            <m:t>y</m:t>
                          </m:r>
                        </m:e>
                        <m:sub>
                          <m:r>
                            <m:t>j</m:t>
                          </m:r>
                        </m:sub>
                      </m:sSub>
                      <m:r>
                        <m:rPr>
                          <m:sty m:val="p"/>
                        </m:rPr>
                        <m:t>≥</m:t>
                      </m:r>
                      <m:sSub>
                        <m:e>
                          <m:r>
                            <m:t>y</m:t>
                          </m:r>
                        </m:e>
                        <m:sub>
                          <m:r>
                            <m:t>i</m:t>
                          </m:r>
                        </m:sub>
                      </m:sSub>
                    </m:sub>
                    <m:sup>
                      <m:r>
                        <m:t>​</m:t>
                      </m:r>
                    </m:sup>
                    <m:e>
                      <m:r>
                        <m:rPr>
                          <m:sty m:val="p"/>
                        </m:rPr>
                        <m:t>exp</m:t>
                      </m:r>
                    </m:e>
                  </m:nary>
                  <m:d>
                    <m:dPr>
                      <m:begChr m:val="("/>
                      <m:endChr m:val=")"/>
                      <m:sepChr m:val=""/>
                      <m:grow/>
                    </m:dPr>
                    <m:e>
                      <m:sSubSup>
                        <m:e>
                          <m:r>
                            <m:t>x</m:t>
                          </m:r>
                        </m:e>
                        <m:sub>
                          <m:r>
                            <m:t>j</m:t>
                          </m:r>
                        </m:sub>
                        <m:sup>
                          <m:r>
                            <m:rPr>
                              <m:sty m:val="p"/>
                            </m:rPr>
                            <m:t>⊤</m:t>
                          </m:r>
                        </m:sup>
                      </m:sSubSup>
                      <m:r>
                        <m:t>W</m:t>
                      </m:r>
                      <m:r>
                        <m:t>β</m:t>
                      </m:r>
                    </m:e>
                  </m:d>
                </m:den>
              </m:f>
            </m:e>
          </m:d>
          <m:sSup>
            <m:e>
              <m:r>
                <m:t>β</m:t>
              </m:r>
            </m:e>
            <m:sup>
              <m:r>
                <m:rPr>
                  <m:sty m:val="p"/>
                </m:rPr>
                <m:t>⊤</m:t>
              </m:r>
            </m:sup>
          </m:sSup>
          <m:r>
            <m:rPr>
              <m:sty m:val="p"/>
            </m:rPr>
            <m:t>,</m:t>
          </m:r>
        </m:oMath>
      </m:oMathPara>
    </w:p>
    <w:p>
      <w:pPr>
        <w:pStyle w:val="FirstParagraph"/>
      </w:pPr>
      <w:r>
        <w:t xml:space="preserve">where</w:t>
      </w:r>
      <w:r>
        <w:t xml:space="preserve"> </w:t>
      </w:r>
      <m:oMath>
        <m:sSub>
          <m:e>
            <m:r>
              <m:t>x</m:t>
            </m:r>
          </m:e>
          <m:sub>
            <m:r>
              <m:t>i</m:t>
            </m:r>
          </m:sub>
        </m:sSub>
      </m:oMath>
      <w:r>
        <w:t xml:space="preserve"> </w:t>
      </w:r>
      <w:r>
        <w:t xml:space="preserve">denotes the</w:t>
      </w:r>
      <w:r>
        <w:t xml:space="preserve"> </w:t>
      </w:r>
      <m:oMath>
        <m:r>
          <m:t>i</m:t>
        </m:r>
      </m:oMath>
      <w:r>
        <w:t xml:space="preserve">th column of</w:t>
      </w:r>
      <w:r>
        <w:t xml:space="preserve"> </w:t>
      </w:r>
      <m:oMath>
        <m:r>
          <m:t>X</m:t>
        </m:r>
      </m:oMath>
      <w:r>
        <w:t xml:space="preserve">.</w:t>
      </w:r>
    </w:p>
    <w:p>
      <w:pPr>
        <w:pStyle w:val="BodyText"/>
      </w:pPr>
      <w:r>
        <w:t xml:space="preserve">We define a gradient-scaling heuristic</w:t>
      </w:r>
    </w:p>
    <w:p>
      <w:pPr>
        <w:pStyle w:val="BodyText"/>
      </w:pPr>
      <m:oMathPara>
        <m:oMathParaPr>
          <m:jc m:val="center"/>
        </m:oMathParaPr>
        <m:oMath>
          <m:sSup>
            <m:e>
              <m:r>
                <m:t>ζ</m:t>
              </m:r>
            </m:e>
            <m:sup>
              <m:d>
                <m:dPr>
                  <m:begChr m:val="("/>
                  <m:endChr m:val=")"/>
                  <m:sepChr m:val=""/>
                  <m:grow/>
                </m:dPr>
                <m:e>
                  <m:r>
                    <m:t>t</m:t>
                  </m:r>
                </m:e>
              </m:d>
            </m:sup>
          </m:sSup>
          <m:r>
            <m:rPr>
              <m:sty m:val="p"/>
            </m:rPr>
            <m:t>=</m:t>
          </m:r>
          <m:f>
            <m:fPr>
              <m:type m:val="bar"/>
            </m:fPr>
            <m:num>
              <m:sSubSup>
                <m:e>
                  <m:d>
                    <m:dPr>
                      <m:begChr m:val="∥"/>
                      <m:endChr m:val="∥"/>
                      <m:sepChr m:val=""/>
                      <m:grow/>
                    </m:dPr>
                    <m:e>
                      <m:d>
                        <m:dPr>
                          <m:begChr m:val="("/>
                          <m:endChr m:val=")"/>
                          <m:sepChr m:val=""/>
                          <m:grow/>
                        </m:dPr>
                        <m:e>
                          <m:r>
                            <m:t>1</m:t>
                          </m:r>
                          <m:r>
                            <m:rPr>
                              <m:sty m:val="p"/>
                            </m:rPr>
                            <m:t>−</m:t>
                          </m:r>
                          <m:r>
                            <m:t>α</m:t>
                          </m:r>
                        </m:e>
                      </m:d>
                      <m:sSub>
                        <m:e>
                          <m:r>
                            <m:rPr>
                              <m:sty m:val="p"/>
                            </m:rPr>
                            <m:t>∇</m:t>
                          </m:r>
                        </m:e>
                        <m:sub>
                          <m:r>
                            <m:t>W</m:t>
                          </m:r>
                        </m:sub>
                      </m:sSub>
                      <m:sSub>
                        <m:e>
                          <m:r>
                            <m:rPr>
                              <m:sty m:val="p"/>
                              <m:scr m:val="script"/>
                            </m:rPr>
                            <m:t>L</m:t>
                          </m:r>
                        </m:e>
                        <m:sub>
                          <m:r>
                            <m:rPr>
                              <m:sty m:val="p"/>
                            </m:rPr>
                            <m:t>N</m:t>
                          </m:r>
                          <m:r>
                            <m:rPr>
                              <m:sty m:val="p"/>
                            </m:rPr>
                            <m:t>M</m:t>
                          </m:r>
                          <m:r>
                            <m:rPr>
                              <m:sty m:val="p"/>
                            </m:rPr>
                            <m:t>F</m:t>
                          </m:r>
                        </m:sub>
                      </m:sSub>
                      <m:d>
                        <m:dPr>
                          <m:begChr m:val="("/>
                          <m:endChr m:val=")"/>
                          <m:sepChr m:val=""/>
                          <m:grow/>
                        </m:dPr>
                        <m:e>
                          <m:sSup>
                            <m:e>
                              <m:r>
                                <m:t>W</m:t>
                              </m:r>
                            </m:e>
                            <m:sup>
                              <m:d>
                                <m:dPr>
                                  <m:begChr m:val="("/>
                                  <m:endChr m:val=")"/>
                                  <m:sepChr m:val=""/>
                                  <m:grow/>
                                </m:dPr>
                                <m:e>
                                  <m:r>
                                    <m:t>t</m:t>
                                  </m:r>
                                </m:e>
                              </m:d>
                            </m:sup>
                          </m:sSup>
                          <m:r>
                            <m:rPr>
                              <m:sty m:val="p"/>
                            </m:rPr>
                            <m:t>,</m:t>
                          </m:r>
                          <m:sSup>
                            <m:e>
                              <m:r>
                                <m:t>H</m:t>
                              </m:r>
                            </m:e>
                            <m:sup>
                              <m:d>
                                <m:dPr>
                                  <m:begChr m:val="("/>
                                  <m:endChr m:val=")"/>
                                  <m:sepChr m:val=""/>
                                  <m:grow/>
                                </m:dPr>
                                <m:e>
                                  <m:r>
                                    <m:t>t</m:t>
                                  </m:r>
                                  <m:r>
                                    <m:rPr>
                                      <m:sty m:val="p"/>
                                    </m:rPr>
                                    <m:t>+</m:t>
                                  </m:r>
                                  <m:r>
                                    <m:t>1</m:t>
                                  </m:r>
                                </m:e>
                              </m:d>
                            </m:sup>
                          </m:sSup>
                        </m:e>
                      </m:d>
                    </m:e>
                  </m:d>
                </m:e>
                <m:sub>
                  <m:r>
                    <m:t>F</m:t>
                  </m:r>
                </m:sub>
                <m:sup>
                  <m:r>
                    <m:t>2</m:t>
                  </m:r>
                </m:sup>
              </m:sSubSup>
            </m:num>
            <m:den>
              <m:sSubSup>
                <m:e>
                  <m:d>
                    <m:dPr>
                      <m:begChr m:val="∥"/>
                      <m:endChr m:val="∥"/>
                      <m:sepChr m:val=""/>
                      <m:grow/>
                    </m:dPr>
                    <m:e>
                      <m:r>
                        <m:t>α</m:t>
                      </m:r>
                      <m:sSub>
                        <m:e>
                          <m:r>
                            <m:rPr>
                              <m:sty m:val="p"/>
                            </m:rPr>
                            <m:t>∇</m:t>
                          </m:r>
                        </m:e>
                        <m:sub>
                          <m:r>
                            <m:t>W</m:t>
                          </m:r>
                        </m:sub>
                      </m:sSub>
                      <m:sSub>
                        <m:e>
                          <m:r>
                            <m:rPr>
                              <m:sty m:val="p"/>
                              <m:scr m:val="script"/>
                            </m:rPr>
                            <m:t>L</m:t>
                          </m:r>
                        </m:e>
                        <m:sub>
                          <m:r>
                            <m:t>C</m:t>
                          </m:r>
                          <m:r>
                            <m:t>o</m:t>
                          </m:r>
                          <m:r>
                            <m:t>x</m:t>
                          </m:r>
                        </m:sub>
                      </m:sSub>
                      <m:d>
                        <m:dPr>
                          <m:begChr m:val="("/>
                          <m:endChr m:val=")"/>
                          <m:sepChr m:val=""/>
                          <m:grow/>
                        </m:dPr>
                        <m:e>
                          <m:sSup>
                            <m:e>
                              <m:r>
                                <m:t>W</m:t>
                              </m:r>
                            </m:e>
                            <m:sup>
                              <m:d>
                                <m:dPr>
                                  <m:begChr m:val="("/>
                                  <m:endChr m:val=")"/>
                                  <m:sepChr m:val=""/>
                                  <m:grow/>
                                </m:dPr>
                                <m:e>
                                  <m:r>
                                    <m:t>t</m:t>
                                  </m:r>
                                </m:e>
                              </m:d>
                            </m:sup>
                          </m:sSup>
                          <m:r>
                            <m:rPr>
                              <m:sty m:val="p"/>
                            </m:rPr>
                            <m:t>,</m:t>
                          </m:r>
                          <m:sSup>
                            <m:e>
                              <m:r>
                                <m:t>β</m:t>
                              </m:r>
                            </m:e>
                            <m:sup>
                              <m:d>
                                <m:dPr>
                                  <m:begChr m:val="("/>
                                  <m:endChr m:val=")"/>
                                  <m:sepChr m:val=""/>
                                  <m:grow/>
                                </m:dPr>
                                <m:e>
                                  <m:r>
                                    <m:t>t</m:t>
                                  </m:r>
                                </m:e>
                              </m:d>
                            </m:sup>
                          </m:sSup>
                        </m:e>
                      </m:d>
                    </m:e>
                  </m:d>
                </m:e>
                <m:sub>
                  <m:r>
                    <m:t>F</m:t>
                  </m:r>
                </m:sub>
                <m:sup>
                  <m:r>
                    <m:t>2</m:t>
                  </m:r>
                </m:sup>
              </m:sSubSup>
            </m:den>
          </m:f>
          <m:r>
            <m:rPr>
              <m:sty m:val="p"/>
            </m:rPr>
            <m:t>,</m:t>
          </m:r>
        </m:oMath>
      </m:oMathPara>
    </w:p>
    <w:p>
      <w:pPr>
        <w:pStyle w:val="FirstParagraph"/>
      </w:pPr>
      <w:r>
        <w:t xml:space="preserve">and clip</w:t>
      </w:r>
      <w:r>
        <w:t xml:space="preserve"> </w:t>
      </w:r>
      <m:oMath>
        <m:sSup>
          <m:e>
            <m:r>
              <m:t>ζ</m:t>
            </m:r>
          </m:e>
          <m:sup>
            <m:d>
              <m:dPr>
                <m:begChr m:val="("/>
                <m:endChr m:val=")"/>
                <m:sepChr m:val=""/>
                <m:grow/>
              </m:dPr>
              <m:e>
                <m:r>
                  <m:t>t</m:t>
                </m:r>
              </m:e>
            </m:d>
          </m:sup>
        </m:sSup>
      </m:oMath>
      <w:r>
        <w:t xml:space="preserve"> </w:t>
      </w:r>
      <w:r>
        <w:t xml:space="preserve">to avoid extreme values:</w:t>
      </w:r>
      <w:r>
        <w:t xml:space="preserve"> </w:t>
      </w:r>
      <m:oMath>
        <m:sSup>
          <m:e>
            <m:r>
              <m:t>ζ</m:t>
            </m:r>
          </m:e>
          <m:sup>
            <m:d>
              <m:dPr>
                <m:begChr m:val="("/>
                <m:endChr m:val=")"/>
                <m:sepChr m:val=""/>
                <m:grow/>
              </m:dPr>
              <m:e>
                <m:r>
                  <m:t>t</m:t>
                </m:r>
              </m:e>
            </m:d>
          </m:sup>
        </m:sSup>
        <m:r>
          <m:rPr>
            <m:sty m:val="p"/>
          </m:rPr>
          <m:t>←</m:t>
        </m:r>
        <m:r>
          <m:rPr>
            <m:sty m:val="p"/>
          </m:rPr>
          <m:t>min</m:t>
        </m:r>
        <m:d>
          <m:dPr>
            <m:begChr m:val="("/>
            <m:endChr m:val=")"/>
            <m:sepChr m:val=""/>
            <m:grow/>
          </m:dPr>
          <m:e>
            <m:sSup>
              <m:e>
                <m:r>
                  <m:t>ζ</m:t>
                </m:r>
              </m:e>
              <m:sup>
                <m:d>
                  <m:dPr>
                    <m:begChr m:val="("/>
                    <m:endChr m:val=")"/>
                    <m:sepChr m:val=""/>
                    <m:grow/>
                  </m:dPr>
                  <m:e>
                    <m:r>
                      <m:t>t</m:t>
                    </m:r>
                  </m:e>
                </m:d>
              </m:sup>
            </m:sSup>
            <m:r>
              <m:rPr>
                <m:sty m:val="p"/>
              </m:rPr>
              <m:t>,</m:t>
            </m:r>
            <m:sSub>
              <m:e>
                <m:r>
                  <m:t>ζ</m:t>
                </m:r>
              </m:e>
              <m:sub>
                <m:r>
                  <m:rPr>
                    <m:sty m:val="p"/>
                  </m:rPr>
                  <m:t>max</m:t>
                </m:r>
              </m:sub>
            </m:sSub>
          </m:e>
        </m:d>
      </m:oMath>
      <w:r>
        <w:t xml:space="preserve"> </w:t>
      </w:r>
      <w:r>
        <w:t xml:space="preserve">with</w:t>
      </w:r>
      <w:r>
        <w:t xml:space="preserve"> </w:t>
      </w:r>
      <m:oMath>
        <m:sSub>
          <m:e>
            <m:r>
              <m:t>ζ</m:t>
            </m:r>
          </m:e>
          <m:sub>
            <m:r>
              <m:rPr>
                <m:sty m:val="p"/>
              </m:rPr>
              <m:t>max</m:t>
            </m:r>
          </m:sub>
        </m:sSub>
        <m:r>
          <m:rPr>
            <m:sty m:val="p"/>
          </m:rPr>
          <m:t>=</m:t>
        </m:r>
        <m:sSup>
          <m:e>
            <m:r>
              <m:t>10</m:t>
            </m:r>
          </m:e>
          <m:sup>
            <m:r>
              <m:t>6</m:t>
            </m:r>
          </m:sup>
        </m:sSup>
      </m:oMath>
      <w:r>
        <w:t xml:space="preserve"> </w:t>
      </w:r>
      <w:r>
        <w:t xml:space="preserve">in all experiments.</w:t>
      </w:r>
    </w:p>
    <w:p>
      <w:pPr>
        <w:pStyle w:val="BodyText"/>
      </w:pPr>
      <w:r>
        <w:t xml:space="preserve">The multiplicative factor for</w:t>
      </w:r>
      <w:r>
        <w:t xml:space="preserve"> </w:t>
      </w:r>
      <m:oMath>
        <m:r>
          <m:t>W</m:t>
        </m:r>
      </m:oMath>
      <w:r>
        <w:t xml:space="preserve"> </w:t>
      </w:r>
      <w:r>
        <w:t xml:space="preserve">is then</w:t>
      </w:r>
    </w:p>
    <w:p>
      <w:pPr>
        <w:pStyle w:val="BodyText"/>
      </w:pPr>
      <m:oMathPara>
        <m:oMathParaPr>
          <m:jc m:val="center"/>
        </m:oMathParaPr>
        <m:oMath>
          <m:sSup>
            <m:e>
              <m:r>
                <m:t>R</m:t>
              </m:r>
            </m:e>
            <m:sup>
              <m:d>
                <m:dPr>
                  <m:begChr m:val="("/>
                  <m:endChr m:val=")"/>
                  <m:sepChr m:val=""/>
                  <m:grow/>
                </m:dPr>
                <m:e>
                  <m:r>
                    <m:t>t</m:t>
                  </m:r>
                </m:e>
              </m:d>
            </m:sup>
          </m:sSup>
          <m:r>
            <m:rPr>
              <m:sty m:val="p"/>
            </m:rPr>
            <m:t>=</m:t>
          </m:r>
          <m:f>
            <m:fPr>
              <m:type m:val="bar"/>
            </m:fPr>
            <m:num>
              <m:f>
                <m:fPr>
                  <m:type m:val="bar"/>
                </m:fPr>
                <m:num>
                  <m:d>
                    <m:dPr>
                      <m:begChr m:val="("/>
                      <m:endChr m:val=")"/>
                      <m:sepChr m:val=""/>
                      <m:grow/>
                    </m:dPr>
                    <m:e>
                      <m:r>
                        <m:t>1</m:t>
                      </m:r>
                      <m:r>
                        <m:rPr>
                          <m:sty m:val="p"/>
                        </m:rPr>
                        <m:t>−</m:t>
                      </m:r>
                      <m:r>
                        <m:t>α</m:t>
                      </m:r>
                    </m:e>
                  </m:d>
                </m:num>
                <m:den>
                  <m:r>
                    <m:rPr>
                      <m:sty m:val="p"/>
                    </m:rPr>
                    <m:t>∥</m:t>
                  </m:r>
                  <m:r>
                    <m:t>X</m:t>
                  </m:r>
                  <m:sSubSup>
                    <m:e>
                      <m:r>
                        <m:rPr>
                          <m:sty m:val="p"/>
                        </m:rPr>
                        <m:t>∥</m:t>
                      </m:r>
                    </m:e>
                    <m:sub>
                      <m:r>
                        <m:t>F</m:t>
                      </m:r>
                    </m:sub>
                    <m:sup>
                      <m:r>
                        <m:t>2</m:t>
                      </m:r>
                    </m:sup>
                  </m:sSubSup>
                </m:den>
              </m:f>
              <m:r>
                <m:t>X</m:t>
              </m:r>
              <m:sSup>
                <m:e>
                  <m:r>
                    <m:t>H</m:t>
                  </m:r>
                </m:e>
                <m:sup>
                  <m:d>
                    <m:dPr>
                      <m:begChr m:val="("/>
                      <m:endChr m:val=")"/>
                      <m:sepChr m:val=""/>
                      <m:grow/>
                    </m:dPr>
                    <m:e>
                      <m:r>
                        <m:t>t</m:t>
                      </m:r>
                      <m:r>
                        <m:rPr>
                          <m:sty m:val="p"/>
                        </m:rPr>
                        <m:t>+</m:t>
                      </m:r>
                      <m:r>
                        <m:t>1</m:t>
                      </m:r>
                    </m:e>
                  </m:d>
                  <m:r>
                    <m:rPr>
                      <m:sty m:val="p"/>
                    </m:rPr>
                    <m:t>⊤</m:t>
                  </m:r>
                </m:sup>
              </m:sSup>
              <m:r>
                <m:rPr>
                  <m:sty m:val="p"/>
                </m:rPr>
                <m:t>+</m:t>
              </m:r>
              <m:f>
                <m:fPr>
                  <m:type m:val="bar"/>
                </m:fPr>
                <m:num>
                  <m:r>
                    <m:t>2</m:t>
                  </m:r>
                  <m:r>
                    <m:t>α</m:t>
                  </m:r>
                </m:num>
                <m:den>
                  <m:sSub>
                    <m:e>
                      <m:r>
                        <m:t>n</m:t>
                      </m:r>
                    </m:e>
                    <m:sub>
                      <m:r>
                        <m:rPr>
                          <m:sty m:val="p"/>
                        </m:rPr>
                        <m:t>e</m:t>
                      </m:r>
                      <m:r>
                        <m:rPr>
                          <m:sty m:val="p"/>
                        </m:rPr>
                        <m:t>v</m:t>
                      </m:r>
                      <m:r>
                        <m:rPr>
                          <m:sty m:val="p"/>
                        </m:rPr>
                        <m:t>e</m:t>
                      </m:r>
                      <m:r>
                        <m:rPr>
                          <m:sty m:val="p"/>
                        </m:rPr>
                        <m:t>n</m:t>
                      </m:r>
                      <m:r>
                        <m:rPr>
                          <m:sty m:val="p"/>
                        </m:rPr>
                        <m:t>t</m:t>
                      </m:r>
                    </m:sub>
                  </m:sSub>
                </m:den>
              </m:f>
              <m:r>
                <m:t> </m:t>
              </m:r>
              <m:sSup>
                <m:e>
                  <m:r>
                    <m:t>ζ</m:t>
                  </m:r>
                </m:e>
                <m:sup>
                  <m:d>
                    <m:dPr>
                      <m:begChr m:val="("/>
                      <m:endChr m:val=")"/>
                      <m:sepChr m:val=""/>
                      <m:grow/>
                    </m:dPr>
                    <m:e>
                      <m:r>
                        <m:t>t</m:t>
                      </m:r>
                    </m:e>
                  </m:d>
                </m:sup>
              </m:sSup>
              <m:r>
                <m:t> </m:t>
              </m:r>
              <m:sSub>
                <m:e>
                  <m:r>
                    <m:rPr>
                      <m:sty m:val="p"/>
                    </m:rPr>
                    <m:t>∇</m:t>
                  </m:r>
                </m:e>
                <m:sub>
                  <m:r>
                    <m:t>W</m:t>
                  </m:r>
                </m:sub>
              </m:sSub>
              <m:r>
                <m:rPr>
                  <m:sty m:val="p"/>
                </m:rPr>
                <m:t>ℓ</m:t>
              </m:r>
              <m:d>
                <m:dPr>
                  <m:begChr m:val="("/>
                  <m:endChr m:val=")"/>
                  <m:sepChr m:val=""/>
                  <m:grow/>
                </m:dPr>
                <m:e>
                  <m:sSup>
                    <m:e>
                      <m:r>
                        <m:t>W</m:t>
                      </m:r>
                    </m:e>
                    <m:sup>
                      <m:d>
                        <m:dPr>
                          <m:begChr m:val="("/>
                          <m:endChr m:val=")"/>
                          <m:sepChr m:val=""/>
                          <m:grow/>
                        </m:dPr>
                        <m:e>
                          <m:r>
                            <m:t>t</m:t>
                          </m:r>
                        </m:e>
                      </m:d>
                    </m:sup>
                  </m:sSup>
                  <m:r>
                    <m:rPr>
                      <m:sty m:val="p"/>
                    </m:rPr>
                    <m:t>,</m:t>
                  </m:r>
                  <m:sSup>
                    <m:e>
                      <m:r>
                        <m:t>β</m:t>
                      </m:r>
                    </m:e>
                    <m:sup>
                      <m:d>
                        <m:dPr>
                          <m:begChr m:val="("/>
                          <m:endChr m:val=")"/>
                          <m:sepChr m:val=""/>
                          <m:grow/>
                        </m:dPr>
                        <m:e>
                          <m:r>
                            <m:t>t</m:t>
                          </m:r>
                        </m:e>
                      </m:d>
                    </m:sup>
                  </m:sSup>
                </m:e>
              </m:d>
            </m:num>
            <m:den>
              <m:f>
                <m:fPr>
                  <m:type m:val="bar"/>
                </m:fPr>
                <m:num>
                  <m:d>
                    <m:dPr>
                      <m:begChr m:val="("/>
                      <m:endChr m:val=")"/>
                      <m:sepChr m:val=""/>
                      <m:grow/>
                    </m:dPr>
                    <m:e>
                      <m:r>
                        <m:t>1</m:t>
                      </m:r>
                      <m:r>
                        <m:rPr>
                          <m:sty m:val="p"/>
                        </m:rPr>
                        <m:t>−</m:t>
                      </m:r>
                      <m:r>
                        <m:t>α</m:t>
                      </m:r>
                    </m:e>
                  </m:d>
                </m:num>
                <m:den>
                  <m:r>
                    <m:rPr>
                      <m:sty m:val="p"/>
                    </m:rPr>
                    <m:t>∥</m:t>
                  </m:r>
                  <m:r>
                    <m:t>X</m:t>
                  </m:r>
                  <m:sSubSup>
                    <m:e>
                      <m:r>
                        <m:rPr>
                          <m:sty m:val="p"/>
                        </m:rPr>
                        <m:t>∥</m:t>
                      </m:r>
                    </m:e>
                    <m:sub>
                      <m:r>
                        <m:t>F</m:t>
                      </m:r>
                    </m:sub>
                    <m:sup>
                      <m:r>
                        <m:t>2</m:t>
                      </m:r>
                    </m:sup>
                  </m:sSubSup>
                </m:den>
              </m:f>
              <m:sSup>
                <m:e>
                  <m:r>
                    <m:t>W</m:t>
                  </m:r>
                </m:e>
                <m:sup>
                  <m:d>
                    <m:dPr>
                      <m:begChr m:val="("/>
                      <m:endChr m:val=")"/>
                      <m:sepChr m:val=""/>
                      <m:grow/>
                    </m:dPr>
                    <m:e>
                      <m:r>
                        <m:t>t</m:t>
                      </m:r>
                    </m:e>
                  </m:d>
                </m:sup>
              </m:sSup>
              <m:sSup>
                <m:e>
                  <m:r>
                    <m:t>H</m:t>
                  </m:r>
                </m:e>
                <m:sup>
                  <m:d>
                    <m:dPr>
                      <m:begChr m:val="("/>
                      <m:endChr m:val=")"/>
                      <m:sepChr m:val=""/>
                      <m:grow/>
                    </m:dPr>
                    <m:e>
                      <m:r>
                        <m:t>t</m:t>
                      </m:r>
                      <m:r>
                        <m:rPr>
                          <m:sty m:val="p"/>
                        </m:rPr>
                        <m:t>+</m:t>
                      </m:r>
                      <m:r>
                        <m:t>1</m:t>
                      </m:r>
                    </m:e>
                  </m:d>
                </m:sup>
              </m:sSup>
              <m:sSup>
                <m:e>
                  <m:r>
                    <m:t>H</m:t>
                  </m:r>
                </m:e>
                <m:sup>
                  <m:d>
                    <m:dPr>
                      <m:begChr m:val="("/>
                      <m:endChr m:val=")"/>
                      <m:sepChr m:val=""/>
                      <m:grow/>
                    </m:dPr>
                    <m:e>
                      <m:r>
                        <m:t>t</m:t>
                      </m:r>
                      <m:r>
                        <m:rPr>
                          <m:sty m:val="p"/>
                        </m:rPr>
                        <m:t>+</m:t>
                      </m:r>
                      <m:r>
                        <m:t>1</m:t>
                      </m:r>
                    </m:e>
                  </m:d>
                  <m:r>
                    <m:rPr>
                      <m:sty m:val="p"/>
                    </m:rPr>
                    <m:t>⊤</m:t>
                  </m:r>
                </m:sup>
              </m:sSup>
              <m:r>
                <m:rPr>
                  <m:sty m:val="p"/>
                </m:rPr>
                <m:t>+</m:t>
              </m:r>
              <m:sSub>
                <m:e>
                  <m:r>
                    <m:t>ε</m:t>
                  </m:r>
                </m:e>
                <m:sub>
                  <m:r>
                    <m:t>W</m:t>
                  </m:r>
                </m:sub>
              </m:sSub>
            </m:den>
          </m:f>
          <m:r>
            <m:rPr>
              <m:sty m:val="p"/>
            </m:rPr>
            <m:t>,</m:t>
          </m:r>
        </m:oMath>
      </m:oMathPara>
    </w:p>
    <w:p>
      <w:pPr>
        <w:pStyle w:val="FirstParagraph"/>
      </w:pPr>
      <w:r>
        <w:t xml:space="preserve">and the proposed update is</w:t>
      </w:r>
    </w:p>
    <w:p>
      <w:pPr>
        <w:pStyle w:val="BodyText"/>
      </w:pPr>
      <m:oMathPara>
        <m:oMathParaPr>
          <m:jc m:val="center"/>
        </m:oMathParaPr>
        <m:oMath>
          <m:sSup>
            <m:e>
              <m:r>
                <m:t>W</m:t>
              </m:r>
            </m:e>
            <m:sup>
              <m:d>
                <m:dPr>
                  <m:begChr m:val="("/>
                  <m:endChr m:val=")"/>
                  <m:sepChr m:val=""/>
                  <m:grow/>
                </m:dPr>
                <m:e>
                  <m:r>
                    <m:t>t</m:t>
                  </m:r>
                  <m:r>
                    <m:rPr>
                      <m:sty m:val="p"/>
                    </m:rPr>
                    <m:t>+</m:t>
                  </m:r>
                  <m:r>
                    <m:t>1</m:t>
                  </m:r>
                </m:e>
              </m:d>
            </m:sup>
          </m:sSup>
          <m:r>
            <m:rPr>
              <m:sty m:val="p"/>
            </m:rPr>
            <m:t>=</m:t>
          </m:r>
          <m:r>
            <m:rPr>
              <m:sty m:val="p"/>
            </m:rPr>
            <m:t>max</m:t>
          </m:r>
          <m:r>
            <m:t>​</m:t>
          </m:r>
          <m:d>
            <m:dPr>
              <m:begChr m:val="("/>
              <m:endChr m:val=")"/>
              <m:sepChr m:val=""/>
              <m:grow/>
            </m:dPr>
            <m:e>
              <m:sSup>
                <m:e>
                  <m:r>
                    <m:t>W</m:t>
                  </m:r>
                </m:e>
                <m:sup>
                  <m:d>
                    <m:dPr>
                      <m:begChr m:val="("/>
                      <m:endChr m:val=")"/>
                      <m:sepChr m:val=""/>
                      <m:grow/>
                    </m:dPr>
                    <m:e>
                      <m:r>
                        <m:t>t</m:t>
                      </m:r>
                    </m:e>
                  </m:d>
                </m:sup>
              </m:sSup>
              <m:r>
                <m:rPr>
                  <m:sty m:val="p"/>
                </m:rPr>
                <m:t>⊙</m:t>
              </m:r>
              <m:sSup>
                <m:e>
                  <m:r>
                    <m:t>R</m:t>
                  </m:r>
                </m:e>
                <m:sup>
                  <m:d>
                    <m:dPr>
                      <m:begChr m:val="("/>
                      <m:endChr m:val=")"/>
                      <m:sepChr m:val=""/>
                      <m:grow/>
                    </m:dPr>
                    <m:e>
                      <m:r>
                        <m:t>t</m:t>
                      </m:r>
                    </m:e>
                  </m:d>
                </m:sup>
              </m:sSup>
              <m:r>
                <m:rPr>
                  <m:sty m:val="p"/>
                </m:rPr>
                <m:t>,</m:t>
              </m:r>
              <m:sSub>
                <m:e>
                  <m:r>
                    <m:t>ε</m:t>
                  </m:r>
                </m:e>
                <m:sub>
                  <m:r>
                    <m:t>W</m:t>
                  </m:r>
                </m:sub>
              </m:sSub>
            </m:e>
          </m:d>
          <m:r>
            <m:rPr>
              <m:sty m:val="p"/>
            </m:rPr>
            <m:t>,</m:t>
          </m:r>
        </m:oMath>
      </m:oMathPara>
    </w:p>
    <w:p>
      <w:pPr>
        <w:pStyle w:val="FirstParagraph"/>
      </w:pPr>
      <w:r>
        <w:t xml:space="preserve">with a small floor</w:t>
      </w:r>
      <w:r>
        <w:t xml:space="preserve"> </w:t>
      </w:r>
      <m:oMath>
        <m:sSub>
          <m:e>
            <m:r>
              <m:t>ε</m:t>
            </m:r>
          </m:e>
          <m:sub>
            <m:r>
              <m:t>W</m:t>
            </m:r>
          </m:sub>
        </m:sSub>
        <m:r>
          <m:rPr>
            <m:sty m:val="p"/>
          </m:rPr>
          <m:t>&gt;</m:t>
        </m:r>
        <m:r>
          <m:t>0</m:t>
        </m:r>
      </m:oMath>
      <w:r>
        <w:t xml:space="preserve">. When</w:t>
      </w:r>
      <w:r>
        <w:t xml:space="preserve"> </w:t>
      </w:r>
      <m:oMath>
        <m:r>
          <m:t>α</m:t>
        </m:r>
        <m:r>
          <m:rPr>
            <m:sty m:val="p"/>
          </m:rPr>
          <m:t>=</m:t>
        </m:r>
        <m:r>
          <m:t>0</m:t>
        </m:r>
      </m:oMath>
      <w:r>
        <w:t xml:space="preserve">, this reduces</w:t>
      </w:r>
      <w:r>
        <w:t xml:space="preserve"> </w:t>
      </w:r>
      <w:r>
        <w:t xml:space="preserve">to the standard multiplicative update for NMF</w:t>
      </w:r>
      <w:hyperlink w:anchor="ref-seung2001algorithms">
        <w:r>
          <w:rPr>
            <w:rStyle w:val="Hyperlink"/>
            <w:vertAlign w:val="superscript"/>
          </w:rPr>
          <w:t xml:space="preserve">1</w:t>
        </w:r>
      </w:hyperlink>
      <w:r>
        <w:t xml:space="preserve">;</w:t>
      </w:r>
      <w:r>
        <w:t xml:space="preserve"> </w:t>
      </w:r>
      <w:r>
        <w:t xml:space="preserve">for</w:t>
      </w:r>
      <w:r>
        <w:t xml:space="preserve"> </w:t>
      </w:r>
      <m:oMath>
        <m:r>
          <m:t>α</m:t>
        </m:r>
        <m:r>
          <m:rPr>
            <m:sty m:val="p"/>
          </m:rPr>
          <m:t>&gt;</m:t>
        </m:r>
        <m:r>
          <m:t>0</m:t>
        </m:r>
      </m:oMath>
      <w:r>
        <w:t xml:space="preserve">, the Cox gradient perturbs the update in a direction that</w:t>
      </w:r>
      <w:r>
        <w:t xml:space="preserve"> </w:t>
      </w:r>
      <w:r>
        <w:t xml:space="preserve">decreases the supervised loss.</w:t>
      </w:r>
    </w:p>
    <w:p>
      <w:pPr>
        <w:pStyle w:val="BodyText"/>
      </w:pPr>
      <w:r>
        <w:t xml:space="preserve">Because the combined multiplicative step does not, by itself, guarantee a</w:t>
      </w:r>
      <w:r>
        <w:t xml:space="preserve"> </w:t>
      </w:r>
      <w:r>
        <w:t xml:space="preserve">nonincrease in the full loss</w:t>
      </w:r>
      <w:r>
        <w:t xml:space="preserve"> </w:t>
      </w:r>
      <m:oMath>
        <m:r>
          <m:rPr>
            <m:sty m:val="p"/>
            <m:scr m:val="script"/>
          </m:rPr>
          <m:t>L</m:t>
        </m:r>
      </m:oMath>
      <w:r>
        <w:t xml:space="preserve">, we embed it in a backtracking</w:t>
      </w:r>
      <w:r>
        <w:t xml:space="preserve"> </w:t>
      </w:r>
      <w:r>
        <w:t xml:space="preserve">line search.</w:t>
      </w:r>
    </w:p>
    <w:p>
      <w:pPr>
        <w:pStyle w:val="BodyText"/>
      </w:pPr>
      <m:oMath>
        <m:r>
          <m:t>W</m:t>
        </m:r>
      </m:oMath>
      <w:r>
        <w:rPr>
          <w:bCs/>
          <w:b/>
        </w:rPr>
        <w:t xml:space="preserve"> </w:t>
      </w:r>
      <w:r>
        <w:rPr>
          <w:bCs/>
          <w:b/>
        </w:rPr>
        <w:t xml:space="preserve">update with backtracking</w:t>
      </w:r>
    </w:p>
    <w:p>
      <w:pPr>
        <w:pStyle w:val="BodyText"/>
      </w:pPr>
      <w:r>
        <w:t xml:space="preserve">Input: Value of</w:t>
      </w:r>
      <w:r>
        <w:t xml:space="preserve"> </w:t>
      </w:r>
      <m:oMath>
        <m:r>
          <m:t>W</m:t>
        </m:r>
      </m:oMath>
      <w:r>
        <w:t xml:space="preserve"> </w:t>
      </w:r>
      <w:r>
        <w:t xml:space="preserve">and the previous iteration</w:t>
      </w:r>
      <w:r>
        <w:t xml:space="preserve"> </w:t>
      </w:r>
      <m:oMath>
        <m:r>
          <m:t>t</m:t>
        </m:r>
      </m:oMath>
      <w:r>
        <w:t xml:space="preserve">:</w:t>
      </w:r>
      <w:r>
        <w:t xml:space="preserve"> </w:t>
      </w:r>
      <m:oMath>
        <m:sSup>
          <m:e>
            <m:r>
              <m:t>W</m:t>
            </m:r>
          </m:e>
          <m:sup>
            <m:d>
              <m:dPr>
                <m:begChr m:val="("/>
                <m:endChr m:val=")"/>
                <m:sepChr m:val=""/>
                <m:grow/>
              </m:dPr>
              <m:e>
                <m:r>
                  <m:t>t</m:t>
                </m:r>
              </m:e>
            </m:d>
          </m:sup>
        </m:sSup>
      </m:oMath>
      <w:r>
        <w:t xml:space="preserve">, the multiplicative update term at the current iteration</w:t>
      </w:r>
      <w:r>
        <w:t xml:space="preserve"> </w:t>
      </w:r>
      <m:oMath>
        <m:sSup>
          <m:e>
            <m:r>
              <m:t>R</m:t>
            </m:r>
          </m:e>
          <m:sup>
            <m:d>
              <m:dPr>
                <m:begChr m:val="("/>
                <m:endChr m:val=")"/>
                <m:sepChr m:val=""/>
                <m:grow/>
              </m:dPr>
              <m:e>
                <m:r>
                  <m:t>t</m:t>
                </m:r>
              </m:e>
            </m:d>
          </m:sup>
        </m:sSup>
      </m:oMath>
      <w:r>
        <w:t xml:space="preserve">, the max number of backtracking updates</w:t>
      </w:r>
      <w:r>
        <w:t xml:space="preserve"> </w:t>
      </w:r>
      <m:oMath>
        <m:r>
          <m:t>m</m:t>
        </m:r>
        <m:r>
          <m:t>a</m:t>
        </m:r>
        <m:r>
          <m:t>x</m:t>
        </m:r>
        <m:r>
          <m:rPr>
            <m:sty m:val="p"/>
          </m:rPr>
          <m:t>_</m:t>
        </m:r>
        <m:r>
          <m:t>b</m:t>
        </m:r>
        <m:r>
          <m:t>t</m:t>
        </m:r>
      </m:oMath>
      <w:r>
        <w:t xml:space="preserve">, the backtracking parameter</w:t>
      </w:r>
      <w:r>
        <w:t xml:space="preserve"> </w:t>
      </w:r>
      <m:oMath>
        <m:r>
          <m:t>ρ</m:t>
        </m:r>
        <m:r>
          <m:rPr>
            <m:sty m:val="p"/>
          </m:rPr>
          <m:t>∈</m:t>
        </m:r>
        <m:d>
          <m:dPr>
            <m:begChr m:val="("/>
            <m:endChr m:val=")"/>
            <m:sepChr m:val=""/>
            <m:grow/>
          </m:dPr>
          <m:e>
            <m:r>
              <m:t>0</m:t>
            </m:r>
            <m:r>
              <m:rPr>
                <m:sty m:val="p"/>
              </m:rPr>
              <m:t>,</m:t>
            </m:r>
            <m:r>
              <m:t>1</m:t>
            </m:r>
          </m:e>
        </m:d>
      </m:oMath>
      <w:r>
        <w:br/>
      </w:r>
      <w:r>
        <w:t xml:space="preserve">Output:</w:t>
      </w:r>
      <w:r>
        <w:t xml:space="preserve"> </w:t>
      </w:r>
      <m:oMath>
        <m:sSup>
          <m:e>
            <m:r>
              <m:t>W</m:t>
            </m:r>
          </m:e>
          <m:sup>
            <m:d>
              <m:dPr>
                <m:begChr m:val="("/>
                <m:endChr m:val=")"/>
                <m:sepChr m:val=""/>
                <m:grow/>
              </m:dPr>
              <m:e>
                <m:r>
                  <m:t>t</m:t>
                </m:r>
                <m:r>
                  <m:rPr>
                    <m:sty m:val="p"/>
                  </m:rPr>
                  <m:t>+</m:t>
                </m:r>
                <m:r>
                  <m:t>1</m:t>
                </m:r>
              </m:e>
            </m:d>
          </m:sup>
        </m:sSup>
      </m:oMath>
      <w:r>
        <w:br/>
      </w:r>
      <m:oMath>
        <m:r>
          <m:t>θ</m:t>
        </m:r>
        <m:r>
          <m:rPr>
            <m:sty m:val="p"/>
          </m:rPr>
          <m:t>=</m:t>
        </m:r>
        <m:r>
          <m:t>1</m:t>
        </m:r>
      </m:oMath>
      <w:r>
        <w:br/>
      </w:r>
      <w:r>
        <w:t xml:space="preserve">b = 1</w:t>
      </w:r>
      <w:r>
        <w:br/>
      </w:r>
      <m:oMath>
        <m:r>
          <m:t>f</m:t>
        </m:r>
        <m:r>
          <m:t>l</m:t>
        </m:r>
        <m:r>
          <m:t>a</m:t>
        </m:r>
        <m:r>
          <m:t>g</m:t>
        </m:r>
        <m:r>
          <m:rPr>
            <m:sty m:val="p"/>
          </m:rPr>
          <m:t>_</m:t>
        </m:r>
        <m:r>
          <m:t>a</m:t>
        </m:r>
        <m:r>
          <m:t>c</m:t>
        </m:r>
        <m:r>
          <m:t>c</m:t>
        </m:r>
        <m:r>
          <m:t>e</m:t>
        </m:r>
        <m:r>
          <m:t>p</m:t>
        </m:r>
        <m:r>
          <m:t>t</m:t>
        </m:r>
        <m:r>
          <m:rPr>
            <m:sty m:val="p"/>
          </m:rPr>
          <m:t>=</m:t>
        </m:r>
        <m:r>
          <m:t>F</m:t>
        </m:r>
        <m:r>
          <m:t>A</m:t>
        </m:r>
        <m:r>
          <m:t>L</m:t>
        </m:r>
        <m:r>
          <m:t>S</m:t>
        </m:r>
        <m:r>
          <m:t>E</m:t>
        </m:r>
      </m:oMath>
      <w:r>
        <w:br/>
      </w:r>
      <w:r>
        <w:t xml:space="preserve">while</w:t>
      </w:r>
      <w:r>
        <w:t xml:space="preserve"> </w:t>
      </w:r>
      <m:oMath>
        <m:r>
          <m:t>b</m:t>
        </m:r>
        <m:r>
          <m:rPr>
            <m:sty m:val="p"/>
          </m:rPr>
          <m:t>≤</m:t>
        </m:r>
        <m:r>
          <m:t>m</m:t>
        </m:r>
        <m:r>
          <m:t>a</m:t>
        </m:r>
        <m:r>
          <m:t>x</m:t>
        </m:r>
        <m:r>
          <m:rPr>
            <m:sty m:val="p"/>
          </m:rPr>
          <m:t>_</m:t>
        </m:r>
        <m:r>
          <m:t>b</m:t>
        </m:r>
        <m:r>
          <m:t>t</m:t>
        </m:r>
      </m:oMath>
      <w:r>
        <w:t xml:space="preserve"> </w:t>
      </w:r>
      <w:r>
        <w:t xml:space="preserve">do</w:t>
      </w:r>
      <w:r>
        <w:br/>
      </w:r>
      <m:oMath>
        <m:sSubSup>
          <m:e>
            <m:r>
              <m:t>W</m:t>
            </m:r>
          </m:e>
          <m:sub>
            <m:r>
              <m:t>c</m:t>
            </m:r>
            <m:r>
              <m:t>a</m:t>
            </m:r>
            <m:r>
              <m:t>n</m:t>
            </m:r>
            <m:r>
              <m:t>d</m:t>
            </m:r>
          </m:sub>
          <m:sup>
            <m:d>
              <m:dPr>
                <m:begChr m:val="("/>
                <m:endChr m:val=")"/>
                <m:sepChr m:val=""/>
                <m:grow/>
              </m:dPr>
              <m:e>
                <m:r>
                  <m:t>t</m:t>
                </m:r>
                <m:r>
                  <m:rPr>
                    <m:sty m:val="p"/>
                  </m:rPr>
                  <m:t>+</m:t>
                </m:r>
                <m:r>
                  <m:t>1</m:t>
                </m:r>
              </m:e>
            </m:d>
          </m:sup>
        </m:sSubSup>
        <m:r>
          <m:rPr>
            <m:sty m:val="p"/>
          </m:rPr>
          <m:t>=</m:t>
        </m:r>
        <m:r>
          <m:rPr>
            <m:sty m:val="p"/>
          </m:rPr>
          <m:t>max</m:t>
        </m:r>
        <m:r>
          <m:t>​</m:t>
        </m:r>
        <m:d>
          <m:dPr>
            <m:begChr m:val="("/>
            <m:endChr m:val=")"/>
            <m:sepChr m:val=""/>
            <m:grow/>
          </m:dPr>
          <m:e>
            <m:sSup>
              <m:e>
                <m:r>
                  <m:t>W</m:t>
                </m:r>
              </m:e>
              <m:sup>
                <m:d>
                  <m:dPr>
                    <m:begChr m:val="("/>
                    <m:endChr m:val=")"/>
                    <m:sepChr m:val=""/>
                    <m:grow/>
                  </m:dPr>
                  <m:e>
                    <m:r>
                      <m:t>t</m:t>
                    </m:r>
                  </m:e>
                </m:d>
              </m:sup>
            </m:sSup>
            <m:r>
              <m:rPr>
                <m:sty m:val="p"/>
              </m:rPr>
              <m:t>⊙</m:t>
            </m:r>
            <m:d>
              <m:dPr>
                <m:begChr m:val="["/>
                <m:endChr m:val="]"/>
                <m:sepChr m:val=""/>
                <m:grow/>
              </m:dPr>
              <m:e>
                <m:d>
                  <m:dPr>
                    <m:begChr m:val="("/>
                    <m:endChr m:val=")"/>
                    <m:sepChr m:val=""/>
                    <m:grow/>
                  </m:dPr>
                  <m:e>
                    <m:r>
                      <m:t>1</m:t>
                    </m:r>
                    <m:r>
                      <m:rPr>
                        <m:sty m:val="p"/>
                      </m:rPr>
                      <m:t>−</m:t>
                    </m:r>
                    <m:r>
                      <m:t>θ</m:t>
                    </m:r>
                  </m:e>
                </m:d>
                <m:r>
                  <m:rPr>
                    <m:sty m:val="p"/>
                  </m:rPr>
                  <m:t>+</m:t>
                </m:r>
                <m:r>
                  <m:t>θ</m:t>
                </m:r>
                <m:sSup>
                  <m:e>
                    <m:r>
                      <m:t>R</m:t>
                    </m:r>
                  </m:e>
                  <m:sup>
                    <m:d>
                      <m:dPr>
                        <m:begChr m:val="("/>
                        <m:endChr m:val=")"/>
                        <m:sepChr m:val=""/>
                        <m:grow/>
                      </m:dPr>
                      <m:e>
                        <m:r>
                          <m:t>t</m:t>
                        </m:r>
                      </m:e>
                    </m:d>
                  </m:sup>
                </m:sSup>
              </m:e>
            </m:d>
            <m:r>
              <m:rPr>
                <m:sty m:val="p"/>
              </m:rPr>
              <m:t>,</m:t>
            </m:r>
            <m:r>
              <m:t> </m:t>
            </m:r>
            <m:sSub>
              <m:e>
                <m:r>
                  <m:t>ε</m:t>
                </m:r>
              </m:e>
              <m:sub>
                <m:r>
                  <m:t>W</m:t>
                </m:r>
              </m:sub>
            </m:sSub>
          </m:e>
        </m:d>
      </m:oMath>
      <w:r>
        <w:br/>
      </w:r>
      <w:r>
        <w:rPr>
          <w:bCs/>
          <w:b/>
        </w:rPr>
        <w:t xml:space="preserve">(Column normalization)</w:t>
      </w:r>
      <w:r>
        <w:br/>
      </w:r>
      <w:r>
        <w:t xml:space="preserve">Compute</w:t>
      </w:r>
      <w:r>
        <w:t xml:space="preserve"> </w:t>
      </w:r>
      <m:oMath>
        <m:r>
          <m:t>D</m:t>
        </m:r>
        <m:r>
          <m:rPr>
            <m:sty m:val="p"/>
          </m:rPr>
          <m:t>=</m:t>
        </m:r>
        <m:r>
          <m:rPr>
            <m:sty m:val="p"/>
          </m:rPr>
          <m:t>d</m:t>
        </m:r>
        <m:r>
          <m:rPr>
            <m:sty m:val="p"/>
          </m:rPr>
          <m:t>i</m:t>
        </m:r>
        <m:r>
          <m:rPr>
            <m:sty m:val="p"/>
          </m:rPr>
          <m:t>a</m:t>
        </m:r>
        <m:r>
          <m:rPr>
            <m:sty m:val="p"/>
          </m:rPr>
          <m:t>g</m:t>
        </m:r>
        <m:r>
          <m:t>​</m:t>
        </m:r>
        <m:d>
          <m:dPr>
            <m:begChr m:val="("/>
            <m:endChr m:val=")"/>
            <m:sepChr m:val=""/>
            <m:grow/>
          </m:dPr>
          <m:e>
            <m:r>
              <m:rPr>
                <m:sty m:val="p"/>
              </m:rPr>
              <m:t>∥</m:t>
            </m:r>
            <m:sSubSup>
              <m:e>
                <m:r>
                  <m:t>W</m:t>
                </m:r>
              </m:e>
              <m:sub>
                <m:d>
                  <m:dPr>
                    <m:begChr m:val="("/>
                    <m:endChr m:val=")"/>
                    <m:sepChr m:val=""/>
                    <m:grow/>
                  </m:dPr>
                  <m:e>
                    <m:r>
                      <m:rPr>
                        <m:sty m:val="p"/>
                      </m:rPr>
                      <m:t>:</m:t>
                    </m:r>
                    <m:r>
                      <m:rPr>
                        <m:sty m:val="p"/>
                      </m:rPr>
                      <m:t>,</m:t>
                    </m:r>
                    <m:r>
                      <m:t>1</m:t>
                    </m:r>
                  </m:e>
                </m:d>
                <m:r>
                  <m:t>c</m:t>
                </m:r>
                <m:r>
                  <m:t>a</m:t>
                </m:r>
                <m:r>
                  <m:t>n</m:t>
                </m:r>
                <m:r>
                  <m:t>d</m:t>
                </m:r>
              </m:sub>
              <m:sup>
                <m:d>
                  <m:dPr>
                    <m:begChr m:val="("/>
                    <m:endChr m:val=")"/>
                    <m:sepChr m:val=""/>
                    <m:grow/>
                  </m:dPr>
                  <m:e>
                    <m:r>
                      <m:t>t</m:t>
                    </m:r>
                    <m:r>
                      <m:rPr>
                        <m:sty m:val="p"/>
                      </m:rPr>
                      <m:t>+</m:t>
                    </m:r>
                    <m:r>
                      <m:t>1</m:t>
                    </m:r>
                  </m:e>
                </m:d>
              </m:sup>
            </m:sSubSup>
            <m:sSub>
              <m:e>
                <m:r>
                  <m:rPr>
                    <m:sty m:val="p"/>
                  </m:rPr>
                  <m:t>∥</m:t>
                </m:r>
              </m:e>
              <m:sub>
                <m:r>
                  <m:t>2</m:t>
                </m:r>
              </m:sub>
            </m:sSub>
            <m:r>
              <m:rPr>
                <m:sty m:val="p"/>
              </m:rPr>
              <m:t>,</m:t>
            </m:r>
            <m:r>
              <m:rPr>
                <m:sty m:val="p"/>
              </m:rPr>
              <m:t>…</m:t>
            </m:r>
            <m:r>
              <m:rPr>
                <m:sty m:val="p"/>
              </m:rPr>
              <m:t>,</m:t>
            </m:r>
            <m:r>
              <m:rPr>
                <m:sty m:val="p"/>
              </m:rPr>
              <m:t>∥</m:t>
            </m:r>
            <m:sSubSup>
              <m:e>
                <m:r>
                  <m:t>W</m:t>
                </m:r>
              </m:e>
              <m:sub>
                <m:d>
                  <m:dPr>
                    <m:begChr m:val="("/>
                    <m:endChr m:val=")"/>
                    <m:sepChr m:val=""/>
                    <m:grow/>
                  </m:dPr>
                  <m:e>
                    <m:r>
                      <m:rPr>
                        <m:sty m:val="p"/>
                      </m:rPr>
                      <m:t>:</m:t>
                    </m:r>
                    <m:r>
                      <m:rPr>
                        <m:sty m:val="p"/>
                      </m:rPr>
                      <m:t>,</m:t>
                    </m:r>
                    <m:r>
                      <m:t>k</m:t>
                    </m:r>
                  </m:e>
                </m:d>
                <m:r>
                  <m:t>c</m:t>
                </m:r>
                <m:r>
                  <m:t>a</m:t>
                </m:r>
                <m:r>
                  <m:t>n</m:t>
                </m:r>
                <m:r>
                  <m:t>d</m:t>
                </m:r>
              </m:sub>
              <m:sup>
                <m:d>
                  <m:dPr>
                    <m:begChr m:val="("/>
                    <m:endChr m:val=")"/>
                    <m:sepChr m:val=""/>
                    <m:grow/>
                  </m:dPr>
                  <m:e>
                    <m:r>
                      <m:t>t</m:t>
                    </m:r>
                    <m:r>
                      <m:rPr>
                        <m:sty m:val="p"/>
                      </m:rPr>
                      <m:t>+</m:t>
                    </m:r>
                    <m:r>
                      <m:t>1</m:t>
                    </m:r>
                  </m:e>
                </m:d>
              </m:sup>
            </m:sSubSup>
            <m:sSub>
              <m:e>
                <m:r>
                  <m:rPr>
                    <m:sty m:val="p"/>
                  </m:rPr>
                  <m:t>∥</m:t>
                </m:r>
              </m:e>
              <m:sub>
                <m:r>
                  <m:t>2</m:t>
                </m:r>
              </m:sub>
            </m:sSub>
          </m:e>
        </m:d>
      </m:oMath>
      <w:r>
        <w:br/>
      </w:r>
      <w:r>
        <w:t xml:space="preserve">and set</w:t>
      </w:r>
      <w:r>
        <w:t xml:space="preserve"> </w:t>
      </w:r>
      <m:oMath>
        <m:sSubSup>
          <m:e>
            <m:r>
              <m:t>W</m:t>
            </m:r>
          </m:e>
          <m:sub>
            <m:r>
              <m:t>c</m:t>
            </m:r>
            <m:r>
              <m:t>a</m:t>
            </m:r>
            <m:r>
              <m:t>n</m:t>
            </m:r>
            <m:r>
              <m:t>d</m:t>
            </m:r>
          </m:sub>
          <m:sup>
            <m:d>
              <m:dPr>
                <m:begChr m:val="("/>
                <m:endChr m:val=")"/>
                <m:sepChr m:val=""/>
                <m:grow/>
              </m:dPr>
              <m:e>
                <m:r>
                  <m:t>t</m:t>
                </m:r>
                <m:r>
                  <m:rPr>
                    <m:sty m:val="p"/>
                  </m:rPr>
                  <m:t>+</m:t>
                </m:r>
                <m:r>
                  <m:t>1</m:t>
                </m:r>
              </m:e>
            </m:d>
          </m:sup>
        </m:sSubSup>
        <m:r>
          <m:rPr>
            <m:sty m:val="p"/>
          </m:rPr>
          <m:t>←</m:t>
        </m:r>
        <m:sSubSup>
          <m:e>
            <m:r>
              <m:t>W</m:t>
            </m:r>
          </m:e>
          <m:sub>
            <m:r>
              <m:t>c</m:t>
            </m:r>
            <m:r>
              <m:t>a</m:t>
            </m:r>
            <m:r>
              <m:t>n</m:t>
            </m:r>
            <m:r>
              <m:t>d</m:t>
            </m:r>
          </m:sub>
          <m:sup>
            <m:d>
              <m:dPr>
                <m:begChr m:val="("/>
                <m:endChr m:val=")"/>
                <m:sepChr m:val=""/>
                <m:grow/>
              </m:dPr>
              <m:e>
                <m:r>
                  <m:t>t</m:t>
                </m:r>
                <m:r>
                  <m:rPr>
                    <m:sty m:val="p"/>
                  </m:rPr>
                  <m:t>+</m:t>
                </m:r>
                <m:r>
                  <m:t>1</m:t>
                </m:r>
              </m:e>
            </m:d>
          </m:sup>
        </m:sSubSup>
        <m:sSup>
          <m:e>
            <m:r>
              <m:t>D</m:t>
            </m:r>
          </m:e>
          <m:sup>
            <m:r>
              <m:rPr>
                <m:sty m:val="p"/>
              </m:rPr>
              <m:t>−</m:t>
            </m:r>
            <m:r>
              <m:t>1</m:t>
            </m:r>
          </m:sup>
        </m:sSup>
      </m:oMath>
      <w:r>
        <w:t xml:space="preserve">,</w:t>
      </w:r>
      <w:r>
        <w:t xml:space="preserve"> </w:t>
      </w:r>
      <m:oMath>
        <m:sSubSup>
          <m:e>
            <m:r>
              <m:t>H</m:t>
            </m:r>
          </m:e>
          <m:sub>
            <m:r>
              <m:t>c</m:t>
            </m:r>
            <m:r>
              <m:t>a</m:t>
            </m:r>
            <m:r>
              <m:t>n</m:t>
            </m:r>
            <m:r>
              <m:t>d</m:t>
            </m:r>
          </m:sub>
          <m:sup>
            <m:d>
              <m:dPr>
                <m:begChr m:val="("/>
                <m:endChr m:val=")"/>
                <m:sepChr m:val=""/>
                <m:grow/>
              </m:dPr>
              <m:e>
                <m:r>
                  <m:t>t</m:t>
                </m:r>
                <m:r>
                  <m:rPr>
                    <m:sty m:val="p"/>
                  </m:rPr>
                  <m:t>+</m:t>
                </m:r>
                <m:r>
                  <m:t>1</m:t>
                </m:r>
              </m:e>
            </m:d>
          </m:sup>
        </m:sSubSup>
        <m:r>
          <m:rPr>
            <m:sty m:val="p"/>
          </m:rPr>
          <m:t>←</m:t>
        </m:r>
        <m:r>
          <m:t>D</m:t>
        </m:r>
        <m:sSup>
          <m:e>
            <m:r>
              <m:t>H</m:t>
            </m:r>
          </m:e>
          <m:sup>
            <m:d>
              <m:dPr>
                <m:begChr m:val="("/>
                <m:endChr m:val=")"/>
                <m:sepChr m:val=""/>
                <m:grow/>
              </m:dPr>
              <m:e>
                <m:r>
                  <m:t>t</m:t>
                </m:r>
                <m:r>
                  <m:rPr>
                    <m:sty m:val="p"/>
                  </m:rPr>
                  <m:t>+</m:t>
                </m:r>
                <m:r>
                  <m:t>1</m:t>
                </m:r>
              </m:e>
            </m:d>
          </m:sup>
        </m:sSup>
      </m:oMath>
      <w:r>
        <w:t xml:space="preserve">, and</w:t>
      </w:r>
      <w:r>
        <w:t xml:space="preserve"> </w:t>
      </w:r>
      <m:oMath>
        <m:sSubSup>
          <m:e>
            <m:r>
              <m:t>β</m:t>
            </m:r>
          </m:e>
          <m:sub>
            <m:r>
              <m:t>c</m:t>
            </m:r>
            <m:r>
              <m:t>a</m:t>
            </m:r>
            <m:r>
              <m:t>n</m:t>
            </m:r>
            <m:r>
              <m:t>d</m:t>
            </m:r>
          </m:sub>
          <m:sup>
            <m:d>
              <m:dPr>
                <m:begChr m:val="("/>
                <m:endChr m:val=")"/>
                <m:sepChr m:val=""/>
                <m:grow/>
              </m:dPr>
              <m:e>
                <m:r>
                  <m:t>t</m:t>
                </m:r>
              </m:e>
            </m:d>
          </m:sup>
        </m:sSubSup>
        <m:r>
          <m:rPr>
            <m:sty m:val="p"/>
          </m:rPr>
          <m:t>←</m:t>
        </m:r>
        <m:r>
          <m:t>D</m:t>
        </m:r>
        <m:sSup>
          <m:e>
            <m:r>
              <m:t>β</m:t>
            </m:r>
          </m:e>
          <m:sup>
            <m:d>
              <m:dPr>
                <m:begChr m:val="("/>
                <m:endChr m:val=")"/>
                <m:sepChr m:val=""/>
                <m:grow/>
              </m:dPr>
              <m:e>
                <m:r>
                  <m:t>t</m:t>
                </m:r>
              </m:e>
            </m:d>
          </m:sup>
        </m:sSup>
      </m:oMath>
      <w:r>
        <w:br/>
      </w:r>
      <w:r>
        <w:t xml:space="preserve">if</w:t>
      </w:r>
      <w:r>
        <w:t xml:space="preserve"> </w:t>
      </w:r>
      <m:oMath>
        <m:r>
          <m:rPr>
            <m:sty m:val="p"/>
            <m:scr m:val="script"/>
          </m:rPr>
          <m:t>L</m:t>
        </m:r>
        <m:d>
          <m:dPr>
            <m:begChr m:val="("/>
            <m:endChr m:val=")"/>
            <m:sepChr m:val=""/>
            <m:grow/>
          </m:dPr>
          <m:e>
            <m:sSubSup>
              <m:e>
                <m:r>
                  <m:t>W</m:t>
                </m:r>
              </m:e>
              <m:sub>
                <m:r>
                  <m:t>c</m:t>
                </m:r>
                <m:r>
                  <m:t>a</m:t>
                </m:r>
                <m:r>
                  <m:t>n</m:t>
                </m:r>
                <m:r>
                  <m:t>d</m:t>
                </m:r>
              </m:sub>
              <m:sup>
                <m:d>
                  <m:dPr>
                    <m:begChr m:val="("/>
                    <m:endChr m:val=")"/>
                    <m:sepChr m:val=""/>
                    <m:grow/>
                  </m:dPr>
                  <m:e>
                    <m:r>
                      <m:t>t</m:t>
                    </m:r>
                    <m:r>
                      <m:rPr>
                        <m:sty m:val="p"/>
                      </m:rPr>
                      <m:t>+</m:t>
                    </m:r>
                    <m:r>
                      <m:t>1</m:t>
                    </m:r>
                  </m:e>
                </m:d>
              </m:sup>
            </m:sSubSup>
            <m:r>
              <m:rPr>
                <m:sty m:val="p"/>
              </m:rPr>
              <m:t>,</m:t>
            </m:r>
            <m:sSup>
              <m:e>
                <m:r>
                  <m:t>H</m:t>
                </m:r>
              </m:e>
              <m:sup>
                <m:d>
                  <m:dPr>
                    <m:begChr m:val="("/>
                    <m:endChr m:val=")"/>
                    <m:sepChr m:val=""/>
                    <m:grow/>
                  </m:dPr>
                  <m:e>
                    <m:r>
                      <m:t>t</m:t>
                    </m:r>
                    <m:r>
                      <m:rPr>
                        <m:sty m:val="p"/>
                      </m:rPr>
                      <m:t>+</m:t>
                    </m:r>
                    <m:r>
                      <m:t>1</m:t>
                    </m:r>
                  </m:e>
                </m:d>
              </m:sup>
            </m:sSup>
            <m:r>
              <m:rPr>
                <m:sty m:val="p"/>
              </m:rPr>
              <m:t>,</m:t>
            </m:r>
            <m:sSup>
              <m:e>
                <m:r>
                  <m:t>β</m:t>
                </m:r>
              </m:e>
              <m:sup>
                <m:d>
                  <m:dPr>
                    <m:begChr m:val="("/>
                    <m:endChr m:val=")"/>
                    <m:sepChr m:val=""/>
                    <m:grow/>
                  </m:dPr>
                  <m:e>
                    <m:r>
                      <m:t>t</m:t>
                    </m:r>
                  </m:e>
                </m:d>
              </m:sup>
            </m:sSup>
          </m:e>
        </m:d>
        <m:r>
          <m:rPr>
            <m:sty m:val="p"/>
          </m:rPr>
          <m:t>≤</m:t>
        </m:r>
        <m:r>
          <m:rPr>
            <m:sty m:val="p"/>
            <m:scr m:val="script"/>
          </m:rPr>
          <m:t>L</m:t>
        </m:r>
        <m:d>
          <m:dPr>
            <m:begChr m:val="("/>
            <m:endChr m:val=")"/>
            <m:sepChr m:val=""/>
            <m:grow/>
          </m:dPr>
          <m:e>
            <m:sSup>
              <m:e>
                <m:r>
                  <m:t>W</m:t>
                </m:r>
              </m:e>
              <m:sup>
                <m:d>
                  <m:dPr>
                    <m:begChr m:val="("/>
                    <m:endChr m:val=")"/>
                    <m:sepChr m:val=""/>
                    <m:grow/>
                  </m:dPr>
                  <m:e>
                    <m:r>
                      <m:t>t</m:t>
                    </m:r>
                  </m:e>
                </m:d>
              </m:sup>
            </m:sSup>
            <m:r>
              <m:rPr>
                <m:sty m:val="p"/>
              </m:rPr>
              <m:t>,</m:t>
            </m:r>
            <m:sSup>
              <m:e>
                <m:r>
                  <m:t>H</m:t>
                </m:r>
              </m:e>
              <m:sup>
                <m:d>
                  <m:dPr>
                    <m:begChr m:val="("/>
                    <m:endChr m:val=")"/>
                    <m:sepChr m:val=""/>
                    <m:grow/>
                  </m:dPr>
                  <m:e>
                    <m:r>
                      <m:t>t</m:t>
                    </m:r>
                    <m:r>
                      <m:rPr>
                        <m:sty m:val="p"/>
                      </m:rPr>
                      <m:t>+</m:t>
                    </m:r>
                    <m:r>
                      <m:t>1</m:t>
                    </m:r>
                  </m:e>
                </m:d>
              </m:sup>
            </m:sSup>
            <m:r>
              <m:rPr>
                <m:sty m:val="p"/>
              </m:rPr>
              <m:t>,</m:t>
            </m:r>
            <m:sSup>
              <m:e>
                <m:r>
                  <m:t>β</m:t>
                </m:r>
              </m:e>
              <m:sup>
                <m:d>
                  <m:dPr>
                    <m:begChr m:val="("/>
                    <m:endChr m:val=")"/>
                    <m:sepChr m:val=""/>
                    <m:grow/>
                  </m:dPr>
                  <m:e>
                    <m:r>
                      <m:t>t</m:t>
                    </m:r>
                  </m:e>
                </m:d>
              </m:sup>
            </m:sSup>
          </m:e>
        </m:d>
      </m:oMath>
      <w:r>
        <w:t xml:space="preserve"> </w:t>
      </w:r>
      <w:r>
        <w:t xml:space="preserve">then</w:t>
      </w:r>
      <w:r>
        <w:br/>
      </w:r>
      <m:oMath>
        <m:sSup>
          <m:e>
            <m:r>
              <m:t>W</m:t>
            </m:r>
          </m:e>
          <m:sup>
            <m:d>
              <m:dPr>
                <m:begChr m:val="("/>
                <m:endChr m:val=")"/>
                <m:sepChr m:val=""/>
                <m:grow/>
              </m:dPr>
              <m:e>
                <m:r>
                  <m:t>t</m:t>
                </m:r>
                <m:r>
                  <m:rPr>
                    <m:sty m:val="p"/>
                  </m:rPr>
                  <m:t>+</m:t>
                </m:r>
                <m:r>
                  <m:t>1</m:t>
                </m:r>
              </m:e>
            </m:d>
          </m:sup>
        </m:sSup>
        <m:r>
          <m:rPr>
            <m:sty m:val="p"/>
          </m:rPr>
          <m:t>=</m:t>
        </m:r>
        <m:sSubSup>
          <m:e>
            <m:r>
              <m:t>W</m:t>
            </m:r>
          </m:e>
          <m:sub>
            <m:r>
              <m:t>c</m:t>
            </m:r>
            <m:r>
              <m:t>a</m:t>
            </m:r>
            <m:r>
              <m:t>n</m:t>
            </m:r>
            <m:r>
              <m:t>d</m:t>
            </m:r>
          </m:sub>
          <m:sup>
            <m:d>
              <m:dPr>
                <m:begChr m:val="("/>
                <m:endChr m:val=")"/>
                <m:sepChr m:val=""/>
                <m:grow/>
              </m:dPr>
              <m:e>
                <m:r>
                  <m:t>t</m:t>
                </m:r>
                <m:r>
                  <m:rPr>
                    <m:sty m:val="p"/>
                  </m:rPr>
                  <m:t>+</m:t>
                </m:r>
                <m:r>
                  <m:t>1</m:t>
                </m:r>
              </m:e>
            </m:d>
          </m:sup>
        </m:sSubSup>
      </m:oMath>
      <w:r>
        <w:br/>
      </w:r>
      <m:oMath>
        <m:sSup>
          <m:e>
            <m:r>
              <m:t>H</m:t>
            </m:r>
          </m:e>
          <m:sup>
            <m:d>
              <m:dPr>
                <m:begChr m:val="("/>
                <m:endChr m:val=")"/>
                <m:sepChr m:val=""/>
                <m:grow/>
              </m:dPr>
              <m:e>
                <m:r>
                  <m:t>t</m:t>
                </m:r>
                <m:r>
                  <m:rPr>
                    <m:sty m:val="p"/>
                  </m:rPr>
                  <m:t>+</m:t>
                </m:r>
                <m:r>
                  <m:t>1</m:t>
                </m:r>
              </m:e>
            </m:d>
          </m:sup>
        </m:sSup>
        <m:r>
          <m:rPr>
            <m:sty m:val="p"/>
          </m:rPr>
          <m:t>=</m:t>
        </m:r>
        <m:sSubSup>
          <m:e>
            <m:r>
              <m:t>H</m:t>
            </m:r>
          </m:e>
          <m:sub>
            <m:r>
              <m:t>c</m:t>
            </m:r>
            <m:r>
              <m:t>a</m:t>
            </m:r>
            <m:r>
              <m:t>n</m:t>
            </m:r>
            <m:r>
              <m:t>d</m:t>
            </m:r>
          </m:sub>
          <m:sup>
            <m:d>
              <m:dPr>
                <m:begChr m:val="("/>
                <m:endChr m:val=")"/>
                <m:sepChr m:val=""/>
                <m:grow/>
              </m:dPr>
              <m:e>
                <m:r>
                  <m:t>t</m:t>
                </m:r>
                <m:r>
                  <m:rPr>
                    <m:sty m:val="p"/>
                  </m:rPr>
                  <m:t>+</m:t>
                </m:r>
                <m:r>
                  <m:t>1</m:t>
                </m:r>
              </m:e>
            </m:d>
          </m:sup>
        </m:sSubSup>
      </m:oMath>
      <w:r>
        <w:br/>
      </w:r>
      <m:oMath>
        <m:sSup>
          <m:e>
            <m:r>
              <m:t>β</m:t>
            </m:r>
          </m:e>
          <m:sup>
            <m:d>
              <m:dPr>
                <m:begChr m:val="("/>
                <m:endChr m:val=")"/>
                <m:sepChr m:val=""/>
                <m:grow/>
              </m:dPr>
              <m:e>
                <m:r>
                  <m:t>t</m:t>
                </m:r>
              </m:e>
            </m:d>
          </m:sup>
        </m:sSup>
        <m:r>
          <m:rPr>
            <m:sty m:val="p"/>
          </m:rPr>
          <m:t>=</m:t>
        </m:r>
        <m:sSubSup>
          <m:e>
            <m:r>
              <m:t>β</m:t>
            </m:r>
          </m:e>
          <m:sub>
            <m:r>
              <m:t>c</m:t>
            </m:r>
            <m:r>
              <m:t>a</m:t>
            </m:r>
            <m:r>
              <m:t>n</m:t>
            </m:r>
            <m:r>
              <m:t>d</m:t>
            </m:r>
          </m:sub>
          <m:sup>
            <m:d>
              <m:dPr>
                <m:begChr m:val="("/>
                <m:endChr m:val=")"/>
                <m:sepChr m:val=""/>
                <m:grow/>
              </m:dPr>
              <m:e>
                <m:r>
                  <m:t>t</m:t>
                </m:r>
              </m:e>
            </m:d>
          </m:sup>
        </m:sSubSup>
      </m:oMath>
      <w:r>
        <w:br/>
      </w:r>
      <m:oMath>
        <m:r>
          <m:t>f</m:t>
        </m:r>
        <m:r>
          <m:t>l</m:t>
        </m:r>
        <m:r>
          <m:t>a</m:t>
        </m:r>
        <m:r>
          <m:t>g</m:t>
        </m:r>
        <m:r>
          <m:rPr>
            <m:sty m:val="p"/>
          </m:rPr>
          <m:t>_</m:t>
        </m:r>
        <m:r>
          <m:t>a</m:t>
        </m:r>
        <m:r>
          <m:t>c</m:t>
        </m:r>
        <m:r>
          <m:t>c</m:t>
        </m:r>
        <m:r>
          <m:t>e</m:t>
        </m:r>
        <m:r>
          <m:t>p</m:t>
        </m:r>
        <m:r>
          <m:t>t</m:t>
        </m:r>
        <m:r>
          <m:rPr>
            <m:sty m:val="p"/>
          </m:rPr>
          <m:t>=</m:t>
        </m:r>
        <m:r>
          <m:t>T</m:t>
        </m:r>
        <m:r>
          <m:t>R</m:t>
        </m:r>
        <m:r>
          <m:t>U</m:t>
        </m:r>
        <m:r>
          <m:t>E</m:t>
        </m:r>
      </m:oMath>
      <w:r>
        <w:br/>
      </w:r>
      <w:r>
        <w:t xml:space="preserve">break</w:t>
      </w:r>
      <w:r>
        <w:br/>
      </w:r>
      <w:r>
        <w:t xml:space="preserve">end if</w:t>
      </w:r>
      <w:r>
        <w:br/>
      </w:r>
      <m:oMath>
        <m:r>
          <m:t>θ</m:t>
        </m:r>
        <m:r>
          <m:rPr>
            <m:sty m:val="p"/>
          </m:rPr>
          <m:t>=</m:t>
        </m:r>
        <m:r>
          <m:t>θ</m:t>
        </m:r>
        <m:r>
          <m:rPr>
            <m:sty m:val="p"/>
          </m:rPr>
          <m:t>*</m:t>
        </m:r>
        <m:r>
          <m:t>ρ</m:t>
        </m:r>
      </m:oMath>
      <w:r>
        <w:br/>
      </w:r>
      <m:oMath>
        <m:r>
          <m:t>b</m:t>
        </m:r>
        <m:r>
          <m:rPr>
            <m:sty m:val="p"/>
          </m:rPr>
          <m:t>=</m:t>
        </m:r>
        <m:r>
          <m:t>b</m:t>
        </m:r>
        <m:r>
          <m:rPr>
            <m:sty m:val="p"/>
          </m:rPr>
          <m:t>+</m:t>
        </m:r>
        <m:r>
          <m:t>1</m:t>
        </m:r>
      </m:oMath>
      <w:r>
        <w:br/>
      </w:r>
      <w:r>
        <w:t xml:space="preserve">end while</w:t>
      </w:r>
      <w:r>
        <w:br/>
      </w:r>
      <w:r>
        <w:t xml:space="preserve">if</w:t>
      </w:r>
      <w:r>
        <w:t xml:space="preserve"> </w:t>
      </w:r>
      <m:oMath>
        <m:r>
          <m:t>f</m:t>
        </m:r>
        <m:r>
          <m:t>l</m:t>
        </m:r>
        <m:r>
          <m:t>a</m:t>
        </m:r>
        <m:r>
          <m:t>g</m:t>
        </m:r>
        <m:r>
          <m:rPr>
            <m:sty m:val="p"/>
          </m:rPr>
          <m:t>_</m:t>
        </m:r>
        <m:r>
          <m:t>a</m:t>
        </m:r>
        <m:r>
          <m:t>c</m:t>
        </m:r>
        <m:r>
          <m:t>c</m:t>
        </m:r>
        <m:r>
          <m:t>e</m:t>
        </m:r>
        <m:r>
          <m:t>p</m:t>
        </m:r>
        <m:r>
          <m:t>t</m:t>
        </m:r>
        <m:r>
          <m:rPr>
            <m:sty m:val="p"/>
          </m:rPr>
          <m:t>=</m:t>
        </m:r>
        <m:r>
          <m:t>F</m:t>
        </m:r>
        <m:r>
          <m:t>A</m:t>
        </m:r>
        <m:r>
          <m:t>L</m:t>
        </m:r>
        <m:r>
          <m:t>S</m:t>
        </m:r>
        <m:r>
          <m:t>E</m:t>
        </m:r>
      </m:oMath>
      <w:r>
        <w:t xml:space="preserve"> </w:t>
      </w:r>
      <w:r>
        <w:t xml:space="preserve">then</w:t>
      </w:r>
      <w:r>
        <w:br/>
      </w:r>
      <m:oMath>
        <m:sSup>
          <m:e>
            <m:r>
              <m:t>W</m:t>
            </m:r>
          </m:e>
          <m:sup>
            <m:d>
              <m:dPr>
                <m:begChr m:val="("/>
                <m:endChr m:val=")"/>
                <m:sepChr m:val=""/>
                <m:grow/>
              </m:dPr>
              <m:e>
                <m:r>
                  <m:t>t</m:t>
                </m:r>
                <m:r>
                  <m:rPr>
                    <m:sty m:val="p"/>
                  </m:rPr>
                  <m:t>+</m:t>
                </m:r>
                <m:r>
                  <m:t>1</m:t>
                </m:r>
              </m:e>
            </m:d>
          </m:sup>
        </m:sSup>
        <m:r>
          <m:rPr>
            <m:sty m:val="p"/>
          </m:rPr>
          <m:t>=</m:t>
        </m:r>
        <m:sSup>
          <m:e>
            <m:r>
              <m:t>W</m:t>
            </m:r>
          </m:e>
          <m:sup>
            <m:d>
              <m:dPr>
                <m:begChr m:val="("/>
                <m:endChr m:val=")"/>
                <m:sepChr m:val=""/>
                <m:grow/>
              </m:dPr>
              <m:e>
                <m:r>
                  <m:t>t</m:t>
                </m:r>
              </m:e>
            </m:d>
          </m:sup>
        </m:sSup>
      </m:oMath>
      <w:r>
        <w:br/>
      </w:r>
      <w:r>
        <w:t xml:space="preserve">end if</w:t>
      </w:r>
    </w:p>
    <w:p>
      <w:pPr>
        <w:pStyle w:val="BodyText"/>
      </w:pPr>
      <w:r>
        <w:t xml:space="preserve">Column normalization preserves the reconstruction</w:t>
      </w:r>
      <w:r>
        <w:t xml:space="preserve"> </w:t>
      </w:r>
      <m:oMath>
        <m:r>
          <m:t>W</m:t>
        </m:r>
        <m:r>
          <m:t>H</m:t>
        </m:r>
      </m:oMath>
      <w:r>
        <w:t xml:space="preserve"> </w:t>
      </w:r>
      <w:r>
        <w:t xml:space="preserve">and linear predictor</w:t>
      </w:r>
      <w:r>
        <w:t xml:space="preserve"> </w:t>
      </w:r>
      <m:oMath>
        <m:r>
          <m:t>W</m:t>
        </m:r>
        <m:r>
          <m:t>β</m:t>
        </m:r>
      </m:oMath>
      <w:r>
        <w:t xml:space="preserve">. Because the accompanying rescaling can alter penalization terms, the</w:t>
      </w:r>
      <w:r>
        <w:t xml:space="preserve"> </w:t>
      </w:r>
      <w:r>
        <w:t xml:space="preserve">normalized proposal is evaluated using the full penalized objective within the</w:t>
      </w:r>
      <w:r>
        <w:t xml:space="preserve"> </w:t>
      </w:r>
      <w:r>
        <w:t xml:space="preserve">backtracking procedure, which accepts the update only if it does not increase</w:t>
      </w:r>
      <w:r>
        <w:t xml:space="preserve"> </w:t>
      </w:r>
      <m:oMath>
        <m:r>
          <m:rPr>
            <m:sty m:val="p"/>
            <m:scr m:val="script"/>
          </m:rPr>
          <m:t>L</m:t>
        </m:r>
      </m:oMath>
      <w:r>
        <w:t xml:space="preserve">.</w:t>
      </w:r>
    </w:p>
    <w:p>
      <w:pPr>
        <w:pStyle w:val="BodyText"/>
      </w:pPr>
      <w:r>
        <w:t xml:space="preserve">\subsection{Update for</w:t>
      </w:r>
      <w:r>
        <w:t xml:space="preserve"> </w:t>
      </w:r>
      <m:oMath>
        <m:r>
          <m:t>β</m:t>
        </m:r>
      </m:oMath>
      <w:r>
        <w:t xml:space="preserve">}</w:t>
      </w:r>
    </w:p>
    <w:p>
      <w:pPr>
        <w:pStyle w:val="BodyText"/>
      </w:pPr>
      <w:r>
        <w:t xml:space="preserve">Conditional on</w:t>
      </w:r>
      <w:r>
        <w:t xml:space="preserve"> </w:t>
      </w:r>
      <m:oMath>
        <m:d>
          <m:dPr>
            <m:begChr m:val="("/>
            <m:endChr m:val=")"/>
            <m:sepChr m:val=""/>
            <m:grow/>
          </m:dPr>
          <m:e>
            <m:r>
              <m:t>W</m:t>
            </m:r>
            <m:r>
              <m:rPr>
                <m:sty m:val="p"/>
              </m:rPr>
              <m:t>,</m:t>
            </m:r>
            <m:r>
              <m:t>H</m:t>
            </m:r>
          </m:e>
        </m:d>
      </m:oMath>
      <w:r>
        <w:t xml:space="preserve">, the loss in</w:t>
      </w:r>
      <w:r>
        <w:t xml:space="preserve"> </w:t>
      </w:r>
      <m:oMath>
        <m:r>
          <m:t>β</m:t>
        </m:r>
      </m:oMath>
      <w:r>
        <w:t xml:space="preserve"> </w:t>
      </w:r>
      <w:r>
        <w:t xml:space="preserve">reduces to a convex</w:t>
      </w:r>
      <w:r>
        <w:t xml:space="preserve"> </w:t>
      </w:r>
      <w:r>
        <w:t xml:space="preserve">elastic-net–penalized Cox problem; the common factor</w:t>
      </w:r>
      <w:r>
        <w:t xml:space="preserve"> </w:t>
      </w:r>
      <m:oMath>
        <m:r>
          <m:t>α</m:t>
        </m:r>
        <m:r>
          <m:rPr>
            <m:sty m:val="p"/>
          </m:rPr>
          <m:t>&gt;</m:t>
        </m:r>
        <m:r>
          <m:t>0</m:t>
        </m:r>
      </m:oMath>
      <w:r>
        <w:t xml:space="preserve"> </w:t>
      </w:r>
      <w:r>
        <w:t xml:space="preserve">multiplies both</w:t>
      </w:r>
      <w:r>
        <w:t xml:space="preserve"> </w:t>
      </w:r>
      <w:r>
        <w:t xml:space="preserve">the log-partial-likelihood and the penalty in the joint loss (Equation 1) and is</w:t>
      </w:r>
      <w:r>
        <w:t xml:space="preserve"> </w:t>
      </w:r>
      <w:r>
        <w:t xml:space="preserve">dropped here, as it does not affect the minimizer:</w:t>
      </w:r>
      <w:r>
        <w:t xml:space="preserve"> </w:t>
      </w:r>
      <w:r>
        <w:t xml:space="preserve">[</w:t>
      </w:r>
      <w:r>
        <w:t xml:space="preserve"> </w:t>
      </w:r>
      <w:r>
        <w:t xml:space="preserve">\min_{\beta \in \mathbb{R}^k}</w:t>
      </w:r>
      <w:r>
        <w:t xml:space="preserve"> </w:t>
      </w:r>
      <w:r>
        <w:t xml:space="preserve">\left{</w:t>
      </w:r>
      <w:r>
        <w:t xml:space="preserve"> </w:t>
      </w:r>
      <w:r>
        <w:t xml:space="preserve">-\frac{2}{n_{\mathrm{event}}},\ell(W,\beta)</w:t>
      </w:r>
      <w:r>
        <w:t xml:space="preserve"> </w:t>
      </w:r>
      <w:r>
        <w:t xml:space="preserve">+</w:t>
      </w:r>
      <w:r>
        <w:t xml:space="preserve"> </w:t>
      </w:r>
      <w:r>
        <w:t xml:space="preserve">\lambda\left(</w:t>
      </w:r>
      <w:r>
        <w:t xml:space="preserve"> </w:t>
      </w:r>
      <w:r>
        <w:t xml:space="preserve">\xi \lVert \beta \rVert_1</w:t>
      </w:r>
      <w:r>
        <w:t xml:space="preserve"> </w:t>
      </w:r>
      <w:r>
        <w:t xml:space="preserve">+\frac{1-\xi}{2} \lVert \beta \rVert_2^2</w:t>
      </w:r>
      <w:r>
        <w:t xml:space="preserve"> </w:t>
      </w:r>
      <w:r>
        <w:t xml:space="preserve">\right)</w:t>
      </w:r>
      <w:r>
        <w:t xml:space="preserve"> </w:t>
      </w:r>
      <w:r>
        <w:t xml:space="preserve">\right}.</w:t>
      </w:r>
      <w:r>
        <w:t xml:space="preserve"> </w:t>
      </w:r>
      <w:r>
        <w:t xml:space="preserve">]</w:t>
      </w:r>
      <w:r>
        <w:t xml:space="preserve"> </w:t>
      </w:r>
      <w:r>
        <w:t xml:space="preserve">We solve this subproblem by cyclic coordinate descent following</w:t>
      </w:r>
      <w:hyperlink w:anchor="ref-simon2011regularization">
        <w:r>
          <w:rPr>
            <w:rStyle w:val="Hyperlink"/>
            <w:vertAlign w:val="superscript"/>
          </w:rPr>
          <w:t xml:space="preserve">3</w:t>
        </w:r>
      </w:hyperlink>
      <w:r>
        <w:t xml:space="preserve">. Writing</w:t>
      </w:r>
      <w:r>
        <w:t xml:space="preserve"> </w:t>
      </w:r>
      <m:oMath>
        <m:r>
          <m:rPr>
            <m:sty m:val="p"/>
          </m:rPr>
          <m:t>ℓ</m:t>
        </m:r>
        <m:d>
          <m:dPr>
            <m:begChr m:val="("/>
            <m:endChr m:val=")"/>
            <m:sepChr m:val=""/>
            <m:grow/>
          </m:dPr>
          <m:e>
            <m:r>
              <m:t>β</m:t>
            </m:r>
          </m:e>
        </m:d>
        <m:r>
          <m:rPr>
            <m:sty m:val="p"/>
          </m:rPr>
          <m:t>=</m:t>
        </m:r>
        <m:r>
          <m:rPr>
            <m:sty m:val="p"/>
          </m:rPr>
          <m:t>ℓ</m:t>
        </m:r>
        <m:d>
          <m:dPr>
            <m:begChr m:val="("/>
            <m:endChr m:val=")"/>
            <m:sepChr m:val=""/>
            <m:grow/>
          </m:dPr>
          <m:e>
            <m:r>
              <m:t>W</m:t>
            </m:r>
            <m:r>
              <m:rPr>
                <m:sty m:val="p"/>
              </m:rPr>
              <m:t>,</m:t>
            </m:r>
            <m:r>
              <m:t>β</m:t>
            </m:r>
          </m:e>
        </m:d>
      </m:oMath>
      <w:r>
        <w:t xml:space="preserve"> </w:t>
      </w:r>
      <w:r>
        <w:t xml:space="preserve">and</w:t>
      </w:r>
      <w:r>
        <w:t xml:space="preserve"> </w:t>
      </w:r>
      <m:oMath>
        <m:sSub>
          <m:e>
            <m:acc>
              <m:accPr>
                <m:chr m:val="̃"/>
              </m:accPr>
              <m:e>
                <m:r>
                  <m:t>η</m:t>
                </m:r>
              </m:e>
            </m:acc>
          </m:e>
          <m:sub>
            <m:r>
              <m:t>i</m:t>
            </m:r>
          </m:sub>
        </m:sSub>
        <m:r>
          <m:rPr>
            <m:sty m:val="p"/>
          </m:rPr>
          <m:t>=</m:t>
        </m:r>
        <m:sSubSup>
          <m:e>
            <m:r>
              <m:t>Z</m:t>
            </m:r>
          </m:e>
          <m:sub>
            <m:r>
              <m:t>i</m:t>
            </m:r>
          </m:sub>
          <m:sup>
            <m:r>
              <m:rPr>
                <m:sty m:val="p"/>
              </m:rPr>
              <m:t>⊤</m:t>
            </m:r>
          </m:sup>
        </m:sSubSup>
        <m:r>
          <m:t>β</m:t>
        </m:r>
      </m:oMath>
      <w:r>
        <w:t xml:space="preserve">, the update for coordinate</w:t>
      </w:r>
      <w:r>
        <w:t xml:space="preserve"> </w:t>
      </w:r>
      <m:oMath>
        <m:r>
          <m:t>r</m:t>
        </m:r>
      </m:oMath>
      <w:r>
        <w:t xml:space="preserve"> </w:t>
      </w:r>
      <w:r>
        <w:t xml:space="preserve">has the</w:t>
      </w:r>
      <w:r>
        <w:t xml:space="preserve"> </w:t>
      </w:r>
      <w:r>
        <w:t xml:space="preserve">closed form</w:t>
      </w:r>
    </w:p>
    <w:p>
      <w:pPr>
        <w:pStyle w:val="BodyText"/>
      </w:pPr>
      <m:oMathPara>
        <m:oMathParaPr>
          <m:jc m:val="center"/>
        </m:oMathParaPr>
        <m:oMath>
          <m:sSub>
            <m:e>
              <m:acc>
                <m:accPr>
                  <m:chr m:val="̂"/>
                </m:accPr>
                <m:e>
                  <m:r>
                    <m:t>β</m:t>
                  </m:r>
                </m:e>
              </m:acc>
            </m:e>
            <m:sub>
              <m:r>
                <m:t>r</m:t>
              </m:r>
            </m:sub>
          </m:sSub>
          <m:r>
            <m:rPr>
              <m:sty m:val="p"/>
            </m:rPr>
            <m:t>=</m:t>
          </m:r>
          <m:f>
            <m:fPr>
              <m:type m:val="bar"/>
            </m:fPr>
            <m:num>
              <m:r>
                <m:t>S</m:t>
              </m:r>
              <m:r>
                <m:t>​</m:t>
              </m:r>
              <m:d>
                <m:dPr>
                  <m:begChr m:val="("/>
                  <m:endChr m:val=")"/>
                  <m:sepChr m:val=""/>
                  <m:grow/>
                </m:dPr>
                <m:e>
                  <m:f>
                    <m:fPr>
                      <m:type m:val="bar"/>
                    </m:fPr>
                    <m:num>
                      <m:r>
                        <m:t>1</m:t>
                      </m:r>
                    </m:num>
                    <m:den>
                      <m:r>
                        <m:t>n</m:t>
                      </m:r>
                    </m:den>
                  </m:f>
                  <m:nary>
                    <m:naryPr>
                      <m:chr m:val="∑"/>
                      <m:limLoc m:val="undOvr"/>
                      <m:subHide m:val="off"/>
                      <m:supHide m:val="off"/>
                    </m:naryPr>
                    <m:sub>
                      <m:r>
                        <m:t>i</m:t>
                      </m:r>
                      <m:r>
                        <m:rPr>
                          <m:sty m:val="p"/>
                        </m:rPr>
                        <m:t>=</m:t>
                      </m:r>
                      <m:r>
                        <m:t>1</m:t>
                      </m:r>
                    </m:sub>
                    <m:sup>
                      <m:r>
                        <m:t>n</m:t>
                      </m:r>
                    </m:sup>
                    <m:e>
                      <m:r>
                        <m:t>w</m:t>
                      </m:r>
                    </m:e>
                  </m:nary>
                  <m:sSub>
                    <m:e>
                      <m:d>
                        <m:dPr>
                          <m:begChr m:val="("/>
                          <m:endChr m:val=")"/>
                          <m:sepChr m:val=""/>
                          <m:grow/>
                        </m:dPr>
                        <m:e>
                          <m:acc>
                            <m:accPr>
                              <m:chr m:val="̃"/>
                            </m:accPr>
                            <m:e>
                              <m:r>
                                <m:t>η</m:t>
                              </m:r>
                            </m:e>
                          </m:acc>
                        </m:e>
                      </m:d>
                    </m:e>
                    <m:sub>
                      <m:r>
                        <m:t>i</m:t>
                      </m:r>
                    </m:sub>
                  </m:sSub>
                  <m:sSub>
                    <m:e>
                      <m:r>
                        <m:t>z</m:t>
                      </m:r>
                    </m:e>
                    <m:sub>
                      <m:r>
                        <m:t>i</m:t>
                      </m:r>
                      <m:r>
                        <m:rPr>
                          <m:sty m:val="p"/>
                        </m:rPr>
                        <m:t>,</m:t>
                      </m:r>
                      <m:r>
                        <m:t>r</m:t>
                      </m:r>
                    </m:sub>
                  </m:sSub>
                  <m:d>
                    <m:dPr>
                      <m:begChr m:val="["/>
                      <m:endChr m:val="]"/>
                      <m:sepChr m:val=""/>
                      <m:grow/>
                    </m:dPr>
                    <m:e>
                      <m:r>
                        <m:t>v</m:t>
                      </m:r>
                      <m:sSub>
                        <m:e>
                          <m:d>
                            <m:dPr>
                              <m:begChr m:val="("/>
                              <m:endChr m:val=")"/>
                              <m:sepChr m:val=""/>
                              <m:grow/>
                            </m:dPr>
                            <m:e>
                              <m:acc>
                                <m:accPr>
                                  <m:chr m:val="̃"/>
                                </m:accPr>
                                <m:e>
                                  <m:r>
                                    <m:t>η</m:t>
                                  </m:r>
                                </m:e>
                              </m:acc>
                            </m:e>
                          </m:d>
                        </m:e>
                        <m:sub>
                          <m:r>
                            <m:t>i</m:t>
                          </m:r>
                        </m:sub>
                      </m:sSub>
                      <m:r>
                        <m:rPr>
                          <m:sty m:val="p"/>
                        </m:rPr>
                        <m:t>−</m:t>
                      </m:r>
                      <m:nary>
                        <m:naryPr>
                          <m:chr m:val="∑"/>
                          <m:limLoc m:val="undOvr"/>
                          <m:subHide m:val="off"/>
                          <m:supHide m:val="on"/>
                        </m:naryPr>
                        <m:sub>
                          <m:r>
                            <m:t>j</m:t>
                          </m:r>
                          <m:r>
                            <m:rPr>
                              <m:sty m:val="p"/>
                            </m:rPr>
                            <m:t>≠</m:t>
                          </m:r>
                          <m:r>
                            <m:t>r</m:t>
                          </m:r>
                        </m:sub>
                        <m:sup>
                          <m:r>
                            <m:t>​</m:t>
                          </m:r>
                        </m:sup>
                        <m:e>
                          <m:sSub>
                            <m:e>
                              <m:r>
                                <m:t>z</m:t>
                              </m:r>
                            </m:e>
                            <m:sub>
                              <m:r>
                                <m:t>i</m:t>
                              </m:r>
                              <m:r>
                                <m:rPr>
                                  <m:sty m:val="p"/>
                                </m:rPr>
                                <m:t>,</m:t>
                              </m:r>
                              <m:r>
                                <m:t>j</m:t>
                              </m:r>
                            </m:sub>
                          </m:sSub>
                        </m:e>
                      </m:nary>
                      <m:sSub>
                        <m:e>
                          <m:r>
                            <m:t>β</m:t>
                          </m:r>
                        </m:e>
                        <m:sub>
                          <m:r>
                            <m:t>j</m:t>
                          </m:r>
                        </m:sub>
                      </m:sSub>
                    </m:e>
                  </m:d>
                  <m:r>
                    <m:rPr>
                      <m:sty m:val="p"/>
                    </m:rPr>
                    <m:t>,</m:t>
                  </m:r>
                  <m:r>
                    <m:t>λ</m:t>
                  </m:r>
                  <m:r>
                    <m:t>ξ</m:t>
                  </m:r>
                </m:e>
              </m:d>
            </m:num>
            <m:den>
              <m:f>
                <m:fPr>
                  <m:type m:val="bar"/>
                </m:fPr>
                <m:num>
                  <m:r>
                    <m:t>1</m:t>
                  </m:r>
                </m:num>
                <m:den>
                  <m:r>
                    <m:t>n</m:t>
                  </m:r>
                </m:den>
              </m:f>
              <m:nary>
                <m:naryPr>
                  <m:chr m:val="∑"/>
                  <m:limLoc m:val="undOvr"/>
                  <m:subHide m:val="off"/>
                  <m:supHide m:val="off"/>
                </m:naryPr>
                <m:sub>
                  <m:r>
                    <m:t>i</m:t>
                  </m:r>
                  <m:r>
                    <m:rPr>
                      <m:sty m:val="p"/>
                    </m:rPr>
                    <m:t>=</m:t>
                  </m:r>
                  <m:r>
                    <m:t>1</m:t>
                  </m:r>
                </m:sub>
                <m:sup>
                  <m:r>
                    <m:t>n</m:t>
                  </m:r>
                </m:sup>
                <m:e>
                  <m:r>
                    <m:t>w</m:t>
                  </m:r>
                </m:e>
              </m:nary>
              <m:sSub>
                <m:e>
                  <m:d>
                    <m:dPr>
                      <m:begChr m:val="("/>
                      <m:endChr m:val=")"/>
                      <m:sepChr m:val=""/>
                      <m:grow/>
                    </m:dPr>
                    <m:e>
                      <m:acc>
                        <m:accPr>
                          <m:chr m:val="̃"/>
                        </m:accPr>
                        <m:e>
                          <m:r>
                            <m:t>η</m:t>
                          </m:r>
                        </m:e>
                      </m:acc>
                    </m:e>
                  </m:d>
                </m:e>
                <m:sub>
                  <m:r>
                    <m:t>i</m:t>
                  </m:r>
                </m:sub>
              </m:sSub>
              <m:sSubSup>
                <m:e>
                  <m:r>
                    <m:t>z</m:t>
                  </m:r>
                </m:e>
                <m:sub>
                  <m:r>
                    <m:t>i</m:t>
                  </m:r>
                  <m:r>
                    <m:rPr>
                      <m:sty m:val="p"/>
                    </m:rPr>
                    <m:t>,</m:t>
                  </m:r>
                  <m:r>
                    <m:t>r</m:t>
                  </m:r>
                </m:sub>
                <m:sup>
                  <m:r>
                    <m:t>2</m:t>
                  </m:r>
                </m:sup>
              </m:sSubSup>
              <m:r>
                <m:rPr>
                  <m:sty m:val="p"/>
                </m:rPr>
                <m:t>+</m:t>
              </m:r>
              <m:r>
                <m:t>λ</m:t>
              </m:r>
              <m:d>
                <m:dPr>
                  <m:begChr m:val="("/>
                  <m:endChr m:val=")"/>
                  <m:sepChr m:val=""/>
                  <m:grow/>
                </m:dPr>
                <m:e>
                  <m:r>
                    <m:t>1</m:t>
                  </m:r>
                  <m:r>
                    <m:rPr>
                      <m:sty m:val="p"/>
                    </m:rPr>
                    <m:t>−</m:t>
                  </m:r>
                  <m:r>
                    <m:t>ξ</m:t>
                  </m:r>
                </m:e>
              </m:d>
            </m:den>
          </m:f>
          <m:r>
            <m:rPr>
              <m:sty m:val="p"/>
            </m:rPr>
            <m:t>,</m:t>
          </m:r>
        </m:oMath>
      </m:oMathPara>
    </w:p>
    <w:p>
      <w:pPr>
        <w:pStyle w:val="FirstParagraph"/>
      </w:pPr>
      <w:r>
        <w:t xml:space="preserve">where</w:t>
      </w:r>
      <w:r>
        <w:t xml:space="preserve"> </w:t>
      </w:r>
      <m:oMath>
        <m:r>
          <m:t>S</m:t>
        </m:r>
        <m:d>
          <m:dPr>
            <m:begChr m:val="("/>
            <m:endChr m:val=")"/>
            <m:sepChr m:val=""/>
            <m:grow/>
          </m:dPr>
          <m:e>
            <m:r>
              <m:t>a</m:t>
            </m:r>
            <m:r>
              <m:rPr>
                <m:sty m:val="p"/>
              </m:rPr>
              <m:t>,</m:t>
            </m:r>
            <m:r>
              <m:t>τ</m:t>
            </m:r>
          </m:e>
        </m:d>
        <m:r>
          <m:rPr>
            <m:sty m:val="p"/>
          </m:rPr>
          <m:t>=</m:t>
        </m:r>
        <m:r>
          <m:rPr>
            <m:sty m:val="p"/>
          </m:rPr>
          <m:t>s</m:t>
        </m:r>
        <m:r>
          <m:rPr>
            <m:sty m:val="p"/>
          </m:rPr>
          <m:t>i</m:t>
        </m:r>
        <m:r>
          <m:rPr>
            <m:sty m:val="p"/>
          </m:rPr>
          <m:t>g</m:t>
        </m:r>
        <m:r>
          <m:rPr>
            <m:sty m:val="p"/>
          </m:rPr>
          <m:t>n</m:t>
        </m:r>
        <m:d>
          <m:dPr>
            <m:begChr m:val="("/>
            <m:endChr m:val=")"/>
            <m:sepChr m:val=""/>
            <m:grow/>
          </m:dPr>
          <m:e>
            <m:r>
              <m:t>a</m:t>
            </m:r>
          </m:e>
        </m:d>
        <m:r>
          <m:rPr>
            <m:sty m:val="p"/>
          </m:rPr>
          <m:t>max</m:t>
        </m:r>
        <m:d>
          <m:dPr>
            <m:begChr m:val="("/>
            <m:endChr m:val=")"/>
            <m:sepChr m:val=""/>
            <m:grow/>
          </m:dPr>
          <m:e>
            <m:d>
              <m:dPr>
                <m:begChr m:val="|"/>
                <m:endChr m:val="|"/>
                <m:sepChr m:val=""/>
                <m:grow/>
              </m:dPr>
              <m:e>
                <m:r>
                  <m:t>a</m:t>
                </m:r>
              </m:e>
            </m:d>
            <m:r>
              <m:rPr>
                <m:sty m:val="p"/>
              </m:rPr>
              <m:t>−</m:t>
            </m:r>
            <m:r>
              <m:t>τ</m:t>
            </m:r>
            <m:r>
              <m:rPr>
                <m:sty m:val="p"/>
              </m:rPr>
              <m:t>,</m:t>
            </m:r>
            <m:r>
              <m:t>0</m:t>
            </m:r>
          </m:e>
        </m:d>
      </m:oMath>
      <w:r>
        <w:t xml:space="preserve"> </w:t>
      </w:r>
      <w:r>
        <w:t xml:space="preserve">is the soft-thresholding</w:t>
      </w:r>
      <w:r>
        <w:t xml:space="preserve"> </w:t>
      </w:r>
      <w:r>
        <w:t xml:space="preserve">operator, and</w:t>
      </w:r>
      <w:r>
        <w:t xml:space="preserve"> </w:t>
      </w:r>
      <m:oMath>
        <m:r>
          <m:t>w</m:t>
        </m:r>
        <m:d>
          <m:dPr>
            <m:begChr m:val="("/>
            <m:endChr m:val=")"/>
            <m:sepChr m:val=""/>
            <m:grow/>
          </m:dPr>
          <m:e>
            <m:acc>
              <m:accPr>
                <m:chr m:val="̃"/>
              </m:accPr>
              <m:e>
                <m:r>
                  <m:t>η</m:t>
                </m:r>
              </m:e>
            </m:acc>
          </m:e>
        </m:d>
      </m:oMath>
      <w:r>
        <w:t xml:space="preserve">,</w:t>
      </w:r>
      <w:r>
        <w:t xml:space="preserve"> </w:t>
      </w:r>
      <m:oMath>
        <m:r>
          <m:t>v</m:t>
        </m:r>
        <m:d>
          <m:dPr>
            <m:begChr m:val="("/>
            <m:endChr m:val=")"/>
            <m:sepChr m:val=""/>
            <m:grow/>
          </m:dPr>
          <m:e>
            <m:acc>
              <m:accPr>
                <m:chr m:val="̃"/>
              </m:accPr>
              <m:e>
                <m:r>
                  <m:t>η</m:t>
                </m:r>
              </m:e>
            </m:acc>
          </m:e>
        </m:d>
      </m:oMath>
      <w:r>
        <w:t xml:space="preserve"> </w:t>
      </w:r>
      <w:r>
        <w:t xml:space="preserve">are standard local</w:t>
      </w:r>
      <w:r>
        <w:t xml:space="preserve"> </w:t>
      </w:r>
      <w:r>
        <w:t xml:space="preserve">quadratic approximations of the Cox log-partial likelihood</w:t>
      </w:r>
      <w:hyperlink w:anchor="ref-simon2011regularization">
        <w:r>
          <w:rPr>
            <w:rStyle w:val="Hyperlink"/>
            <w:vertAlign w:val="superscript"/>
          </w:rPr>
          <w:t xml:space="preserve">3</w:t>
        </w:r>
      </w:hyperlink>
      <w:r>
        <w:t xml:space="preserve">.</w:t>
      </w:r>
      <w:r>
        <w:t xml:space="preserve"> </w:t>
      </w:r>
      <w:r>
        <w:t xml:space="preserve">We iterate coordinate updates until the subproblem converges to numerical</w:t>
      </w:r>
      <w:r>
        <w:t xml:space="preserve"> </w:t>
      </w:r>
      <w:r>
        <w:t xml:space="preserve">tolerance, yielding a minimizer in</w:t>
      </w:r>
      <w:r>
        <w:t xml:space="preserve"> </w:t>
      </w:r>
      <m:oMath>
        <m:r>
          <m:t>β</m:t>
        </m:r>
      </m:oMath>
      <w:r>
        <w:t xml:space="preserve"> </w:t>
      </w:r>
      <w:r>
        <w:t xml:space="preserve">for the current</w:t>
      </w:r>
      <w:r>
        <w:t xml:space="preserve"> </w:t>
      </w:r>
      <m:oMath>
        <m:r>
          <m:t>W</m:t>
        </m:r>
      </m:oMath>
      <w:r>
        <w:t xml:space="preserve">.</w:t>
      </w:r>
    </w:p>
    <w:p>
      <w:pPr>
        <w:pStyle w:val="BodyText"/>
      </w:pPr>
      <w:r>
        <w:t xml:space="preserve">\subsection{Normalization of W}</w:t>
      </w:r>
    </w:p>
    <w:p>
      <w:pPr>
        <w:pStyle w:val="BodyText"/>
      </w:pPr>
      <w:r>
        <w:t xml:space="preserve">After each accepted</w:t>
      </w:r>
      <w:r>
        <w:t xml:space="preserve"> </w:t>
      </w:r>
      <m:oMath>
        <m:r>
          <m:t>W</m:t>
        </m:r>
      </m:oMath>
      <w:r>
        <w:t xml:space="preserve"> </w:t>
      </w:r>
      <w:r>
        <w:t xml:space="preserve">update, we normalize the columns of</w:t>
      </w:r>
      <w:r>
        <w:t xml:space="preserve"> </w:t>
      </w:r>
      <m:oMath>
        <m:r>
          <m:t>W</m:t>
        </m:r>
      </m:oMath>
      <w:r>
        <w:t xml:space="preserve"> </w:t>
      </w:r>
      <w:r>
        <w:t xml:space="preserve">as</w:t>
      </w:r>
      <w:r>
        <w:t xml:space="preserve"> </w:t>
      </w:r>
      <m:oMath>
        <m:r>
          <m:t>W</m:t>
        </m:r>
        <m:r>
          <m:rPr>
            <m:sty m:val="p"/>
          </m:rPr>
          <m:t>←</m:t>
        </m:r>
        <m:r>
          <m:t>W</m:t>
        </m:r>
        <m:sSup>
          <m:e>
            <m:r>
              <m:t>D</m:t>
            </m:r>
          </m:e>
          <m:sup>
            <m:r>
              <m:rPr>
                <m:sty m:val="p"/>
              </m:rPr>
              <m:t>−</m:t>
            </m:r>
            <m:r>
              <m:t>1</m:t>
            </m:r>
          </m:sup>
        </m:sSup>
      </m:oMath>
      <w:r>
        <w:t xml:space="preserve">, and adjust</w:t>
      </w:r>
      <w:r>
        <w:t xml:space="preserve"> </w:t>
      </w:r>
      <m:oMath>
        <m:r>
          <m:t>H</m:t>
        </m:r>
      </m:oMath>
      <w:r>
        <w:t xml:space="preserve"> </w:t>
      </w:r>
      <w:r>
        <w:t xml:space="preserve">and</w:t>
      </w:r>
      <w:r>
        <w:t xml:space="preserve"> </w:t>
      </w:r>
      <m:oMath>
        <m:r>
          <m:t>β</m:t>
        </m:r>
      </m:oMath>
      <w:r>
        <w:t xml:space="preserve"> </w:t>
      </w:r>
      <w:r>
        <w:t xml:space="preserve">as</w:t>
      </w:r>
      <w:r>
        <w:t xml:space="preserve"> </w:t>
      </w:r>
      <w:r>
        <w:t xml:space="preserve">[</w:t>
      </w:r>
      <w:r>
        <w:t xml:space="preserve"> </w:t>
      </w:r>
      <w:r>
        <w:t xml:space="preserve">H \leftarrow D H, \qquad \beta \leftarrow D \beta,</w:t>
      </w:r>
      <w:r>
        <w:t xml:space="preserve"> </w:t>
      </w:r>
      <w:r>
        <w:t xml:space="preserve">]</w:t>
      </w:r>
      <w:r>
        <w:t xml:space="preserve"> </w:t>
      </w:r>
      <w:r>
        <w:t xml:space="preserve">where</w:t>
      </w:r>
      <w:r>
        <w:t xml:space="preserve"> </w:t>
      </w:r>
      <m:oMath>
        <m:r>
          <m:t>D</m:t>
        </m:r>
      </m:oMath>
      <w:r>
        <w:t xml:space="preserve"> </w:t>
      </w:r>
      <w:r>
        <w:t xml:space="preserve">is the diagonal matrix of column</w:t>
      </w:r>
      <w:r>
        <w:t xml:space="preserve"> </w:t>
      </w:r>
      <m:oMath>
        <m:sSub>
          <m:e>
            <m:r>
              <m:rPr>
                <m:sty m:val="p"/>
              </m:rPr>
              <m:t>ℓ</m:t>
            </m:r>
          </m:e>
          <m:sub>
            <m:r>
              <m:t>2</m:t>
            </m:r>
          </m:sub>
        </m:sSub>
      </m:oMath>
      <w:r>
        <w:t xml:space="preserve">-norms of</w:t>
      </w:r>
      <w:r>
        <w:t xml:space="preserve"> </w:t>
      </w:r>
      <m:oMath>
        <m:r>
          <m:t>W</m:t>
        </m:r>
      </m:oMath>
      <w:r>
        <w:t xml:space="preserve">.</w:t>
      </w:r>
      <w:r>
        <w:t xml:space="preserve"> </w:t>
      </w:r>
      <w:r>
        <w:t xml:space="preserve">This preserves the reconstruction</w:t>
      </w:r>
      <w:r>
        <w:t xml:space="preserve"> </w:t>
      </w:r>
      <m:oMath>
        <m:r>
          <m:t>W</m:t>
        </m:r>
        <m:r>
          <m:t>H</m:t>
        </m:r>
      </m:oMath>
      <w:r>
        <w:t xml:space="preserve"> </w:t>
      </w:r>
      <w:r>
        <w:t xml:space="preserve">and the linear predictor</w:t>
      </w:r>
      <w:r>
        <w:t xml:space="preserve"> </w:t>
      </w:r>
      <m:oMath>
        <m:r>
          <m:t>W</m:t>
        </m:r>
        <m:r>
          <m:t>β</m:t>
        </m:r>
      </m:oMath>
      <w:r>
        <w:t xml:space="preserve">; because</w:t>
      </w:r>
      <w:r>
        <w:t xml:space="preserve"> </w:t>
      </w:r>
      <w:r>
        <w:t xml:space="preserve">the accompanying rescaling of</w:t>
      </w:r>
      <w:r>
        <w:t xml:space="preserve"> </w:t>
      </w:r>
      <m:oMath>
        <m:r>
          <m:t>H</m:t>
        </m:r>
      </m:oMath>
      <w:r>
        <w:t xml:space="preserve"> </w:t>
      </w:r>
      <w:r>
        <w:t xml:space="preserve">and</w:t>
      </w:r>
      <w:r>
        <w:t xml:space="preserve"> </w:t>
      </w:r>
      <m:oMath>
        <m:r>
          <m:t>β</m:t>
        </m:r>
      </m:oMath>
      <w:r>
        <w:t xml:space="preserve"> </w:t>
      </w:r>
      <w:r>
        <w:t xml:space="preserve">can alter the penalization terms,</w:t>
      </w:r>
      <w:r>
        <w:t xml:space="preserve"> </w:t>
      </w:r>
      <w:r>
        <w:t xml:space="preserve">the normalized proposal is evaluated under the full penalized objective within</w:t>
      </w:r>
      <w:r>
        <w:t xml:space="preserve"> </w:t>
      </w:r>
      <w:r>
        <w:t xml:space="preserve">the backtracking procedure for the</w:t>
      </w:r>
      <w:r>
        <w:t xml:space="preserve"> </w:t>
      </w:r>
      <m:oMath>
        <m:r>
          <m:t>W</m:t>
        </m:r>
      </m:oMath>
      <w:r>
        <w:t xml:space="preserve"> </w:t>
      </w:r>
      <w:r>
        <w:t xml:space="preserve">update rather than assumed loss-invariant. Normalization</w:t>
      </w:r>
      <w:r>
        <w:t xml:space="preserve"> </w:t>
      </w:r>
      <w:r>
        <w:t xml:space="preserve">prevents degeneracy in the scale-nonidentifiable factorization and keeps</w:t>
      </w:r>
      <w:r>
        <w:t xml:space="preserve"> </w:t>
      </w:r>
      <w:r>
        <w:t xml:space="preserve">columns of</w:t>
      </w:r>
      <w:r>
        <w:t xml:space="preserve"> </w:t>
      </w:r>
      <m:oMath>
        <m:r>
          <m:t>W</m:t>
        </m:r>
      </m:oMath>
      <w:r>
        <w:t xml:space="preserve"> </w:t>
      </w:r>
      <w:r>
        <w:t xml:space="preserve">comparable in magnitude and interpretable as gene programs.</w:t>
      </w:r>
    </w:p>
    <w:p>
      <w:pPr>
        <w:pStyle w:val="BodyText"/>
      </w:pPr>
      <w:r>
        <w:t xml:space="preserve">\section{Supervision on (W) versus (H)}</w:t>
      </w:r>
    </w:p>
    <w:p>
      <w:pPr>
        <w:pStyle w:val="BodyText"/>
      </w:pPr>
      <w:r>
        <w:t xml:space="preserve">Classical nonnegative matrix factorization (NMF) is non-identifiable: for any</w:t>
      </w:r>
      <w:r>
        <w:t xml:space="preserve"> </w:t>
      </w:r>
      <w:r>
        <w:t xml:space="preserve">invertible matrix (R) with (W R \ge 0) and (R^{-1} H \ge 0), the factorization</w:t>
      </w:r>
      <w:r>
        <w:t xml:space="preserve"> </w:t>
      </w:r>
      <w:r>
        <w:t xml:space="preserve">((W, H)) can be transformed to ((W R, R^{-1} H)) without changing the</w:t>
      </w:r>
      <w:r>
        <w:t xml:space="preserve"> </w:t>
      </w:r>
      <w:r>
        <w:t xml:space="preserve">reconstruction error, yielding multiple valid solutions</w:t>
      </w:r>
      <w:hyperlink w:anchor="ref-donoho2004nmf">
        <w:r>
          <w:rPr>
            <w:rStyle w:val="Hyperlink"/>
            <w:vertAlign w:val="superscript"/>
          </w:rPr>
          <w:t xml:space="preserve">4</w:t>
        </w:r>
      </w:hyperlink>
      <w:r>
        <w:rPr>
          <w:vertAlign w:val="superscript"/>
        </w:rPr>
        <w:t xml:space="preserve">–</w:t>
      </w:r>
      <w:hyperlink w:anchor="ref-gillis2014nmf">
        <w:r>
          <w:rPr>
            <w:rStyle w:val="Hyperlink"/>
            <w:vertAlign w:val="superscript"/>
          </w:rPr>
          <w:t xml:space="preserve">6</w:t>
        </w:r>
      </w:hyperlink>
      <w:r>
        <w:t xml:space="preserve">. Although normalizing</w:t>
      </w:r>
      <w:r>
        <w:t xml:space="preserve"> </w:t>
      </w:r>
      <w:r>
        <w:t xml:space="preserve">columns of (W) or rows of (H) resolves the trivial scaling ambiguity,</w:t>
      </w:r>
      <w:r>
        <w:t xml:space="preserve"> </w:t>
      </w:r>
      <w:r>
        <w:t xml:space="preserve">nonnegative mixing transformations persist, so factorizations started from</w:t>
      </w:r>
      <w:r>
        <w:t xml:space="preserve"> </w:t>
      </w:r>
      <w:r>
        <w:t xml:space="preserve">different initializations need not agree</w:t>
      </w:r>
      <w:hyperlink w:anchor="ref-brunet2004metagenes">
        <w:r>
          <w:rPr>
            <w:rStyle w:val="Hyperlink"/>
            <w:vertAlign w:val="superscript"/>
          </w:rPr>
          <w:t xml:space="preserve">7</w:t>
        </w:r>
      </w:hyperlink>
      <w:r>
        <w:rPr>
          <w:vertAlign w:val="superscript"/>
        </w:rPr>
        <w:t xml:space="preserve">–</w:t>
      </w:r>
      <w:hyperlink w:anchor="ref-gillis2012accelerated">
        <w:r>
          <w:rPr>
            <w:rStyle w:val="Hyperlink"/>
            <w:vertAlign w:val="superscript"/>
          </w:rPr>
          <w:t xml:space="preserve">9</w:t>
        </w:r>
      </w:hyperlink>
      <w:r>
        <w:t xml:space="preserve">. This applies to</w:t>
      </w:r>
      <w:r>
        <w:t xml:space="preserve"> </w:t>
      </w:r>
      <w:r>
        <w:t xml:space="preserve">DeSurv as well: individual restarts of the reported model are dispersed, which</w:t>
      </w:r>
      <w:r>
        <w:t xml:space="preserve"> </w:t>
      </w:r>
      <w:r>
        <w:t xml:space="preserve">is why the final fit is obtained by a consensus procedure over many restarts</w:t>
      </w:r>
      <w:r>
        <w:t xml:space="preserve"> </w:t>
      </w:r>
      <w:r>
        <w:t xml:space="preserve">(Stability of the recovered gene programs).</w:t>
      </w:r>
    </w:p>
    <w:p>
      <w:pPr>
        <w:pStyle w:val="BodyText"/>
      </w:pPr>
      <w:r>
        <w:t xml:space="preserve">In DeSurv, survival supervision enters through the projection</w:t>
      </w:r>
      <w:r>
        <w:t xml:space="preserve"> </w:t>
      </w:r>
      <m:oMath>
        <m:r>
          <m:t>Z</m:t>
        </m:r>
        <m:r>
          <m:rPr>
            <m:sty m:val="p"/>
          </m:rPr>
          <m:t>=</m:t>
        </m:r>
        <m:sSup>
          <m:e>
            <m:r>
              <m:t>W</m:t>
            </m:r>
          </m:e>
          <m:sup>
            <m:r>
              <m:rPr>
                <m:sty m:val="p"/>
              </m:rPr>
              <m:t>⊤</m:t>
            </m:r>
          </m:sup>
        </m:sSup>
        <m:r>
          <m:t>X</m:t>
        </m:r>
      </m:oMath>
      <w:r>
        <w:t xml:space="preserve"> </w:t>
      </w:r>
      <w:r>
        <w:t xml:space="preserve">in the partial log-likelihood, so that the gradient of the DeSurv loss with respect to the programs is</w:t>
      </w:r>
      <w:r>
        <w:t xml:space="preserve"> </w:t>
      </w:r>
      <w:r>
        <w:t xml:space="preserve">[</w:t>
      </w:r>
      <w:r>
        <w:t xml:space="preserve"> </w:t>
      </w:r>
      <w:r>
        <w:t xml:space="preserve">\nabla \mathcal{L} = (1-\alpha) \nabla_W \mathcal{L}</w:t>
      </w:r>
      <w:r>
        <w:rPr>
          <w:iCs/>
          <w:i/>
        </w:rPr>
        <w:t xml:space="preserve">{\mathrm{NMF}}(W,H) - \alpha\nabla_W \mathcal{L}</w:t>
      </w:r>
      <w:r>
        <w:t xml:space="preserve">{\mathrm{Cox}}(W,\beta),</w:t>
      </w:r>
      <w:r>
        <w:t xml:space="preserve"> </w:t>
      </w:r>
      <w:r>
        <w:t xml:space="preserve">]</w:t>
      </w:r>
      <w:r>
        <w:t xml:space="preserve"> </w:t>
      </w:r>
      <w:r>
        <w:t xml:space="preserve">and therefore the update rule for</w:t>
      </w:r>
      <w:r>
        <w:t xml:space="preserve"> </w:t>
      </w:r>
      <m:oMath>
        <m:r>
          <m:t>W</m:t>
        </m:r>
      </m:oMath>
      <w:r>
        <w:t xml:space="preserve"> </w:t>
      </w:r>
      <w:r>
        <w:t xml:space="preserve">as in Equation [eqn:W_update] relies on both the reconstruction term and the supervision term. As such, the gene-program definitions are directly shaped by their association with survival. This mechanism amplifies</w:t>
      </w:r>
      <w:r>
        <w:t xml:space="preserve"> </w:t>
      </w:r>
      <w:r>
        <w:t xml:space="preserve">genes aligned with the hazard gradient and suppresses those that dilute</w:t>
      </w:r>
      <w:r>
        <w:t xml:space="preserve"> </w:t>
      </w:r>
      <w:r>
        <w:t xml:space="preserve">prognostic structure, favoring programs enriched for survival-relevant variation.</w:t>
      </w:r>
    </w:p>
    <w:p>
      <w:pPr>
        <w:pStyle w:val="BodyText"/>
      </w:pPr>
      <w:r>
        <w:t xml:space="preserve">By contrast, if supervision were applied to the sample loadings (H), the model</w:t>
      </w:r>
      <w:r>
        <w:t xml:space="preserve"> </w:t>
      </w:r>
      <w:r>
        <w:t xml:space="preserve">could reduce the Cox loss by redistributing patient-specific coefficients while</w:t>
      </w:r>
      <w:r>
        <w:t xml:space="preserve"> </w:t>
      </w:r>
      <w:r>
        <w:t xml:space="preserve">leaving the gene-level programs (W) nearly unchanged, a behavior documented for</w:t>
      </w:r>
      <w:r>
        <w:t xml:space="preserve"> </w:t>
      </w:r>
      <w:r>
        <w:t xml:space="preserve">supervised topic models, where supervision applied only to the coefficient</w:t>
      </w:r>
      <w:r>
        <w:t xml:space="preserve"> </w:t>
      </w:r>
      <w:r>
        <w:t xml:space="preserve">matrix modifies (H) but not the basis (W)</w:t>
      </w:r>
      <w:hyperlink w:anchor="ref-blei2007slda">
        <w:r>
          <w:rPr>
            <w:rStyle w:val="Hyperlink"/>
            <w:vertAlign w:val="superscript"/>
          </w:rPr>
          <w:t xml:space="preserve">10</w:t>
        </w:r>
      </w:hyperlink>
      <w:r>
        <w:t xml:space="preserve">.</w:t>
      </w:r>
    </w:p>
    <w:p>
      <w:pPr>
        <w:pStyle w:val="BodyText"/>
      </w:pPr>
      <w:r>
        <w:t xml:space="preserve">Supervising (W) also provides a practical advantage for</w:t>
      </w:r>
      <w:r>
        <w:t xml:space="preserve"> </w:t>
      </w:r>
      <w:r>
        <w:rPr>
          <w:bCs/>
          <w:b/>
        </w:rPr>
        <w:t xml:space="preserve">portability</w:t>
      </w:r>
      <w:r>
        <w:t xml:space="preserve">:</w:t>
      </w:r>
      <w:r>
        <w:t xml:space="preserve"> </w:t>
      </w:r>
      <w:r>
        <w:t xml:space="preserve">because (W) defines gene-level programs, new samples can be embedded by the</w:t>
      </w:r>
      <w:r>
        <w:t xml:space="preserve"> </w:t>
      </w:r>
      <w:r>
        <w:t xml:space="preserve">closed-form projection (Z_{\text{new}} = W^\top X_{\text{new}}). In contrast,</w:t>
      </w:r>
      <w:r>
        <w:t xml:space="preserve"> </w:t>
      </w:r>
      <w:r>
        <w:t xml:space="preserve">supervising (H) would not yield such a mapping; instead, obtaining sample</w:t>
      </w:r>
      <w:r>
        <w:t xml:space="preserve"> </w:t>
      </w:r>
      <w:r>
        <w:t xml:space="preserve">loadings for external datasets would require solving a nonnegative least-squares</w:t>
      </w:r>
      <w:r>
        <w:t xml:space="preserve"> </w:t>
      </w:r>
      <w:r>
        <w:t xml:space="preserve">(NNLS) problem for each new sample, introducing optimization noise and reducing</w:t>
      </w:r>
      <w:r>
        <w:t xml:space="preserve"> </w:t>
      </w:r>
      <w:r>
        <w:t xml:space="preserve">reproducibility.</w:t>
      </w:r>
    </w:p>
    <w:p>
      <w:pPr>
        <w:pStyle w:val="BodyText"/>
      </w:pPr>
      <w:r>
        <w:t xml:space="preserve">Together, these considerations motivate supervising through (W), which shapes</w:t>
      </w:r>
      <w:r>
        <w:t xml:space="preserve"> </w:t>
      </w:r>
      <w:r>
        <w:t xml:space="preserve">the gene programs toward prognostic directions and yields biologically</w:t>
      </w:r>
      <w:r>
        <w:t xml:space="preserve"> </w:t>
      </w:r>
      <w:r>
        <w:t xml:space="preserve">interpretable signatures that generalize across cohorts.</w:t>
      </w:r>
    </w:p>
    <w:p>
      <w:pPr>
        <w:pStyle w:val="BodyText"/>
      </w:pPr>
      <w:r>
        <w:t xml:space="preserve">\section{Cross-validation procedure}</w:t>
      </w:r>
      <w:r>
        <w:t xml:space="preserve"> </w:t>
      </w:r>
      <w:r>
        <w:t xml:space="preserve">Algorithm [alg:cv] describes the cross validation procedure with</w:t>
      </w:r>
      <w:r>
        <w:t xml:space="preserve"> </w:t>
      </w:r>
      <m:oMath>
        <m:r>
          <m:t>F</m:t>
        </m:r>
      </m:oMath>
      <w:r>
        <w:t xml:space="preserve"> </w:t>
      </w:r>
      <w:r>
        <w:t xml:space="preserve">folds and</w:t>
      </w:r>
      <w:r>
        <w:t xml:space="preserve"> </w:t>
      </w:r>
      <m:oMath>
        <m:r>
          <m:t>R</m:t>
        </m:r>
      </m:oMath>
      <w:r>
        <w:t xml:space="preserve"> </w:t>
      </w:r>
      <w:r>
        <w:t xml:space="preserve">initializations.</w:t>
      </w:r>
      <w:r>
        <w:t xml:space="preserve"> </w:t>
      </w:r>
      <w:r>
        <w:t xml:space="preserve">We define the c-index using comparable pairs</w:t>
      </w:r>
      <w:r>
        <w:t xml:space="preserve"> </w:t>
      </w:r>
      <m:oMath>
        <m:r>
          <m:rPr>
            <m:sty m:val="p"/>
            <m:scr m:val="script"/>
          </m:rPr>
          <m:t>P</m:t>
        </m:r>
        <m:r>
          <m:rPr>
            <m:sty m:val="p"/>
          </m:rPr>
          <m:t>=</m:t>
        </m:r>
        <m:r>
          <m:rPr>
            <m:sty m:val="p"/>
          </m:rPr>
          <m:t>{</m:t>
        </m:r>
        <m:d>
          <m:dPr>
            <m:begChr m:val="("/>
            <m:endChr m:val=")"/>
            <m:sepChr m:val=""/>
            <m:grow/>
          </m:dPr>
          <m:e>
            <m:r>
              <m:t>i</m:t>
            </m:r>
            <m:r>
              <m:rPr>
                <m:sty m:val="p"/>
              </m:rPr>
              <m:t>,</m:t>
            </m:r>
            <m:r>
              <m:t>j</m:t>
            </m:r>
          </m:e>
        </m:d>
        <m:r>
          <m:rPr>
            <m:sty m:val="p"/>
          </m:rPr>
          <m:t>:</m:t>
        </m:r>
        <m:sSub>
          <m:e>
            <m:r>
              <m:t>y</m:t>
            </m:r>
          </m:e>
          <m:sub>
            <m:r>
              <m:t>i</m:t>
            </m:r>
          </m:sub>
        </m:sSub>
        <m:r>
          <m:rPr>
            <m:sty m:val="p"/>
          </m:rPr>
          <m:t>&lt;</m:t>
        </m:r>
        <m:sSub>
          <m:e>
            <m:r>
              <m:t>y</m:t>
            </m:r>
          </m:e>
          <m:sub>
            <m:r>
              <m:t>j</m:t>
            </m:r>
          </m:sub>
        </m:sSub>
        <m:r>
          <m:rPr>
            <m:sty m:val="p"/>
          </m:rPr>
          <m:t>,</m:t>
        </m:r>
        <m:r>
          <m:t> </m:t>
        </m:r>
        <m:sSub>
          <m:e>
            <m:r>
              <m:t>δ</m:t>
            </m:r>
          </m:e>
          <m:sub>
            <m:r>
              <m:t>i</m:t>
            </m:r>
          </m:sub>
        </m:sSub>
        <m:r>
          <m:rPr>
            <m:sty m:val="p"/>
          </m:rPr>
          <m:t>=</m:t>
        </m:r>
        <m:r>
          <m:t>1</m:t>
        </m:r>
        <m:r>
          <m:rPr>
            <m:sty m:val="p"/>
          </m:rPr>
          <m:t>}</m:t>
        </m:r>
      </m:oMath>
      <w:r>
        <w:t xml:space="preserve"> </w:t>
      </w:r>
      <w:r>
        <w:t xml:space="preserve">and linear predictors</w:t>
      </w:r>
      <w:r>
        <w:t xml:space="preserve"> </w:t>
      </w:r>
      <m:oMath>
        <m:sSub>
          <m:e>
            <m:acc>
              <m:accPr>
                <m:chr m:val="̂"/>
              </m:accPr>
              <m:e>
                <m:r>
                  <m:t>η</m:t>
                </m:r>
              </m:e>
            </m:acc>
          </m:e>
          <m:sub>
            <m:r>
              <m:t>i</m:t>
            </m:r>
          </m:sub>
        </m:sSub>
      </m:oMath>
      <w:r>
        <w:t xml:space="preserve">:</w:t>
      </w:r>
    </w:p>
    <w:p>
      <w:pPr>
        <w:pStyle w:val="BodyText"/>
      </w:pPr>
      <m:oMathPara>
        <m:oMathParaPr>
          <m:jc m:val="center"/>
        </m:oMathParaPr>
        <m:oMath>
          <m:acc>
            <m:accPr>
              <m:chr m:val="̂"/>
            </m:accPr>
            <m:e>
              <m:r>
                <m:t>c</m:t>
              </m:r>
            </m:e>
          </m:acc>
          <m:r>
            <m:rPr>
              <m:sty m:val="p"/>
            </m:rPr>
            <m:t>=</m:t>
          </m:r>
          <m:f>
            <m:fPr>
              <m:type m:val="bar"/>
            </m:fPr>
            <m:num>
              <m:r>
                <m:t>1</m:t>
              </m:r>
            </m:num>
            <m:den>
              <m:d>
                <m:dPr>
                  <m:begChr m:val="|"/>
                  <m:endChr m:val="|"/>
                  <m:sepChr m:val=""/>
                  <m:grow/>
                </m:dPr>
                <m:e>
                  <m:r>
                    <m:rPr>
                      <m:sty m:val="p"/>
                      <m:scr m:val="script"/>
                    </m:rPr>
                    <m:t>P</m:t>
                  </m:r>
                </m:e>
              </m:d>
            </m:den>
          </m:f>
          <m:nary>
            <m:naryPr>
              <m:chr m:val="∑"/>
              <m:limLoc m:val="undOvr"/>
              <m:subHide m:val="off"/>
              <m:supHide m:val="on"/>
            </m:naryPr>
            <m:sub>
              <m:d>
                <m:dPr>
                  <m:begChr m:val="("/>
                  <m:endChr m:val=")"/>
                  <m:sepChr m:val=""/>
                  <m:grow/>
                </m:dPr>
                <m:e>
                  <m:r>
                    <m:t>i</m:t>
                  </m:r>
                  <m:r>
                    <m:rPr>
                      <m:sty m:val="p"/>
                    </m:rPr>
                    <m:t>,</m:t>
                  </m:r>
                  <m:r>
                    <m:t>j</m:t>
                  </m:r>
                </m:e>
              </m:d>
              <m:r>
                <m:rPr>
                  <m:sty m:val="p"/>
                </m:rPr>
                <m:t>∈</m:t>
              </m:r>
              <m:r>
                <m:rPr>
                  <m:sty m:val="p"/>
                  <m:scr m:val="script"/>
                </m:rPr>
                <m:t>P</m:t>
              </m:r>
            </m:sub>
            <m:sup>
              <m:r>
                <m:t>​</m:t>
              </m:r>
            </m:sup>
            <m:e>
              <m:d>
                <m:dPr>
                  <m:begChr m:val="["/>
                  <m:endChr m:val="]"/>
                  <m:sepChr m:val=""/>
                  <m:grow/>
                </m:dPr>
                <m:e>
                  <m:r>
                    <m:rPr>
                      <m:sty m:val="b"/>
                    </m:rPr>
                    <m:t>1</m:t>
                  </m:r>
                  <m:d>
                    <m:dPr>
                      <m:begChr m:val="("/>
                      <m:endChr m:val=")"/>
                      <m:sepChr m:val=""/>
                      <m:grow/>
                    </m:dPr>
                    <m:e>
                      <m:sSub>
                        <m:e>
                          <m:acc>
                            <m:accPr>
                              <m:chr m:val="̂"/>
                            </m:accPr>
                            <m:e>
                              <m:r>
                                <m:t>η</m:t>
                              </m:r>
                            </m:e>
                          </m:acc>
                        </m:e>
                        <m:sub>
                          <m:r>
                            <m:t>i</m:t>
                          </m:r>
                        </m:sub>
                      </m:sSub>
                      <m:r>
                        <m:rPr>
                          <m:sty m:val="p"/>
                        </m:rPr>
                        <m:t>&gt;</m:t>
                      </m:r>
                      <m:sSub>
                        <m:e>
                          <m:acc>
                            <m:accPr>
                              <m:chr m:val="̂"/>
                            </m:accPr>
                            <m:e>
                              <m:r>
                                <m:t>η</m:t>
                              </m:r>
                            </m:e>
                          </m:acc>
                        </m:e>
                        <m:sub>
                          <m:r>
                            <m:t>j</m:t>
                          </m:r>
                        </m:sub>
                      </m:sSub>
                    </m:e>
                  </m:d>
                  <m:r>
                    <m:rPr>
                      <m:sty m:val="p"/>
                    </m:rPr>
                    <m:t>+</m:t>
                  </m:r>
                  <m:f>
                    <m:fPr>
                      <m:type m:val="lin"/>
                    </m:fPr>
                    <m:num>
                      <m:r>
                        <m:t>1</m:t>
                      </m:r>
                    </m:num>
                    <m:den>
                      <m:r>
                        <m:t>2</m:t>
                      </m:r>
                    </m:den>
                  </m:f>
                  <m:r>
                    <m:rPr>
                      <m:sty m:val="b"/>
                    </m:rPr>
                    <m:t>1</m:t>
                  </m:r>
                  <m:d>
                    <m:dPr>
                      <m:begChr m:val="("/>
                      <m:endChr m:val=")"/>
                      <m:sepChr m:val=""/>
                      <m:grow/>
                    </m:dPr>
                    <m:e>
                      <m:sSub>
                        <m:e>
                          <m:acc>
                            <m:accPr>
                              <m:chr m:val="̂"/>
                            </m:accPr>
                            <m:e>
                              <m:r>
                                <m:t>η</m:t>
                              </m:r>
                            </m:e>
                          </m:acc>
                        </m:e>
                        <m:sub>
                          <m:r>
                            <m:t>i</m:t>
                          </m:r>
                        </m:sub>
                      </m:sSub>
                      <m:r>
                        <m:rPr>
                          <m:sty m:val="p"/>
                        </m:rPr>
                        <m:t>=</m:t>
                      </m:r>
                      <m:sSub>
                        <m:e>
                          <m:acc>
                            <m:accPr>
                              <m:chr m:val="̂"/>
                            </m:accPr>
                            <m:e>
                              <m:r>
                                <m:t>η</m:t>
                              </m:r>
                            </m:e>
                          </m:acc>
                        </m:e>
                        <m:sub>
                          <m:r>
                            <m:t>j</m:t>
                          </m:r>
                        </m:sub>
                      </m:sSub>
                    </m:e>
                  </m:d>
                </m:e>
              </m:d>
            </m:e>
          </m:nary>
          <m:r>
            <m:rPr>
              <m:sty m:val="p"/>
            </m:rPr>
            <m:t>.</m:t>
          </m:r>
        </m:oMath>
      </m:oMathPara>
    </w:p>
    <w:p>
      <w:pPr>
        <w:pStyle w:val="FirstParagraph"/>
      </w:pPr>
      <w:r>
        <w:rPr>
          <w:bCs/>
          <w:b/>
        </w:rPr>
        <w:t xml:space="preserve">Cross-validation for DeSurv pipeline</w:t>
      </w:r>
    </w:p>
    <w:p>
      <w:pPr>
        <w:pStyle w:val="BodyText"/>
      </w:pPr>
      <w:r>
        <w:t xml:space="preserve">Input:</w:t>
      </w:r>
      <w:r>
        <w:br/>
      </w:r>
      <w:r>
        <w:t xml:space="preserve">Number of folds</w:t>
      </w:r>
      <w:r>
        <w:t xml:space="preserve"> </w:t>
      </w:r>
      <m:oMath>
        <m:r>
          <m:t>F</m:t>
        </m:r>
      </m:oMath>
      <w:r>
        <w:br/>
      </w:r>
      <w:r>
        <w:t xml:space="preserve">Number of initializations</w:t>
      </w:r>
      <w:r>
        <w:t xml:space="preserve"> </w:t>
      </w:r>
      <m:oMath>
        <m:r>
          <m:t>R</m:t>
        </m:r>
      </m:oMath>
      <w:r>
        <w:br/>
      </w:r>
      <w:r>
        <w:t xml:space="preserve">Observed data (</w:t>
      </w:r>
      <m:oMath>
        <m:r>
          <m:t>X</m:t>
        </m:r>
      </m:oMath>
      <w:r>
        <w:t xml:space="preserve">,</w:t>
      </w:r>
      <w:r>
        <w:t xml:space="preserve"> </w:t>
      </w:r>
      <m:oMath>
        <m:r>
          <m:t>y</m:t>
        </m:r>
      </m:oMath>
      <w:r>
        <w:t xml:space="preserve">,</w:t>
      </w:r>
      <w:r>
        <w:t xml:space="preserve"> </w:t>
      </w:r>
      <m:oMath>
        <m:r>
          <m:t>δ</m:t>
        </m:r>
      </m:oMath>
      <w:r>
        <w:t xml:space="preserve">)</w:t>
      </w:r>
      <w:r>
        <w:br/>
      </w:r>
      <w:r>
        <w:t xml:space="preserve">Hyperparameters</w:t>
      </w:r>
      <w:r>
        <w:t xml:space="preserve"> </w:t>
      </w:r>
      <m:oMath>
        <m:r>
          <m:t>k</m:t>
        </m:r>
      </m:oMath>
      <w:r>
        <w:t xml:space="preserve">,</w:t>
      </w:r>
      <w:r>
        <w:t xml:space="preserve"> </w:t>
      </w:r>
      <m:oMath>
        <m:r>
          <m:t>α</m:t>
        </m:r>
      </m:oMath>
      <w:r>
        <w:t xml:space="preserve">,</w:t>
      </w:r>
      <w:r>
        <w:t xml:space="preserve"> </w:t>
      </w:r>
      <m:oMath>
        <m:r>
          <m:t>λ</m:t>
        </m:r>
      </m:oMath>
      <w:r>
        <w:t xml:space="preserve">,</w:t>
      </w:r>
      <w:r>
        <w:t xml:space="preserve"> </w:t>
      </w:r>
      <m:oMath>
        <m:r>
          <m:t>ξ</m:t>
        </m:r>
      </m:oMath>
      <w:r>
        <w:t xml:space="preserve">,</w:t>
      </w:r>
      <w:r>
        <w:t xml:space="preserve"> </w:t>
      </w:r>
      <m:oMath>
        <m:sSub>
          <m:e>
            <m:r>
              <m:t>λ</m:t>
            </m:r>
          </m:e>
          <m:sub>
            <m:r>
              <m:t>H</m:t>
            </m:r>
          </m:sub>
        </m:sSub>
      </m:oMath>
      <w:r>
        <w:t xml:space="preserve">, and number of top genes per factor</w:t>
      </w:r>
      <w:r>
        <w:t xml:space="preserve"> </w:t>
      </w:r>
      <m:oMath>
        <m:sSub>
          <m:e>
            <m:r>
              <m:t>n</m:t>
            </m:r>
          </m:e>
          <m:sub>
            <m:r>
              <m:t>t</m:t>
            </m:r>
            <m:r>
              <m:t>o</m:t>
            </m:r>
            <m:r>
              <m:t>p</m:t>
            </m:r>
          </m:sub>
        </m:sSub>
      </m:oMath>
      <w:r>
        <w:br/>
      </w:r>
      <w:r>
        <w:t xml:space="preserve">Output: The cross-validated c-index</w:t>
      </w:r>
      <w:r>
        <w:br/>
      </w:r>
      <w:r>
        <w:t xml:space="preserve">Divide subjects into</w:t>
      </w:r>
      <w:r>
        <w:t xml:space="preserve"> </w:t>
      </w:r>
      <m:oMath>
        <m:r>
          <m:t>F</m:t>
        </m:r>
      </m:oMath>
      <w:r>
        <w:t xml:space="preserve"> </w:t>
      </w:r>
      <w:r>
        <w:t xml:space="preserve">folds.</w:t>
      </w:r>
      <w:r>
        <w:br/>
      </w:r>
      <w:r>
        <w:t xml:space="preserve">for</w:t>
      </w:r>
      <w:r>
        <w:t xml:space="preserve"> </w:t>
      </w:r>
      <m:oMath>
        <m:r>
          <m:t>f</m:t>
        </m:r>
        <m:r>
          <m:rPr>
            <m:sty m:val="p"/>
          </m:rPr>
          <m:t>=</m:t>
        </m:r>
        <m:r>
          <m:t>1</m:t>
        </m:r>
      </m:oMath>
      <w:r>
        <w:t xml:space="preserve"> </w:t>
      </w:r>
      <w:r>
        <w:t xml:space="preserve">to</w:t>
      </w:r>
      <w:r>
        <w:t xml:space="preserve"> </w:t>
      </w:r>
      <m:oMath>
        <m:r>
          <m:t>F</m:t>
        </m:r>
      </m:oMath>
      <w:r>
        <w:t xml:space="preserve"> </w:t>
      </w:r>
      <w:r>
        <w:t xml:space="preserve">do</w:t>
      </w:r>
      <w:r>
        <w:br/>
      </w:r>
      <w:r>
        <w:t xml:space="preserve">Split data into training and validation</w:t>
      </w:r>
      <w:r>
        <w:t xml:space="preserve"> </w:t>
      </w:r>
      <m:oMath>
        <m:d>
          <m:dPr>
            <m:begChr m:val="("/>
            <m:endChr m:val=")"/>
            <m:sepChr m:val=""/>
            <m:grow/>
          </m:dPr>
          <m:e>
            <m:sSub>
              <m:e>
                <m:r>
                  <m:t>X</m:t>
                </m:r>
              </m:e>
              <m:sub>
                <m:d>
                  <m:dPr>
                    <m:begChr m:val="("/>
                    <m:endChr m:val=")"/>
                    <m:sepChr m:val=""/>
                    <m:grow/>
                  </m:dPr>
                  <m:e>
                    <m:r>
                      <m:rPr>
                        <m:sty m:val="p"/>
                      </m:rPr>
                      <m:t>−</m:t>
                    </m:r>
                    <m:r>
                      <m:t>f</m:t>
                    </m:r>
                  </m:e>
                </m:d>
              </m:sub>
            </m:sSub>
            <m:r>
              <m:rPr>
                <m:sty m:val="p"/>
              </m:rPr>
              <m:t>,</m:t>
            </m:r>
            <m:sSub>
              <m:e>
                <m:r>
                  <m:t>y</m:t>
                </m:r>
              </m:e>
              <m:sub>
                <m:d>
                  <m:dPr>
                    <m:begChr m:val="("/>
                    <m:endChr m:val=")"/>
                    <m:sepChr m:val=""/>
                    <m:grow/>
                  </m:dPr>
                  <m:e>
                    <m:r>
                      <m:rPr>
                        <m:sty m:val="p"/>
                      </m:rPr>
                      <m:t>−</m:t>
                    </m:r>
                    <m:r>
                      <m:t>f</m:t>
                    </m:r>
                  </m:e>
                </m:d>
              </m:sub>
            </m:sSub>
            <m:r>
              <m:rPr>
                <m:sty m:val="p"/>
              </m:rPr>
              <m:t>,</m:t>
            </m:r>
            <m:sSub>
              <m:e>
                <m:r>
                  <m:t>δ</m:t>
                </m:r>
              </m:e>
              <m:sub>
                <m:d>
                  <m:dPr>
                    <m:begChr m:val="("/>
                    <m:endChr m:val=")"/>
                    <m:sepChr m:val=""/>
                    <m:grow/>
                  </m:dPr>
                  <m:e>
                    <m:r>
                      <m:rPr>
                        <m:sty m:val="p"/>
                      </m:rPr>
                      <m:t>−</m:t>
                    </m:r>
                    <m:r>
                      <m:t>f</m:t>
                    </m:r>
                  </m:e>
                </m:d>
              </m:sub>
            </m:sSub>
          </m:e>
        </m:d>
      </m:oMath>
      <w:r>
        <w:t xml:space="preserve">, and</w:t>
      </w:r>
      <w:r>
        <w:t xml:space="preserve"> </w:t>
      </w:r>
      <m:oMath>
        <m:d>
          <m:dPr>
            <m:begChr m:val="("/>
            <m:endChr m:val=")"/>
            <m:sepChr m:val=""/>
            <m:grow/>
          </m:dPr>
          <m:e>
            <m:sSub>
              <m:e>
                <m:r>
                  <m:t>X</m:t>
                </m:r>
              </m:e>
              <m:sub>
                <m:d>
                  <m:dPr>
                    <m:begChr m:val="("/>
                    <m:endChr m:val=")"/>
                    <m:sepChr m:val=""/>
                    <m:grow/>
                  </m:dPr>
                  <m:e>
                    <m:r>
                      <m:t>f</m:t>
                    </m:r>
                  </m:e>
                </m:d>
              </m:sub>
            </m:sSub>
            <m:r>
              <m:rPr>
                <m:sty m:val="p"/>
              </m:rPr>
              <m:t>,</m:t>
            </m:r>
            <m:sSub>
              <m:e>
                <m:r>
                  <m:t>y</m:t>
                </m:r>
              </m:e>
              <m:sub>
                <m:d>
                  <m:dPr>
                    <m:begChr m:val="("/>
                    <m:endChr m:val=")"/>
                    <m:sepChr m:val=""/>
                    <m:grow/>
                  </m:dPr>
                  <m:e>
                    <m:r>
                      <m:t>f</m:t>
                    </m:r>
                  </m:e>
                </m:d>
              </m:sub>
            </m:sSub>
            <m:r>
              <m:rPr>
                <m:sty m:val="p"/>
              </m:rPr>
              <m:t>,</m:t>
            </m:r>
            <m:sSub>
              <m:e>
                <m:r>
                  <m:t>δ</m:t>
                </m:r>
              </m:e>
              <m:sub>
                <m:d>
                  <m:dPr>
                    <m:begChr m:val="("/>
                    <m:endChr m:val=")"/>
                    <m:sepChr m:val=""/>
                    <m:grow/>
                  </m:dPr>
                  <m:e>
                    <m:r>
                      <m:t>f</m:t>
                    </m:r>
                  </m:e>
                </m:d>
              </m:sub>
            </m:sSub>
          </m:e>
        </m:d>
      </m:oMath>
      <w:r>
        <w:t xml:space="preserve"> </w:t>
      </w:r>
      <w:r>
        <w:t xml:space="preserve">sets</w:t>
      </w:r>
      <w:r>
        <w:br/>
      </w:r>
      <w:r>
        <w:t xml:space="preserve">for</w:t>
      </w:r>
      <w:r>
        <w:t xml:space="preserve"> </w:t>
      </w:r>
      <m:oMath>
        <m:r>
          <m:t>r</m:t>
        </m:r>
        <m:r>
          <m:rPr>
            <m:sty m:val="p"/>
          </m:rPr>
          <m:t>=</m:t>
        </m:r>
        <m:r>
          <m:t>1</m:t>
        </m:r>
      </m:oMath>
      <w:r>
        <w:t xml:space="preserve"> </w:t>
      </w:r>
      <w:r>
        <w:t xml:space="preserve">to</w:t>
      </w:r>
      <w:r>
        <w:t xml:space="preserve"> </w:t>
      </w:r>
      <m:oMath>
        <m:r>
          <m:t>R</m:t>
        </m:r>
      </m:oMath>
      <w:r>
        <w:t xml:space="preserve"> </w:t>
      </w:r>
      <w:r>
        <w:t xml:space="preserve">do</w:t>
      </w:r>
      <w:r>
        <w:br/>
      </w:r>
      <w:r>
        <w:t xml:space="preserve">set.seed</w:t>
      </w:r>
      <m:oMath>
        <m:d>
          <m:dPr>
            <m:begChr m:val="("/>
            <m:endChr m:val=")"/>
            <m:sepChr m:val=""/>
            <m:grow/>
          </m:dPr>
          <m:e>
            <m:r>
              <m:t>r</m:t>
            </m:r>
          </m:e>
        </m:d>
      </m:oMath>
      <w:r>
        <w:br/>
      </w:r>
      <w:r>
        <w:t xml:space="preserve">Apply Algorithm [alg:desurv] with inputs</w:t>
      </w:r>
      <w:r>
        <w:t xml:space="preserve"> </w:t>
      </w:r>
      <m:oMath>
        <m:d>
          <m:dPr>
            <m:begChr m:val="("/>
            <m:endChr m:val=")"/>
            <m:sepChr m:val=""/>
            <m:grow/>
          </m:dPr>
          <m:e>
            <m:sSub>
              <m:e>
                <m:r>
                  <m:t>X</m:t>
                </m:r>
              </m:e>
              <m:sub>
                <m:d>
                  <m:dPr>
                    <m:begChr m:val="("/>
                    <m:endChr m:val=")"/>
                    <m:sepChr m:val=""/>
                    <m:grow/>
                  </m:dPr>
                  <m:e>
                    <m:r>
                      <m:rPr>
                        <m:sty m:val="p"/>
                      </m:rPr>
                      <m:t>−</m:t>
                    </m:r>
                    <m:r>
                      <m:t>f</m:t>
                    </m:r>
                  </m:e>
                </m:d>
              </m:sub>
            </m:sSub>
            <m:r>
              <m:rPr>
                <m:sty m:val="p"/>
              </m:rPr>
              <m:t>,</m:t>
            </m:r>
            <m:sSub>
              <m:e>
                <m:r>
                  <m:t>y</m:t>
                </m:r>
              </m:e>
              <m:sub>
                <m:d>
                  <m:dPr>
                    <m:begChr m:val="("/>
                    <m:endChr m:val=")"/>
                    <m:sepChr m:val=""/>
                    <m:grow/>
                  </m:dPr>
                  <m:e>
                    <m:r>
                      <m:rPr>
                        <m:sty m:val="p"/>
                      </m:rPr>
                      <m:t>−</m:t>
                    </m:r>
                    <m:r>
                      <m:t>f</m:t>
                    </m:r>
                  </m:e>
                </m:d>
              </m:sub>
            </m:sSub>
            <m:r>
              <m:rPr>
                <m:sty m:val="p"/>
              </m:rPr>
              <m:t>,</m:t>
            </m:r>
            <m:sSub>
              <m:e>
                <m:r>
                  <m:t>δ</m:t>
                </m:r>
              </m:e>
              <m:sub>
                <m:d>
                  <m:dPr>
                    <m:begChr m:val="("/>
                    <m:endChr m:val=")"/>
                    <m:sepChr m:val=""/>
                    <m:grow/>
                  </m:dPr>
                  <m:e>
                    <m:r>
                      <m:rPr>
                        <m:sty m:val="p"/>
                      </m:rPr>
                      <m:t>−</m:t>
                    </m:r>
                    <m:r>
                      <m:t>f</m:t>
                    </m:r>
                  </m:e>
                </m:d>
              </m:sub>
            </m:sSub>
          </m:e>
        </m:d>
      </m:oMath>
      <w:r>
        <w:t xml:space="preserve">, and</w:t>
      </w:r>
      <w:r>
        <w:t xml:space="preserve"> </w:t>
      </w:r>
      <m:oMath>
        <m:d>
          <m:dPr>
            <m:begChr m:val="("/>
            <m:endChr m:val=")"/>
            <m:sepChr m:val=""/>
            <m:grow/>
          </m:dPr>
          <m:e>
            <m:r>
              <m:t>k</m:t>
            </m:r>
            <m:r>
              <m:rPr>
                <m:sty m:val="p"/>
              </m:rPr>
              <m:t>,</m:t>
            </m:r>
            <m:r>
              <m:t>α</m:t>
            </m:r>
            <m:r>
              <m:rPr>
                <m:sty m:val="p"/>
              </m:rPr>
              <m:t>,</m:t>
            </m:r>
            <m:r>
              <m:t>λ</m:t>
            </m:r>
            <m:r>
              <m:rPr>
                <m:sty m:val="p"/>
              </m:rPr>
              <m:t>,</m:t>
            </m:r>
            <m:r>
              <m:t>ξ</m:t>
            </m:r>
            <m:r>
              <m:rPr>
                <m:sty m:val="p"/>
              </m:rPr>
              <m:t>,</m:t>
            </m:r>
            <m:sSub>
              <m:e>
                <m:r>
                  <m:t>λ</m:t>
                </m:r>
              </m:e>
              <m:sub>
                <m:r>
                  <m:t>H</m:t>
                </m:r>
              </m:sub>
            </m:sSub>
          </m:e>
        </m:d>
      </m:oMath>
      <w:r>
        <w:br/>
      </w:r>
      <w:r>
        <w:t xml:space="preserve">Obtain</w:t>
      </w:r>
      <w:r>
        <w:t xml:space="preserve"> </w:t>
      </w:r>
      <m:oMath>
        <m:acc>
          <m:accPr>
            <m:chr m:val="̂"/>
          </m:accPr>
          <m:e>
            <m:r>
              <m:t>W</m:t>
            </m:r>
          </m:e>
        </m:acc>
      </m:oMath>
      <w:r>
        <w:t xml:space="preserve"> </w:t>
      </w:r>
      <w:r>
        <w:t xml:space="preserve">and</w:t>
      </w:r>
      <w:r>
        <w:t xml:space="preserve"> </w:t>
      </w:r>
      <m:oMath>
        <m:acc>
          <m:accPr>
            <m:chr m:val="̂"/>
          </m:accPr>
          <m:e>
            <m:r>
              <m:t>β</m:t>
            </m:r>
          </m:e>
        </m:acc>
      </m:oMath>
      <w:r>
        <w:t xml:space="preserve"> </w:t>
      </w:r>
      <w:r>
        <w:t xml:space="preserve">as output from Algorithm [alg:desurv]</w:t>
      </w:r>
      <w:r>
        <w:br/>
      </w:r>
      <w:r>
        <w:t xml:space="preserve">Restrict</w:t>
      </w:r>
      <w:r>
        <w:t xml:space="preserve"> </w:t>
      </w:r>
      <m:oMath>
        <m:acc>
          <m:accPr>
            <m:chr m:val="̂"/>
          </m:accPr>
          <m:e>
            <m:r>
              <m:t>W</m:t>
            </m:r>
          </m:e>
        </m:acc>
      </m:oMath>
      <w:r>
        <w:t xml:space="preserve"> </w:t>
      </w:r>
      <w:r>
        <w:t xml:space="preserve">to the top</w:t>
      </w:r>
      <w:r>
        <w:t xml:space="preserve"> </w:t>
      </w:r>
      <m:oMath>
        <m:sSub>
          <m:e>
            <m:r>
              <m:t>n</m:t>
            </m:r>
          </m:e>
          <m:sub>
            <m:r>
              <m:t>t</m:t>
            </m:r>
            <m:r>
              <m:t>o</m:t>
            </m:r>
            <m:r>
              <m:t>p</m:t>
            </m:r>
          </m:sub>
        </m:sSub>
      </m:oMath>
      <w:r>
        <w:t xml:space="preserve"> </w:t>
      </w:r>
      <w:r>
        <w:t xml:space="preserve">genes per factor (by factor-specificity score) and compute the estimated linear predictor on this support:</w:t>
      </w:r>
      <w:r>
        <w:br/>
      </w:r>
      <w:r>
        <w:t xml:space="preserve">$</w:t>
      </w:r>
      <w:r>
        <w:br/>
      </w:r>
      <w:r>
        <w:t xml:space="preserve">{} = X_{(f)}^T{W}{}</w:t>
      </w:r>
      <w:r>
        <w:br/>
      </w:r>
      <w:r>
        <w:t xml:space="preserve">$</w:t>
      </w:r>
      <w:r>
        <w:br/>
      </w:r>
      <w:r>
        <w:t xml:space="preserve">Compute c-index, denoted</w:t>
      </w:r>
      <w:r>
        <w:t xml:space="preserve"> </w:t>
      </w:r>
      <m:oMath>
        <m:sSub>
          <m:e>
            <m:acc>
              <m:accPr>
                <m:chr m:val="̂"/>
              </m:accPr>
              <m:e>
                <m:r>
                  <m:t>c</m:t>
                </m:r>
              </m:e>
            </m:acc>
          </m:e>
          <m:sub>
            <m:d>
              <m:dPr>
                <m:begChr m:val="("/>
                <m:endChr m:val=")"/>
                <m:sepChr m:val=""/>
                <m:grow/>
              </m:dPr>
              <m:e>
                <m:r>
                  <m:t>f</m:t>
                </m:r>
              </m:e>
            </m:d>
            <m:r>
              <m:t>r</m:t>
            </m:r>
          </m:sub>
        </m:sSub>
      </m:oMath>
      <w:r>
        <w:t xml:space="preserve">, according to Equation [eqn:cindex]</w:t>
      </w:r>
      <w:r>
        <w:br/>
      </w:r>
      <w:r>
        <w:t xml:space="preserve">end for</w:t>
      </w:r>
      <w:r>
        <w:br/>
      </w:r>
      <w:r>
        <w:rPr>
          <w:bCs/>
          <w:b/>
        </w:rPr>
        <w:t xml:space="preserve">end loop over</w:t>
      </w:r>
      <w:r>
        <w:rPr>
          <w:bCs/>
          <w:b/>
        </w:rPr>
        <w:t xml:space="preserve"> </w:t>
      </w:r>
      <m:oMath>
        <m:r>
          <m:t>r</m:t>
        </m:r>
      </m:oMath>
      <w:r>
        <w:br/>
      </w:r>
      <w:r>
        <w:t xml:space="preserve">Compute average c-index across initializations:</w:t>
      </w:r>
      <w:r>
        <w:br/>
      </w:r>
      <w:r>
        <w:t xml:space="preserve">$</w:t>
      </w:r>
      <w:r>
        <w:br/>
      </w:r>
      <w:r>
        <w:t xml:space="preserve">{c}</w:t>
      </w:r>
      <w:r>
        <w:rPr>
          <w:iCs/>
          <w:i/>
        </w:rPr>
        <w:t xml:space="preserve">{(f)} = {1}{R}</w:t>
      </w:r>
      <w:r>
        <w:t xml:space="preserve">{r=1}</w:t>
      </w:r>
      <w:r>
        <w:rPr>
          <w:vertAlign w:val="superscript"/>
        </w:rPr>
        <w:t xml:space="preserve">R{c}</w:t>
      </w:r>
      <w:r>
        <w:rPr>
          <w:iCs/>
          <w:i/>
          <w:vertAlign w:val="superscript"/>
        </w:rPr>
        <w:t xml:space="preserve">{(f)r}</w:t>
      </w:r>
      <w:r>
        <w:br/>
      </w:r>
      <w:r>
        <w:rPr>
          <w:iCs/>
          <w:i/>
          <w:vertAlign w:val="superscript"/>
        </w:rPr>
        <w:t xml:space="preserve">$</w:t>
      </w:r>
      <w:r>
        <w:br/>
      </w:r>
      <w:r>
        <w:rPr>
          <w:iCs/>
          <w:i/>
          <w:vertAlign w:val="superscript"/>
        </w:rPr>
        <w:t xml:space="preserve">end for</w:t>
      </w:r>
      <w:r>
        <w:br/>
      </w:r>
      <w:r>
        <w:rPr>
          <w:bCs/>
          <w:b/>
          <w:iCs/>
          <w:i/>
          <w:vertAlign w:val="superscript"/>
        </w:rPr>
        <w:t xml:space="preserve">end loop over</w:t>
      </w:r>
      <w:r>
        <w:rPr>
          <w:bCs/>
          <w:b/>
          <w:iCs/>
          <w:i/>
          <w:vertAlign w:val="superscript"/>
        </w:rPr>
        <w:t xml:space="preserve"> </w:t>
      </w:r>
      <m:oMath>
        <m:r>
          <m:t>f</m:t>
        </m:r>
      </m:oMath>
      <w:r>
        <w:br/>
      </w:r>
      <w:r>
        <w:rPr>
          <w:iCs/>
          <w:i/>
          <w:vertAlign w:val="superscript"/>
        </w:rPr>
        <w:t xml:space="preserve">Compute final cross-validated c-index:</w:t>
      </w:r>
      <w:r>
        <w:br/>
      </w:r>
      <w:r>
        <w:rPr>
          <w:iCs/>
          <w:i/>
          <w:vertAlign w:val="superscript"/>
        </w:rPr>
        <w:t xml:space="preserve">$</w:t>
      </w:r>
      <w:r>
        <w:br/>
      </w:r>
      <w:r>
        <w:rPr>
          <w:iCs/>
          <w:i/>
          <w:vertAlign w:val="superscript"/>
        </w:rPr>
        <w:t xml:space="preserve">{c} = {1}{F}</w:t>
      </w:r>
      <w:r>
        <w:rPr>
          <w:vertAlign w:val="superscript"/>
        </w:rPr>
        <w:t xml:space="preserve">{f=1}</w:t>
      </w:r>
      <w:r>
        <w:t xml:space="preserve">F {c}_{(f)}</w:t>
      </w:r>
      <w:r>
        <w:br/>
      </w:r>
      <w:r>
        <w:t xml:space="preserve">$</w:t>
      </w:r>
      <w:r>
        <w:br/>
      </w:r>
      <w:r>
        <w:t xml:space="preserve">Final estimate</w:t>
      </w:r>
      <w:r>
        <w:t xml:space="preserve"> </w:t>
      </w:r>
      <m:oMath>
        <m:acc>
          <m:accPr>
            <m:chr m:val="̂"/>
          </m:accPr>
          <m:e>
            <m:r>
              <m:t>c</m:t>
            </m:r>
          </m:e>
        </m:acc>
      </m:oMath>
    </w:p>
    <w:p>
      <w:pPr>
        <w:pStyle w:val="BodyText"/>
      </w:pPr>
      <w:r>
        <w:t xml:space="preserve">\section{Bayesian Optimization}</w:t>
      </w:r>
    </w:p>
    <w:p>
      <w:pPr>
        <w:pStyle w:val="BodyText"/>
      </w:pPr>
      <w:r>
        <w:t xml:space="preserve">We treat hyperparameter tuning as a black-box optimization problem over a</w:t>
      </w:r>
      <w:r>
        <w:t xml:space="preserve"> </w:t>
      </w:r>
      <w:r>
        <w:t xml:space="preserve">bounded domain. Let</w:t>
      </w:r>
      <w:r>
        <w:t xml:space="preserve"> </w:t>
      </w:r>
      <m:oMath>
        <m:r>
          <m:t>θ</m:t>
        </m:r>
      </m:oMath>
      <w:r>
        <w:t xml:space="preserve"> </w:t>
      </w:r>
      <w:r>
        <w:t xml:space="preserve">collect the tuned parameters (at minimum</w:t>
      </w:r>
      <w:r>
        <w:t xml:space="preserve"> </w:t>
      </w:r>
      <m:oMath>
        <m:r>
          <m:t>θ</m:t>
        </m:r>
        <m:r>
          <m:rPr>
            <m:sty m:val="p"/>
          </m:rPr>
          <m:t>=</m:t>
        </m:r>
        <m:d>
          <m:dPr>
            <m:begChr m:val="("/>
            <m:endChr m:val=")"/>
            <m:sepChr m:val=""/>
            <m:grow/>
          </m:dPr>
          <m:e>
            <m:r>
              <m:t>k</m:t>
            </m:r>
            <m:r>
              <m:rPr>
                <m:sty m:val="p"/>
              </m:rPr>
              <m:t>,</m:t>
            </m:r>
            <m:r>
              <m:t>α</m:t>
            </m:r>
            <m:r>
              <m:rPr>
                <m:sty m:val="p"/>
              </m:rPr>
              <m:t>,</m:t>
            </m:r>
            <m:r>
              <m:t>λ</m:t>
            </m:r>
            <m:r>
              <m:rPr>
                <m:sty m:val="p"/>
              </m:rPr>
              <m:t>,</m:t>
            </m:r>
            <m:r>
              <m:t>ξ</m:t>
            </m:r>
          </m:e>
        </m:d>
      </m:oMath>
      <w:r>
        <w:t xml:space="preserve">, and optionally discrete choices</w:t>
      </w:r>
      <w:r>
        <w:t xml:space="preserve"> </w:t>
      </w:r>
      <w:r>
        <w:t xml:space="preserve">such as the signature size</w:t>
      </w:r>
      <w:r>
        <w:t xml:space="preserve"> </w:t>
      </w:r>
      <m:oMath>
        <m:sSub>
          <m:e>
            <m:r>
              <m:t>n</m:t>
            </m:r>
          </m:e>
          <m:sub>
            <m:r>
              <m:rPr>
                <m:nor/>
                <m:sty m:val="p"/>
              </m:rPr>
              <m:t>top</m:t>
            </m:r>
          </m:sub>
        </m:sSub>
      </m:oMath>
      <w:r>
        <w:t xml:space="preserve">). For a given</w:t>
      </w:r>
      <w:r>
        <w:t xml:space="preserve"> </w:t>
      </w:r>
      <m:oMath>
        <m:r>
          <m:t>θ</m:t>
        </m:r>
      </m:oMath>
      <w:r>
        <w:t xml:space="preserve"> </w:t>
      </w:r>
      <w:r>
        <w:t xml:space="preserve">we run the</w:t>
      </w:r>
      <w:r>
        <w:t xml:space="preserve"> </w:t>
      </w:r>
      <w:r>
        <w:t xml:space="preserve">cross-validation procedure in Algorithm [alg:cv], averaging the c-index</w:t>
      </w:r>
      <w:r>
        <w:t xml:space="preserve"> </w:t>
      </w:r>
      <w:r>
        <w:t xml:space="preserve">across folds and random initializations to form the objective</w:t>
      </w:r>
      <w:r>
        <w:t xml:space="preserve"> </w:t>
      </w:r>
      <w:r>
        <w:t xml:space="preserve">[</w:t>
      </w:r>
      <w:r>
        <w:t xml:space="preserve"> </w:t>
      </w:r>
      <w:r>
        <w:t xml:space="preserve">\hat{c}(\theta) = \frac{1}{F} \sum_{f=1}^F \hat{c}_{(f)}(\theta).</w:t>
      </w:r>
      <w:r>
        <w:t xml:space="preserve"> </w:t>
      </w:r>
      <w:r>
        <w:t xml:space="preserve">]</w:t>
      </w:r>
      <w:r>
        <w:t xml:space="preserve"> </w:t>
      </w:r>
      <w:r>
        <w:t xml:space="preserve">Because</w:t>
      </w:r>
      <w:r>
        <w:t xml:space="preserve"> </w:t>
      </w:r>
      <m:oMath>
        <m:acc>
          <m:accPr>
            <m:chr m:val="̂"/>
          </m:accPr>
          <m:e>
            <m:r>
              <m:t>c</m:t>
            </m:r>
          </m:e>
        </m:acc>
        <m:d>
          <m:dPr>
            <m:begChr m:val="("/>
            <m:endChr m:val=")"/>
            <m:sepChr m:val=""/>
            <m:grow/>
          </m:dPr>
          <m:e>
            <m:r>
              <m:t>θ</m:t>
            </m:r>
          </m:e>
        </m:d>
      </m:oMath>
      <w:r>
        <w:t xml:space="preserve"> </w:t>
      </w:r>
      <w:r>
        <w:t xml:space="preserve">is expensive to evaluate and non-differentiable with</w:t>
      </w:r>
      <w:r>
        <w:t xml:space="preserve"> </w:t>
      </w:r>
      <w:r>
        <w:t xml:space="preserve">respect to</w:t>
      </w:r>
      <w:r>
        <w:t xml:space="preserve"> </w:t>
      </w:r>
      <m:oMath>
        <m:r>
          <m:t>θ</m:t>
        </m:r>
      </m:oMath>
      <w:r>
        <w:t xml:space="preserve">, we use Bayesian optimization (BO) to adaptively select</w:t>
      </w:r>
      <w:r>
        <w:t xml:space="preserve"> </w:t>
      </w:r>
      <w:r>
        <w:t xml:space="preserve">candidate configurations.</w:t>
      </w:r>
    </w:p>
    <w:p>
      <w:pPr>
        <w:pStyle w:val="BodyText"/>
      </w:pPr>
      <w:r>
        <w:t xml:space="preserve">We place a Gaussian-process (GP) prior on the response surface</w:t>
      </w:r>
      <w:r>
        <w:t xml:space="preserve"> </w:t>
      </w:r>
      <m:oMath>
        <m:r>
          <m:t>f</m:t>
        </m:r>
        <m:d>
          <m:dPr>
            <m:begChr m:val="("/>
            <m:endChr m:val=")"/>
            <m:sepChr m:val=""/>
            <m:grow/>
          </m:dPr>
          <m:e>
            <m:r>
              <m:t>θ</m:t>
            </m:r>
          </m:e>
        </m:d>
        <m:r>
          <m:rPr>
            <m:sty m:val="p"/>
          </m:rPr>
          <m:t>∼</m:t>
        </m:r>
        <m:r>
          <m:rPr>
            <m:sty m:val="p"/>
            <m:scr m:val="script"/>
          </m:rPr>
          <m:t>G</m:t>
        </m:r>
        <m:r>
          <m:rPr>
            <m:sty m:val="p"/>
            <m:scr m:val="script"/>
          </m:rPr>
          <m:t>P</m:t>
        </m:r>
        <m:d>
          <m:dPr>
            <m:begChr m:val="("/>
            <m:endChr m:val=")"/>
            <m:sepChr m:val=""/>
            <m:grow/>
          </m:dPr>
          <m:e>
            <m:r>
              <m:t>0</m:t>
            </m:r>
            <m:r>
              <m:rPr>
                <m:sty m:val="p"/>
              </m:rPr>
              <m:t>,</m:t>
            </m:r>
            <m:r>
              <m:t>k</m:t>
            </m:r>
            <m:d>
              <m:dPr>
                <m:begChr m:val="("/>
                <m:endChr m:val=")"/>
                <m:sepChr m:val=""/>
                <m:grow/>
              </m:dPr>
              <m:e>
                <m:r>
                  <m:t>θ</m:t>
                </m:r>
                <m:r>
                  <m:rPr>
                    <m:sty m:val="p"/>
                  </m:rPr>
                  <m:t>,</m:t>
                </m:r>
                <m:r>
                  <m:t>θ</m:t>
                </m:r>
                <m:r>
                  <m:rPr>
                    <m:sty m:val="p"/>
                  </m:rPr>
                  <m:t>′</m:t>
                </m:r>
              </m:e>
            </m:d>
          </m:e>
        </m:d>
      </m:oMath>
      <w:r>
        <w:t xml:space="preserve"> </w:t>
      </w:r>
      <w:r>
        <w:t xml:space="preserve">with a Mat'ern kernel and</w:t>
      </w:r>
      <w:r>
        <w:t xml:space="preserve"> </w:t>
      </w:r>
      <w:r>
        <w:t xml:space="preserve">automatic relevance determination length-scales. Continuous parameters are</w:t>
      </w:r>
      <w:r>
        <w:t xml:space="preserve"> </w:t>
      </w:r>
      <w:r>
        <w:t xml:space="preserve">rescaled to</w:t>
      </w:r>
      <w:r>
        <w:t xml:space="preserve"> </w:t>
      </w:r>
      <m:oMath>
        <m:d>
          <m:dPr>
            <m:begChr m:val="["/>
            <m:endChr m:val="]"/>
            <m:sepChr m:val=""/>
            <m:grow/>
          </m:dPr>
          <m:e>
            <m:r>
              <m:t>0</m:t>
            </m:r>
            <m:r>
              <m:rPr>
                <m:sty m:val="p"/>
              </m:rPr>
              <m:t>,</m:t>
            </m:r>
            <m:r>
              <m:t>1</m:t>
            </m:r>
          </m:e>
        </m:d>
      </m:oMath>
      <w:r>
        <w:t xml:space="preserve"> </w:t>
      </w:r>
      <w:r>
        <w:t xml:space="preserve">and penalties are optimized on a log scale; integer-valued</w:t>
      </w:r>
      <w:r>
        <w:t xml:space="preserve"> </w:t>
      </w:r>
      <w:r>
        <w:t xml:space="preserve">coordinates (e.g.,</w:t>
      </w:r>
      <w:r>
        <w:t xml:space="preserve"> </w:t>
      </w:r>
      <m:oMath>
        <m:r>
          <m:t>k</m:t>
        </m:r>
      </m:oMath>
      <w:r>
        <w:t xml:space="preserve"> </w:t>
      </w:r>
      <w:r>
        <w:t xml:space="preserve">or</w:t>
      </w:r>
      <w:r>
        <w:t xml:space="preserve"> </w:t>
      </w:r>
      <m:oMath>
        <m:sSub>
          <m:e>
            <m:r>
              <m:t>n</m:t>
            </m:r>
          </m:e>
          <m:sub>
            <m:r>
              <m:rPr>
                <m:nor/>
                <m:sty m:val="p"/>
              </m:rPr>
              <m:t>top</m:t>
            </m:r>
          </m:sub>
        </m:sSub>
      </m:oMath>
      <w:r>
        <w:t xml:space="preserve">) are proposed in the continuous</w:t>
      </w:r>
      <w:r>
        <w:t xml:space="preserve"> </w:t>
      </w:r>
      <w:r>
        <w:t xml:space="preserve">space and rounded inside the evaluator. After an initial batch of evaluations,</w:t>
      </w:r>
      <w:r>
        <w:t xml:space="preserve"> </w:t>
      </w:r>
      <w:r>
        <w:t xml:space="preserve">the GP is refit after each new observation and used to guide acquisition.</w:t>
      </w:r>
    </w:p>
    <w:p>
      <w:pPr>
        <w:pStyle w:val="BodyText"/>
      </w:pPr>
      <w:r>
        <w:t xml:space="preserve">At iteration</w:t>
      </w:r>
      <w:r>
        <w:t xml:space="preserve"> </w:t>
      </w:r>
      <m:oMath>
        <m:r>
          <m:t>t</m:t>
        </m:r>
      </m:oMath>
      <w:r>
        <w:t xml:space="preserve">, let</w:t>
      </w:r>
      <w:r>
        <w:t xml:space="preserve"> </w:t>
      </w:r>
      <m:oMath>
        <m:sSub>
          <m:e>
            <m:r>
              <m:t>μ</m:t>
            </m:r>
          </m:e>
          <m:sub>
            <m:r>
              <m:t>t</m:t>
            </m:r>
          </m:sub>
        </m:sSub>
        <m:d>
          <m:dPr>
            <m:begChr m:val="("/>
            <m:endChr m:val=")"/>
            <m:sepChr m:val=""/>
            <m:grow/>
          </m:dPr>
          <m:e>
            <m:r>
              <m:t>θ</m:t>
            </m:r>
          </m:e>
        </m:d>
      </m:oMath>
      <w:r>
        <w:t xml:space="preserve"> </w:t>
      </w:r>
      <w:r>
        <w:t xml:space="preserve">and</w:t>
      </w:r>
      <w:r>
        <w:t xml:space="preserve"> </w:t>
      </w:r>
      <m:oMath>
        <m:sSub>
          <m:e>
            <m:r>
              <m:t>σ</m:t>
            </m:r>
          </m:e>
          <m:sub>
            <m:r>
              <m:t>t</m:t>
            </m:r>
          </m:sub>
        </m:sSub>
        <m:d>
          <m:dPr>
            <m:begChr m:val="("/>
            <m:endChr m:val=")"/>
            <m:sepChr m:val=""/>
            <m:grow/>
          </m:dPr>
          <m:e>
            <m:r>
              <m:t>θ</m:t>
            </m:r>
          </m:e>
        </m:d>
      </m:oMath>
      <w:r>
        <w:t xml:space="preserve"> </w:t>
      </w:r>
      <w:r>
        <w:t xml:space="preserve">denote the GP</w:t>
      </w:r>
      <w:r>
        <w:t xml:space="preserve"> </w:t>
      </w:r>
      <w:r>
        <w:t xml:space="preserve">posterior mean and standard deviation, and let</w:t>
      </w:r>
      <w:r>
        <w:t xml:space="preserve"> </w:t>
      </w:r>
      <m:oMath>
        <m:sSub>
          <m:e>
            <m:r>
              <m:t>f</m:t>
            </m:r>
          </m:e>
          <m:sub>
            <m:r>
              <m:rPr>
                <m:sty m:val="p"/>
              </m:rPr>
              <m:t>⋆</m:t>
            </m:r>
          </m:sub>
        </m:sSub>
      </m:oMath>
      <w:r>
        <w:t xml:space="preserve"> </w:t>
      </w:r>
      <w:r>
        <w:t xml:space="preserve">be the best observed</w:t>
      </w:r>
      <w:r>
        <w:t xml:space="preserve"> </w:t>
      </w:r>
      <w:r>
        <w:t xml:space="preserve">score. We select new candidates by maximizing expected improvement (EI),</w:t>
      </w:r>
      <w:r>
        <w:t xml:space="preserve"> </w:t>
      </w:r>
      <w:r>
        <w:t xml:space="preserve">[</w:t>
      </w:r>
      <w:r>
        <w:t xml:space="preserve"> </w:t>
      </w:r>
      <w:r>
        <w:t xml:space="preserve">\operatorname{EI}(\theta) =</w:t>
      </w:r>
      <w:r>
        <w:t xml:space="preserve"> </w:t>
      </w:r>
      <w:r>
        <w:t xml:space="preserve">\left(\mu_t(\theta) - f_\star - \kappa\right)\Phi(Z(\theta))</w:t>
      </w:r>
      <w:r>
        <w:t xml:space="preserve"> </w:t>
      </w:r>
      <w:r>
        <w:t xml:space="preserve">+ \sigma_t(\theta)\phi(Z(\theta)),</w:t>
      </w:r>
      <w:r>
        <w:t xml:space="preserve"> </w:t>
      </w:r>
      <w:r>
        <w:t xml:space="preserve">\quad</w:t>
      </w:r>
      <w:r>
        <w:t xml:space="preserve"> </w:t>
      </w:r>
      <w:r>
        <w:t xml:space="preserve">Z(\theta) = \frac{\mu_t(\theta) - f_\star - \kappa}{\sigma_t(\theta)},</w:t>
      </w:r>
      <w:r>
        <w:t xml:space="preserve"> </w:t>
      </w:r>
      <w:r>
        <w:t xml:space="preserve">]</w:t>
      </w:r>
      <w:r>
        <w:t xml:space="preserve"> </w:t>
      </w:r>
      <w:r>
        <w:t xml:space="preserve">where</w:t>
      </w:r>
      <w:r>
        <w:t xml:space="preserve"> </w:t>
      </w:r>
      <m:oMath>
        <m:r>
          <m:t>Φ</m:t>
        </m:r>
      </m:oMath>
      <w:r>
        <w:t xml:space="preserve"> </w:t>
      </w:r>
      <w:r>
        <w:t xml:space="preserve">and</w:t>
      </w:r>
      <w:r>
        <w:t xml:space="preserve"> </w:t>
      </w:r>
      <m:oMath>
        <m:r>
          <m:t>ϕ</m:t>
        </m:r>
      </m:oMath>
      <w:r>
        <w:t xml:space="preserve"> </w:t>
      </w:r>
      <w:r>
        <w:t xml:space="preserve">are the standard normal cdf/pdf and</w:t>
      </w:r>
      <w:r>
        <w:t xml:space="preserve"> </w:t>
      </w:r>
      <m:oMath>
        <m:r>
          <m:t>κ</m:t>
        </m:r>
        <m:r>
          <m:rPr>
            <m:sty m:val="p"/>
          </m:rPr>
          <m:t>≥</m:t>
        </m:r>
        <m:r>
          <m:t>0</m:t>
        </m:r>
      </m:oMath>
      <w:r>
        <w:t xml:space="preserve"> </w:t>
      </w:r>
      <w:r>
        <w:t xml:space="preserve">controls the exploration margin. EI is evaluated over a candidate pool sampled</w:t>
      </w:r>
      <w:r>
        <w:t xml:space="preserve"> </w:t>
      </w:r>
      <w:r>
        <w:t xml:space="preserve">from the bounded search region, and the maximizer is evaluated next. The loop</w:t>
      </w:r>
      <w:r>
        <w:t xml:space="preserve"> </w:t>
      </w:r>
      <w:r>
        <w:t xml:space="preserve">continues until the iteration budget is exhausted or the improvement plateaus.</w:t>
      </w:r>
    </w:p>
    <w:p>
      <w:pPr>
        <w:pStyle w:val="BodyText"/>
      </w:pPr>
      <w:r>
        <w:t xml:space="preserve">For the PDAC application, the objective was the mean 5-fold cross-validated</w:t>
      </w:r>
      <w:r>
        <w:t xml:space="preserve"> </w:t>
      </w:r>
      <w:r>
        <w:t xml:space="preserve">Harrell C-index (Algorithm [alg:cv]), with folds stratified by cohort under</w:t>
      </w:r>
      <w:r>
        <w:t xml:space="preserve"> </w:t>
      </w:r>
      <w:r>
        <w:t xml:space="preserve">a fixed seed (123); each configuration was evaluated from 30 random</w:t>
      </w:r>
      <w:r>
        <w:t xml:space="preserve"> </w:t>
      </w:r>
      <w:r>
        <w:t xml:space="preserve">initializations and its C-index averaged across them. The bounded search domain</w:t>
      </w:r>
      <w:r>
        <w:t xml:space="preserve"> </w:t>
      </w:r>
      <w:r>
        <w:t xml:space="preserve">was</w:t>
      </w:r>
      <w:r>
        <w:t xml:space="preserve"> </w:t>
      </w:r>
      <m:oMath>
        <m:r>
          <m:t>k</m:t>
        </m:r>
        <m:r>
          <m:rPr>
            <m:sty m:val="p"/>
          </m:rPr>
          <m:t>∈</m:t>
        </m:r>
        <m:d>
          <m:dPr>
            <m:begChr m:val="["/>
            <m:endChr m:val="]"/>
            <m:sepChr m:val=""/>
            <m:grow/>
          </m:dPr>
          <m:e>
            <m:r>
              <m:t>2</m:t>
            </m:r>
            <m:r>
              <m:rPr>
                <m:sty m:val="p"/>
              </m:rPr>
              <m:t>,</m:t>
            </m:r>
            <m:r>
              <m:t>12</m:t>
            </m:r>
          </m:e>
        </m:d>
      </m:oMath>
      <w:r>
        <w:t xml:space="preserve">,</w:t>
      </w:r>
      <w:r>
        <w:t xml:space="preserve"> </w:t>
      </w:r>
      <m:oMath>
        <m:r>
          <m:t>α</m:t>
        </m:r>
        <m:r>
          <m:rPr>
            <m:sty m:val="p"/>
          </m:rPr>
          <m:t>∈</m:t>
        </m:r>
        <m:d>
          <m:dPr>
            <m:begChr m:val="["/>
            <m:endChr m:val="]"/>
            <m:sepChr m:val=""/>
            <m:grow/>
          </m:dPr>
          <m:e>
            <m:r>
              <m:t>0</m:t>
            </m:r>
            <m:r>
              <m:rPr>
                <m:sty m:val="p"/>
              </m:rPr>
              <m:t>,</m:t>
            </m:r>
            <m:r>
              <m:t>1</m:t>
            </m:r>
          </m:e>
        </m:d>
      </m:oMath>
      <w:r>
        <w:t xml:space="preserve">,</w:t>
      </w:r>
      <w:r>
        <w:t xml:space="preserve"> </w:t>
      </w:r>
      <m:oMath>
        <m:r>
          <m:t>λ</m:t>
        </m:r>
        <m:r>
          <m:rPr>
            <m:sty m:val="p"/>
          </m:rPr>
          <m:t>∈</m:t>
        </m:r>
        <m:d>
          <m:dPr>
            <m:begChr m:val="["/>
            <m:endChr m:val="]"/>
            <m:sepChr m:val=""/>
            <m:grow/>
          </m:dPr>
          <m:e>
            <m:sSup>
              <m:e>
                <m:r>
                  <m:t>10</m:t>
                </m:r>
              </m:e>
              <m:sup>
                <m:r>
                  <m:rPr>
                    <m:sty m:val="p"/>
                  </m:rPr>
                  <m:t>−</m:t>
                </m:r>
                <m:r>
                  <m:t>3</m:t>
                </m:r>
              </m:sup>
            </m:sSup>
            <m:r>
              <m:rPr>
                <m:sty m:val="p"/>
              </m:rPr>
              <m:t>,</m:t>
            </m:r>
            <m:sSup>
              <m:e>
                <m:r>
                  <m:t>10</m:t>
                </m:r>
              </m:e>
              <m:sup>
                <m:r>
                  <m:t>3</m:t>
                </m:r>
              </m:sup>
            </m:sSup>
          </m:e>
        </m:d>
      </m:oMath>
      <w:r>
        <w:t xml:space="preserve"> </w:t>
      </w:r>
      <w:r>
        <w:t xml:space="preserve">(optimized on a</w:t>
      </w:r>
      <w:r>
        <w:t xml:space="preserve"> </w:t>
      </w:r>
      <m:oMath>
        <m:sSub>
          <m:e>
            <m:r>
              <m:rPr>
                <m:sty m:val="p"/>
              </m:rPr>
              <m:t>log</m:t>
            </m:r>
          </m:e>
          <m:sub>
            <m:r>
              <m:t>10</m:t>
            </m:r>
          </m:sub>
        </m:sSub>
      </m:oMath>
      <w:r>
        <w:t xml:space="preserve"> </w:t>
      </w:r>
      <w:r>
        <w:t xml:space="preserve">scale),</w:t>
      </w:r>
      <w:r>
        <w:t xml:space="preserve"> </w:t>
      </w:r>
      <m:oMath>
        <m:r>
          <m:t>ξ</m:t>
        </m:r>
        <m:r>
          <m:rPr>
            <m:sty m:val="p"/>
          </m:rPr>
          <m:t>∈</m:t>
        </m:r>
        <m:d>
          <m:dPr>
            <m:begChr m:val="["/>
            <m:endChr m:val="]"/>
            <m:sepChr m:val=""/>
            <m:grow/>
          </m:dPr>
          <m:e>
            <m:r>
              <m:t>0</m:t>
            </m:r>
            <m:r>
              <m:rPr>
                <m:sty m:val="p"/>
              </m:rPr>
              <m:t>,</m:t>
            </m:r>
            <m:r>
              <m:t>1</m:t>
            </m:r>
          </m:e>
        </m:d>
      </m:oMath>
      <w:r>
        <w:t xml:space="preserve">, and</w:t>
      </w:r>
      <w:r>
        <w:t xml:space="preserve"> </w:t>
      </w:r>
      <m:oMath>
        <m:sSub>
          <m:e>
            <m:r>
              <m:t>n</m:t>
            </m:r>
          </m:e>
          <m:sub>
            <m:r>
              <m:rPr>
                <m:nor/>
                <m:sty m:val="p"/>
              </m:rPr>
              <m:t>top</m:t>
            </m:r>
          </m:sub>
        </m:sSub>
        <m:r>
          <m:rPr>
            <m:sty m:val="p"/>
          </m:rPr>
          <m:t>∈</m:t>
        </m:r>
        <m:d>
          <m:dPr>
            <m:begChr m:val="["/>
            <m:endChr m:val="]"/>
            <m:sepChr m:val=""/>
            <m:grow/>
          </m:dPr>
          <m:e>
            <m:r>
              <m:t>50</m:t>
            </m:r>
            <m:r>
              <m:rPr>
                <m:sty m:val="p"/>
              </m:rPr>
              <m:t>,</m:t>
            </m:r>
            <m:r>
              <m:t>300</m:t>
            </m:r>
          </m:e>
        </m:d>
      </m:oMath>
      <w:r>
        <w:t xml:space="preserve">, with the loadings ridge penalty fixed at</w:t>
      </w:r>
      <w:r>
        <w:t xml:space="preserve"> </w:t>
      </w:r>
      <m:oMath>
        <m:sSub>
          <m:e>
            <m:r>
              <m:t>λ</m:t>
            </m:r>
          </m:e>
          <m:sub>
            <m:r>
              <m:t>H</m:t>
            </m:r>
          </m:sub>
        </m:sSub>
        <m:r>
          <m:rPr>
            <m:sty m:val="p"/>
          </m:rPr>
          <m:t>=</m:t>
        </m:r>
        <m:r>
          <m:t>0</m:t>
        </m:r>
      </m:oMath>
      <w:r>
        <w:t xml:space="preserve">. Bayesian optimization used an initial design of 50 evaluations</w:t>
      </w:r>
      <w:r>
        <w:t xml:space="preserve"> </w:t>
      </w:r>
      <w:r>
        <w:t xml:space="preserve">followed by 100 GP-guided iterations (150 total evaluations), maximizing</w:t>
      </w:r>
      <w:r>
        <w:t xml:space="preserve"> </w:t>
      </w:r>
      <w:r>
        <w:t xml:space="preserve">expected improvement over a candidate pool of</w:t>
      </w:r>
      <w:r>
        <w:t xml:space="preserve"> </w:t>
      </w:r>
      <m:oMath>
        <m:r>
          <m:t>4</m:t>
        </m:r>
        <m:r>
          <m:rPr>
            <m:sty m:val="p"/>
          </m:rPr>
          <m:t>,</m:t>
        </m:r>
        <m:r>
          <m:t>000</m:t>
        </m:r>
      </m:oMath>
      <w:r>
        <w:t xml:space="preserve"> </w:t>
      </w:r>
      <w:r>
        <w:t xml:space="preserve">points sampled from the</w:t>
      </w:r>
      <w:r>
        <w:t xml:space="preserve"> </w:t>
      </w:r>
      <w:r>
        <w:t xml:space="preserve">bounded domain at each step with an exploration margin</w:t>
      </w:r>
      <w:r>
        <w:t xml:space="preserve"> </w:t>
      </w:r>
      <m:oMath>
        <m:r>
          <m:t>κ</m:t>
        </m:r>
        <m:r>
          <m:rPr>
            <m:sty m:val="p"/>
          </m:rPr>
          <m:t>=</m:t>
        </m:r>
        <m:r>
          <m:t>0.01</m:t>
        </m:r>
      </m:oMath>
      <w:r>
        <w:t xml:space="preserve">. The</w:t>
      </w:r>
      <w:r>
        <w:t xml:space="preserve"> </w:t>
      </w:r>
      <w:r>
        <w:t xml:space="preserve">unsupervised comparator fixed</w:t>
      </w:r>
      <w:r>
        <w:t xml:space="preserve"> </w:t>
      </w:r>
      <m:oMath>
        <m:r>
          <m:t>α</m:t>
        </m:r>
        <m:r>
          <m:rPr>
            <m:sty m:val="p"/>
          </m:rPr>
          <m:t>=</m:t>
        </m:r>
        <m:r>
          <m:t>0</m:t>
        </m:r>
      </m:oMath>
      <w:r>
        <w:t xml:space="preserve"> </w:t>
      </w:r>
      <w:r>
        <w:t xml:space="preserve">and tuned the remaining coordinates</w:t>
      </w:r>
      <w:r>
        <w:t xml:space="preserve"> </w:t>
      </w:r>
      <w:r>
        <w:t xml:space="preserve">identically.</w:t>
      </w:r>
    </w:p>
    <w:p>
      <w:pPr>
        <w:pStyle w:val="BodyText"/>
      </w:pPr>
      <w:r>
        <w:t xml:space="preserve">For model selection, we take the highest observed</w:t>
      </w:r>
      <w:r>
        <w:t xml:space="preserve"> </w:t>
      </w:r>
      <m:oMath>
        <m:acc>
          <m:accPr>
            <m:chr m:val="̂"/>
          </m:accPr>
          <m:e>
            <m:r>
              <m:t>c</m:t>
            </m:r>
          </m:e>
        </m:acc>
        <m:d>
          <m:dPr>
            <m:begChr m:val="("/>
            <m:endChr m:val=")"/>
            <m:sepChr m:val=""/>
            <m:grow/>
          </m:dPr>
          <m:e>
            <m:r>
              <m:t>θ</m:t>
            </m:r>
          </m:e>
        </m:d>
      </m:oMath>
      <w:r>
        <w:t xml:space="preserve"> </w:t>
      </w:r>
      <w:r>
        <w:t xml:space="preserve">as the</w:t>
      </w:r>
      <w:r>
        <w:t xml:space="preserve"> </w:t>
      </w:r>
      <w:r>
        <w:t xml:space="preserve">optimal configuration. When fold-level standard errors are available, we apply</w:t>
      </w:r>
      <w:r>
        <w:t xml:space="preserve"> </w:t>
      </w:r>
      <w:r>
        <w:t xml:space="preserve">a one-standard-error rule for</w:t>
      </w:r>
      <w:r>
        <w:t xml:space="preserve"> </w:t>
      </w:r>
      <m:oMath>
        <m:r>
          <m:t>k</m:t>
        </m:r>
      </m:oMath>
      <w:r>
        <w:t xml:space="preserve">, selecting the smallest rank whose mean</w:t>
      </w:r>
      <w:r>
        <w:t xml:space="preserve"> </w:t>
      </w:r>
      <w:r>
        <w:t xml:space="preserve">performance lies within one standard error of the best. The final DeSurv model</w:t>
      </w:r>
      <w:r>
        <w:t xml:space="preserve"> </w:t>
      </w:r>
      <w:r>
        <w:t xml:space="preserve">is refit at the selected parameters using the consensus-based initialization</w:t>
      </w:r>
      <w:r>
        <w:t xml:space="preserve"> </w:t>
      </w:r>
      <w:r>
        <w:t xml:space="preserve">described above, and the BO-chosen</w:t>
      </w:r>
      <w:r>
        <w:t xml:space="preserve"> </w:t>
      </w:r>
      <m:oMath>
        <m:sSub>
          <m:e>
            <m:r>
              <m:t>n</m:t>
            </m:r>
          </m:e>
          <m:sub>
            <m:r>
              <m:rPr>
                <m:nor/>
                <m:sty m:val="p"/>
              </m:rPr>
              <m:t>top</m:t>
            </m:r>
          </m:sub>
        </m:sSub>
      </m:oMath>
      <w:r>
        <w:t xml:space="preserve"> </w:t>
      </w:r>
      <w:r>
        <w:t xml:space="preserve">(when tuned) is used to</w:t>
      </w:r>
      <w:r>
        <w:t xml:space="preserve"> </w:t>
      </w:r>
      <w:r>
        <w:t xml:space="preserve">truncate each program for downstream analysis.</w:t>
      </w:r>
    </w:p>
    <w:p>
      <w:pPr>
        <w:pStyle w:val="BodyText"/>
      </w:pPr>
      <w:r>
        <w:t xml:space="preserve">The parameter</w:t>
      </w:r>
      <w:r>
        <w:t xml:space="preserve"> </w:t>
      </w:r>
      <m:oMath>
        <m:sSub>
          <m:e>
            <m:r>
              <m:t>n</m:t>
            </m:r>
          </m:e>
          <m:sub>
            <m:r>
              <m:rPr>
                <m:nor/>
                <m:sty m:val="p"/>
              </m:rPr>
              <m:t>top</m:t>
            </m:r>
          </m:sub>
        </m:sSub>
      </m:oMath>
      <w:r>
        <w:t xml:space="preserve"> </w:t>
      </w:r>
      <w:r>
        <w:t xml:space="preserve">controls which genes enter the survival linear predictor. After factorization, each sample’s score for factor</w:t>
      </w:r>
      <w:r>
        <w:t xml:space="preserve"> </w:t>
      </w:r>
      <m:oMath>
        <m:r>
          <m:t>j</m:t>
        </m:r>
      </m:oMath>
      <w:r>
        <w:t xml:space="preserve"> </w:t>
      </w:r>
      <w:r>
        <w:t xml:space="preserve">is computed as</w:t>
      </w:r>
      <w:r>
        <w:t xml:space="preserve"> </w:t>
      </w:r>
      <m:oMath>
        <m:sSubSup>
          <m:e>
            <m:acc>
              <m:accPr>
                <m:chr m:val="̃"/>
              </m:accPr>
              <m:e>
                <m:r>
                  <m:t>W</m:t>
                </m:r>
              </m:e>
            </m:acc>
          </m:e>
          <m:sub>
            <m:r>
              <m:t>j</m:t>
            </m:r>
          </m:sub>
          <m:sup>
            <m:r>
              <m:rPr>
                <m:sty m:val="p"/>
              </m:rPr>
              <m:t>⊤</m:t>
            </m:r>
          </m:sup>
        </m:sSubSup>
        <m:r>
          <m:t>x</m:t>
        </m:r>
      </m:oMath>
      <w:r>
        <w:t xml:space="preserve">, where</w:t>
      </w:r>
      <w:r>
        <w:t xml:space="preserve"> </w:t>
      </w:r>
      <m:oMath>
        <m:sSub>
          <m:e>
            <m:acc>
              <m:accPr>
                <m:chr m:val="̃"/>
              </m:accPr>
              <m:e>
                <m:r>
                  <m:t>W</m:t>
                </m:r>
              </m:e>
            </m:acc>
          </m:e>
          <m:sub>
            <m:r>
              <m:t>j</m:t>
            </m:r>
          </m:sub>
        </m:sSub>
      </m:oMath>
      <w:r>
        <w:t xml:space="preserve"> </w:t>
      </w:r>
      <w:r>
        <w:t xml:space="preserve">retains only the</w:t>
      </w:r>
      <w:r>
        <w:t xml:space="preserve"> </w:t>
      </w:r>
      <m:oMath>
        <m:sSub>
          <m:e>
            <m:r>
              <m:t>n</m:t>
            </m:r>
          </m:e>
          <m:sub>
            <m:r>
              <m:rPr>
                <m:nor/>
                <m:sty m:val="p"/>
              </m:rPr>
              <m:t>top</m:t>
            </m:r>
          </m:sub>
        </m:sSub>
      </m:oMath>
      <w:r>
        <w:t xml:space="preserve"> </w:t>
      </w:r>
      <w:r>
        <w:t xml:space="preserve">genes with the largest factor-specificity scores</w:t>
      </w:r>
      <w:r>
        <w:t xml:space="preserve"> </w:t>
      </w:r>
      <m:oMath>
        <m:sSub>
          <m:e>
            <m:r>
              <m:t>s</m:t>
            </m:r>
          </m:e>
          <m:sub>
            <m:r>
              <m:t>i</m:t>
            </m:r>
            <m:r>
              <m:t>j</m:t>
            </m:r>
          </m:sub>
        </m:sSub>
      </m:oMath>
      <w:r>
        <w:t xml:space="preserve"> </w:t>
      </w:r>
      <w:r>
        <w:t xml:space="preserve">(Supplementary Information, Section [sec:gene-program-correlation]); genes outside this set still shape the factorization but do not enter the linear predictor. BO selects</w:t>
      </w:r>
      <w:r>
        <w:t xml:space="preserve"> </w:t>
      </w:r>
      <m:oMath>
        <m:sSub>
          <m:e>
            <m:r>
              <m:t>n</m:t>
            </m:r>
          </m:e>
          <m:sub>
            <m:r>
              <m:rPr>
                <m:nor/>
                <m:sty m:val="p"/>
              </m:rPr>
              <m:t>top</m:t>
            </m:r>
          </m:sub>
        </m:sSub>
      </m:oMath>
      <w:r>
        <w:t xml:space="preserve"> </w:t>
      </w:r>
      <w:r>
        <w:t xml:space="preserve">jointly with</w:t>
      </w:r>
      <w:r>
        <w:t xml:space="preserve"> </w:t>
      </w:r>
      <m:oMath>
        <m:r>
          <m:t>k</m:t>
        </m:r>
      </m:oMath>
      <w:r>
        <w:t xml:space="preserve">,</w:t>
      </w:r>
      <w:r>
        <w:t xml:space="preserve"> </w:t>
      </w:r>
      <m:oMath>
        <m:r>
          <m:t>α</m:t>
        </m:r>
      </m:oMath>
      <w:r>
        <w:t xml:space="preserve">,</w:t>
      </w:r>
      <w:r>
        <w:t xml:space="preserve"> </w:t>
      </w:r>
      <m:oMath>
        <m:r>
          <m:t>λ</m:t>
        </m:r>
      </m:oMath>
      <w:r>
        <w:t xml:space="preserve">, and</w:t>
      </w:r>
      <w:r>
        <w:t xml:space="preserve"> </w:t>
      </w:r>
      <m:oMath>
        <m:r>
          <m:t>ξ</m:t>
        </m:r>
      </m:oMath>
      <w:r>
        <w:t xml:space="preserve"> </w:t>
      </w:r>
      <w:r>
        <w:t xml:space="preserve">by optimizing cross-validated C-index. When</w:t>
      </w:r>
      <w:r>
        <w:t xml:space="preserve"> </w:t>
      </w:r>
      <m:oMath>
        <m:r>
          <m:t>α</m:t>
        </m:r>
        <m:r>
          <m:rPr>
            <m:sty m:val="p"/>
          </m:rPr>
          <m:t>=</m:t>
        </m:r>
        <m:r>
          <m:t>0</m:t>
        </m:r>
      </m:oMath>
      <w:r>
        <w:t xml:space="preserve"> </w:t>
      </w:r>
      <w:r>
        <w:t xml:space="preserve">(no survival supervision), gene selection and survival outcomes are decoupled.</w:t>
      </w:r>
    </w:p>
    <w:p>
      <w:pPr>
        <w:pStyle w:val="BodyText"/>
      </w:pPr>
      <w:r>
        <w:t xml:space="preserve">Supplementary Fig. [fig:fig-si-bo-tuning] illustrates the tuned response surface for the two most influential coordinates in the PDAC training cohort: the cross-validated C-index over factorization rank</w:t>
      </w:r>
      <w:r>
        <w:t xml:space="preserve"> </w:t>
      </w:r>
      <m:oMath>
        <m:r>
          <m:t>k</m:t>
        </m:r>
      </m:oMath>
      <w:r>
        <w:t xml:space="preserve"> </w:t>
      </w:r>
      <w:r>
        <w:t xml:space="preserve">and supervision strength</w:t>
      </w:r>
      <w:r>
        <w:t xml:space="preserve"> </w:t>
      </w:r>
      <m:oMath>
        <m:r>
          <m:t>α</m:t>
        </m:r>
      </m:oMath>
      <w:r>
        <w:t xml:space="preserve">. Performance is maximized at intermediate supervision and moderate rank and degrades toward the unsupervised corner (</w:t>
      </w:r>
      <m:oMath>
        <m:r>
          <m:t>α</m:t>
        </m:r>
        <m:r>
          <m:rPr>
            <m:sty m:val="p"/>
          </m:rPr>
          <m:t>=</m:t>
        </m:r>
        <m:r>
          <m:t>0</m:t>
        </m:r>
      </m:oMath>
      <w:r>
        <w:t xml:space="preserve">), consistent with a benefit of survival supervision; this is an empirical model-selection sensitivity surface, not a simulation result.</w:t>
      </w:r>
    </w:p>
    <w:p>
      <w:pPr>
        <w:pStyle w:val="BodyText"/>
      </w:pPr>
      <w:r>
        <w:drawing>
          <wp:inline>
            <wp:extent cx="5183131" cy="4135477"/>
            <wp:effectExtent b="0" l="0" r="0" t="0"/>
            <wp:docPr descr="" title="" id="21" name="Picture"/>
            <a:graphic>
              <a:graphicData uri="http://schemas.openxmlformats.org/drawingml/2006/picture">
                <pic:pic>
                  <pic:nvPicPr>
                    <pic:cNvPr descr=".docx_media/si_appendix_files_figure_latex_fig_si_bo_tuning_1.png" id="22" name="Picture"/>
                    <pic:cNvPicPr>
                      <a:picLocks noChangeArrowheads="1" noChangeAspect="1"/>
                    </pic:cNvPicPr>
                  </pic:nvPicPr>
                  <pic:blipFill>
                    <a:blip r:embed="rId20"/>
                    <a:stretch>
                      <a:fillRect/>
                    </a:stretch>
                  </pic:blipFill>
                  <pic:spPr bwMode="auto">
                    <a:xfrm>
                      <a:off x="0" y="0"/>
                      <a:ext cx="5183131" cy="4135477"/>
                    </a:xfrm>
                    <a:prstGeom prst="rect">
                      <a:avLst/>
                    </a:prstGeom>
                    <a:noFill/>
                    <a:ln w="9525">
                      <a:noFill/>
                      <a:headEnd/>
                      <a:tailEnd/>
                    </a:ln>
                  </pic:spPr>
                </pic:pic>
              </a:graphicData>
            </a:graphic>
          </wp:inline>
        </w:drawing>
      </w:r>
    </w:p>
    <w:p>
      <w:pPr>
        <w:pStyle w:val="BodyText"/>
      </w:pPr>
      <w:r>
        <w:rPr>
          <w:iCs/>
          <w:i/>
        </w:rPr>
        <w:t xml:space="preserve">Bayesian-optimization tuning surface for DeSurv in the PDAC training cohort (TCGA + CPTAC). Gaussian-process–predicted mean cross-validated C-index over factorization rank (</w:t>
      </w:r>
      <m:oMath>
        <m:r>
          <m:t>k</m:t>
        </m:r>
      </m:oMath>
      <w:r>
        <w:rPr>
          <w:iCs/>
          <w:i/>
        </w:rPr>
        <w:t xml:space="preserve">) and supervision strength (</w:t>
      </w:r>
      <m:oMath>
        <m:r>
          <m:t>α</m:t>
        </m:r>
      </m:oMath>
      <w:r>
        <w:rPr>
          <w:iCs/>
          <w:i/>
        </w:rPr>
        <w:t xml:space="preserve">;</w:t>
      </w:r>
      <w:r>
        <w:rPr>
          <w:iCs/>
          <w:i/>
        </w:rPr>
        <w:t xml:space="preserve"> </w:t>
      </w:r>
      <m:oMath>
        <m:r>
          <m:t>α</m:t>
        </m:r>
        <m:r>
          <m:rPr>
            <m:sty m:val="p"/>
          </m:rPr>
          <m:t>=</m:t>
        </m:r>
        <m:r>
          <m:t>0</m:t>
        </m:r>
      </m:oMath>
      <w:r>
        <w:rPr>
          <w:iCs/>
          <w:i/>
        </w:rPr>
        <w:t xml:space="preserve"> </w:t>
      </w:r>
      <w:r>
        <w:rPr>
          <w:iCs/>
          <w:i/>
        </w:rPr>
        <w:t xml:space="preserve">corresponds to standard NMF). The response surface shows a broad region of high cross-validated performance at intermediate supervision and moderate rank, with discrimination degrading toward the unsupervised (</w:t>
      </w:r>
      <m:oMath>
        <m:r>
          <m:t>α</m:t>
        </m:r>
        <m:r>
          <m:rPr>
            <m:sty m:val="p"/>
          </m:rPr>
          <m:t>=</m:t>
        </m:r>
        <m:r>
          <m:t>0</m:t>
        </m:r>
      </m:oMath>
      <w:r>
        <w:rPr>
          <w:iCs/>
          <w:i/>
        </w:rPr>
        <w:t xml:space="preserve">) boundary. This is empirical model-selection tuning on the training data, not a simulation result.</w:t>
      </w:r>
    </w:p>
    <w:p>
      <w:pPr>
        <w:pStyle w:val="BodyText"/>
      </w:pPr>
      <w:r>
        <w:t xml:space="preserve">\subsection{Consensus initialization for the final model}</w:t>
      </w:r>
    </w:p>
    <w:p>
      <w:pPr>
        <w:pStyle w:val="BodyText"/>
      </w:pPr>
      <w:r>
        <w:t xml:space="preserve">The final DeSurv model at the selected hyperparameters was initialized from a consensus of multiple independent runs to reduce sensitivity to random starts. We first fit</w:t>
      </w:r>
      <w:r>
        <w:t xml:space="preserve"> </w:t>
      </w:r>
      <m:oMath>
        <m:r>
          <m:t>R</m:t>
        </m:r>
        <m:r>
          <m:rPr>
            <m:sty m:val="p"/>
          </m:rPr>
          <m:t>=</m:t>
        </m:r>
        <m:r>
          <m:t>100</m:t>
        </m:r>
      </m:oMath>
      <w:r>
        <w:t xml:space="preserve"> </w:t>
      </w:r>
      <w:r>
        <w:t xml:space="preserve">DeSurv models to the training data from independent random nonnegative initializations at the selected</w:t>
      </w:r>
      <w:r>
        <w:t xml:space="preserve"> </w:t>
      </w:r>
      <m:oMath>
        <m:d>
          <m:dPr>
            <m:begChr m:val="("/>
            <m:endChr m:val=")"/>
            <m:sepChr m:val=""/>
            <m:grow/>
          </m:dPr>
          <m:e>
            <m:r>
              <m:t>k</m:t>
            </m:r>
            <m:r>
              <m:rPr>
                <m:sty m:val="p"/>
              </m:rPr>
              <m:t>,</m:t>
            </m:r>
            <m:r>
              <m:t>α</m:t>
            </m:r>
            <m:r>
              <m:rPr>
                <m:sty m:val="p"/>
              </m:rPr>
              <m:t>,</m:t>
            </m:r>
            <m:r>
              <m:t>λ</m:t>
            </m:r>
            <m:r>
              <m:rPr>
                <m:sty m:val="p"/>
              </m:rPr>
              <m:t>,</m:t>
            </m:r>
            <m:r>
              <m:t>ξ</m:t>
            </m:r>
            <m:r>
              <m:rPr>
                <m:sty m:val="p"/>
              </m:rPr>
              <m:t>,</m:t>
            </m:r>
            <m:sSub>
              <m:e>
                <m:r>
                  <m:t>n</m:t>
                </m:r>
              </m:e>
              <m:sub>
                <m:r>
                  <m:rPr>
                    <m:nor/>
                    <m:sty m:val="p"/>
                  </m:rPr>
                  <m:t>top</m:t>
                </m:r>
              </m:sub>
            </m:sSub>
          </m:e>
        </m:d>
      </m:oMath>
      <w:r>
        <w:t xml:space="preserve"> </w:t>
      </w:r>
      <w:r>
        <w:t xml:space="preserve">(seed 1–100). For each run, the top</w:t>
      </w:r>
      <w:r>
        <w:t xml:space="preserve"> </w:t>
      </w:r>
      <m:oMath>
        <m:sSub>
          <m:e>
            <m:r>
              <m:t>n</m:t>
            </m:r>
          </m:e>
          <m:sub>
            <m:r>
              <m:rPr>
                <m:nor/>
                <m:sty m:val="p"/>
              </m:rPr>
              <m:t>top</m:t>
            </m:r>
          </m:sub>
        </m:sSub>
      </m:oMath>
      <w:r>
        <w:t xml:space="preserve"> </w:t>
      </w:r>
      <w:r>
        <w:t xml:space="preserve">genes of every learned program were extracted by factor-specificity score, and a gene-by-gene consensus matrix was accumulated across runs, recording how often each pair of genes appeared together among the top genes of the same program. Genes appearing in the top sets of fewer than</w:t>
      </w:r>
      <w:r>
        <w:t xml:space="preserve"> </w:t>
      </w:r>
      <m:oMath>
        <m:r>
          <m:rPr>
            <m:sty m:val="p"/>
          </m:rPr>
          <m:t>⌈</m:t>
        </m:r>
        <m:r>
          <m:t>0.3</m:t>
        </m:r>
        <m:r>
          <m:t>R</m:t>
        </m:r>
        <m:r>
          <m:rPr>
            <m:sty m:val="p"/>
          </m:rPr>
          <m:t>⌉</m:t>
        </m:r>
      </m:oMath>
      <w:r>
        <w:t xml:space="preserve"> </w:t>
      </w:r>
      <w:r>
        <w:t xml:space="preserve">of the</w:t>
      </w:r>
      <w:r>
        <w:t xml:space="preserve"> </w:t>
      </w:r>
      <m:oMath>
        <m:r>
          <m:t>R</m:t>
        </m:r>
      </m:oMath>
      <w:r>
        <w:t xml:space="preserve"> </w:t>
      </w:r>
      <w:r>
        <w:t xml:space="preserve">runs were treated as inactive and excluded from clustering. The consensus matrix over the remaining genes was partitioned into</w:t>
      </w:r>
      <w:r>
        <w:t xml:space="preserve"> </w:t>
      </w:r>
      <m:oMath>
        <m:r>
          <m:t>k</m:t>
        </m:r>
      </m:oMath>
      <w:r>
        <w:t xml:space="preserve"> </w:t>
      </w:r>
      <w:r>
        <w:t xml:space="preserve">groups by agglomerative hierarchical clustering (average linkage), and each cluster defined one column of the initial gene-program matrix</w:t>
      </w:r>
      <w:r>
        <w:t xml:space="preserve"> </w:t>
      </w:r>
      <m:oMath>
        <m:sSub>
          <m:e>
            <m:r>
              <m:t>W</m:t>
            </m:r>
          </m:e>
          <m:sub>
            <m:r>
              <m:t>0</m:t>
            </m:r>
          </m:sub>
        </m:sSub>
      </m:oMath>
      <w:r>
        <w:t xml:space="preserve">; inactive genes and otherwise-empty entries were set to a small positive floor (</w:t>
      </w:r>
      <m:oMath>
        <m:rad>
          <m:radPr>
            <m:degHide m:val="on"/>
          </m:radPr>
          <m:deg/>
          <m:e>
            <m:sSub>
              <m:e>
                <m:r>
                  <m:t>ϵ</m:t>
                </m:r>
              </m:e>
              <m:sub>
                <m:r>
                  <m:rPr>
                    <m:nor/>
                    <m:sty m:val="p"/>
                  </m:rPr>
                  <m:t>mach</m:t>
                </m:r>
              </m:sub>
            </m:sSub>
          </m:e>
        </m:rad>
      </m:oMath>
      <w:r>
        <w:t xml:space="preserve">) to preserve strict positivity. The initial loadings</w:t>
      </w:r>
      <w:r>
        <w:t xml:space="preserve"> </w:t>
      </w:r>
      <m:oMath>
        <m:sSub>
          <m:e>
            <m:r>
              <m:t>H</m:t>
            </m:r>
          </m:e>
          <m:sub>
            <m:r>
              <m:t>0</m:t>
            </m:r>
          </m:sub>
        </m:sSub>
      </m:oMath>
      <w:r>
        <w:t xml:space="preserve"> </w:t>
      </w:r>
      <w:r>
        <w:t xml:space="preserve">were obtained by nonnegative least squares given</w:t>
      </w:r>
      <w:r>
        <w:t xml:space="preserve"> </w:t>
      </w:r>
      <m:oMath>
        <m:sSub>
          <m:e>
            <m:r>
              <m:t>W</m:t>
            </m:r>
          </m:e>
          <m:sub>
            <m:r>
              <m:t>0</m:t>
            </m:r>
          </m:sub>
        </m:sSub>
      </m:oMath>
      <w:r>
        <w:t xml:space="preserve"> </w:t>
      </w:r>
      <w:r>
        <w:t xml:space="preserve">and the training expression matrix, and the initial Cox coefficients</w:t>
      </w:r>
      <w:r>
        <w:t xml:space="preserve"> </w:t>
      </w:r>
      <m:oMath>
        <m:sSub>
          <m:e>
            <m:r>
              <m:t>β</m:t>
            </m:r>
          </m:e>
          <m:sub>
            <m:r>
              <m:t>0</m:t>
            </m:r>
          </m:sub>
        </m:sSub>
      </m:oMath>
      <w:r>
        <w:t xml:space="preserve"> </w:t>
      </w:r>
      <w:r>
        <w:t xml:space="preserve">were set to zero. This consensus seed used only training-cohort expression and was applied solely to initialize the single final refit after hyperparameter selection; it used no validation-cohort data and therefore introduced no information leakage.</w:t>
      </w:r>
    </w:p>
    <w:p>
      <w:pPr>
        <w:pStyle w:val="BodyText"/>
      </w:pPr>
      <w:r>
        <w:t xml:space="preserve">\section{PDAC Datasets}</w:t>
      </w:r>
    </w:p>
    <w:p>
      <w:pPr>
        <w:pStyle w:val="BodyText"/>
      </w:pPr>
      <w:r>
        <w:t xml:space="preserve">We analyzed PDAC cohorts from TCGA-PAAD and CPTAC-PDAC as training data</w:t>
      </w:r>
      <w:hyperlink w:anchor="ref-raphael2017integrated">
        <w:r>
          <w:rPr>
            <w:rStyle w:val="Hyperlink"/>
            <w:vertAlign w:val="superscript"/>
          </w:rPr>
          <w:t xml:space="preserve">11</w:t>
        </w:r>
      </w:hyperlink>
      <w:r>
        <w:rPr>
          <w:vertAlign w:val="superscript"/>
        </w:rPr>
        <w:t xml:space="preserve">,</w:t>
      </w:r>
      <w:hyperlink w:anchor="ref-cao2021proteogenomic">
        <w:r>
          <w:rPr>
            <w:rStyle w:val="Hyperlink"/>
            <w:vertAlign w:val="superscript"/>
          </w:rPr>
          <w:t xml:space="preserve">12</w:t>
        </w:r>
      </w:hyperlink>
      <w:r>
        <w:t xml:space="preserve">. External validation used</w:t>
      </w:r>
      <w:r>
        <w:t xml:space="preserve"> </w:t>
      </w:r>
      <w:r>
        <w:t xml:space="preserve">independent cohorts from Dijk, Moffitt, PACA-AU (array and RNA-seq), and Puleo</w:t>
      </w:r>
      <w:hyperlink w:anchor="ref-dijk2020unsupervised">
        <w:r>
          <w:rPr>
            <w:rStyle w:val="Hyperlink"/>
            <w:vertAlign w:val="superscript"/>
          </w:rPr>
          <w:t xml:space="preserve">13</w:t>
        </w:r>
      </w:hyperlink>
      <w:r>
        <w:rPr>
          <w:vertAlign w:val="superscript"/>
        </w:rPr>
        <w:t xml:space="preserve">–</w:t>
      </w:r>
      <w:hyperlink w:anchor="ref-puleo2018stratification">
        <w:r>
          <w:rPr>
            <w:rStyle w:val="Hyperlink"/>
            <w:vertAlign w:val="superscript"/>
          </w:rPr>
          <w:t xml:space="preserve">16</w:t>
        </w:r>
      </w:hyperlink>
      <w:r>
        <w:t xml:space="preserve">.</w:t>
      </w:r>
      <w:r>
        <w:t xml:space="preserve"> </w:t>
      </w:r>
      <w:r>
        <w:t xml:space="preserve">Training models were fit on the combined TCGA and CPTAC expression matrices</w:t>
      </w:r>
      <w:r>
        <w:t xml:space="preserve"> </w:t>
      </w:r>
      <w:r>
        <w:t xml:space="preserve">after harmonizing gene identifiers; validation datasets were processed with the</w:t>
      </w:r>
      <w:r>
        <w:t xml:space="preserve"> </w:t>
      </w:r>
      <w:r>
        <w:t xml:space="preserve">same gene set and transformations before projection, scoring and downstream validation analyses.</w:t>
      </w:r>
    </w:p>
    <w:p>
      <w:pPr>
        <w:pStyle w:val="BodyText"/>
      </w:pPr>
      <w:r>
        <w:t xml:space="preserve">Dataset-specific inclusion and preprocessing steps were as follows. For</w:t>
      </w:r>
      <w:r>
        <w:t xml:space="preserve"> </w:t>
      </w:r>
      <w:r>
        <w:t xml:space="preserve">TCGA-PAAD, we excluded samples lacking tumor grade and mapped features to gene</w:t>
      </w:r>
      <w:r>
        <w:t xml:space="preserve"> </w:t>
      </w:r>
      <w:r>
        <w:t xml:space="preserve">symbols. For CPTAC, we retained samples annotated as PDAC by histology. For</w:t>
      </w:r>
      <w:r>
        <w:t xml:space="preserve"> </w:t>
      </w:r>
      <w:r>
        <w:t xml:space="preserve">Dijk, all 90 samples passed quality-control filters and were retained. For</w:t>
      </w:r>
      <w:r>
        <w:t xml:space="preserve"> </w:t>
      </w:r>
      <w:r>
        <w:t xml:space="preserve">Moffitt, only primary tumor specimens were kept. For PACA-AU array and RNA-seq,</w:t>
      </w:r>
      <w:r>
        <w:t xml:space="preserve"> </w:t>
      </w:r>
      <w:r>
        <w:t xml:space="preserve">we retained primary PDAC tumors and</w:t>
      </w:r>
      <w:r>
        <w:t xml:space="preserve"> </w:t>
      </w:r>
      <w:r>
        <w:t xml:space="preserve">collapsed duplicated gene symbols by median; the RNA-seq cohort received a</w:t>
      </w:r>
      <w:r>
        <w:t xml:space="preserve"> </w:t>
      </w:r>
      <w:r>
        <w:t xml:space="preserve">``_seq’’ suffix on sample IDs to avoid collisions with the array cohort. Puleo</w:t>
      </w:r>
      <w:r>
        <w:t xml:space="preserve"> </w:t>
      </w:r>
      <w:r>
        <w:t xml:space="preserve">required no additional dataset-specific filtering beyond survival QC.</w:t>
      </w:r>
    </w:p>
    <w:p>
      <w:pPr>
        <w:pStyle w:val="BodyText"/>
      </w:pPr>
      <w:r>
        <w:t xml:space="preserve">Across cohorts, samples without valid survival outcomes (nonpositive time,</w:t>
      </w:r>
      <w:r>
        <w:t xml:space="preserve"> </w:t>
      </w:r>
      <w:r>
        <w:t xml:space="preserve">missing time, or missing event indicator) were removed. Expression matrices</w:t>
      </w:r>
      <w:r>
        <w:t xml:space="preserve"> </w:t>
      </w:r>
      <w:r>
        <w:t xml:space="preserve">were analyzed on a log scale: RNA-seq cohorts as log</w:t>
      </w:r>
      <m:oMath>
        <m:sSub>
          <m:e>
            <m:r>
              <m:t>​</m:t>
            </m:r>
          </m:e>
          <m:sub>
            <m:r>
              <m:t>2</m:t>
            </m:r>
          </m:sub>
        </m:sSub>
      </m:oMath>
      <w:r>
        <w:t xml:space="preserve">(TPM + 1); microarray cohorts in platform-normalized log-scale intensities. For each training cohort (TCGA-PAAD and CPTAC) separately, genes were ranked</w:t>
      </w:r>
      <w:r>
        <w:t xml:space="preserve"> </w:t>
      </w:r>
      <w:r>
        <w:t xml:space="preserve">by mean expression and by variance independently; the 3,000 genes with the</w:t>
      </w:r>
      <w:r>
        <w:t xml:space="preserve"> </w:t>
      </w:r>
      <w:r>
        <w:t xml:space="preserve">lowest sum of these two ranks were retained, selecting genes that are both</w:t>
      </w:r>
      <w:r>
        <w:t xml:space="preserve"> </w:t>
      </w:r>
      <w:r>
        <w:t xml:space="preserve">highly expressed and highly variable.</w:t>
      </w:r>
      <w:r>
        <w:t xml:space="preserve"> </w:t>
      </w:r>
      <w:r>
        <w:t xml:space="preserve">The intersection of these two gene sets yielded 1,970 genes used for model</w:t>
      </w:r>
      <w:r>
        <w:t xml:space="preserve"> </w:t>
      </w:r>
      <w:r>
        <w:t xml:space="preserve">training. Validation datasets were restricted to this same 1,970-gene set.</w:t>
      </w:r>
      <w:r>
        <w:t xml:space="preserve"> </w:t>
      </w:r>
      <w:r>
        <w:t xml:space="preserve">A within-sample rank transformation was then applied to every dataset to</w:t>
      </w:r>
      <w:r>
        <w:t xml:space="preserve"> </w:t>
      </w:r>
      <w:r>
        <w:t xml:space="preserve">mitigate platform and scale effects. Specifically, for each sample the</w:t>
      </w:r>
      <w:r>
        <w:t xml:space="preserve"> </w:t>
      </w:r>
      <w:r>
        <w:t xml:space="preserve">expression values across the 1,970 retained genes were replaced by their</w:t>
      </w:r>
      <w:r>
        <w:t xml:space="preserve"> </w:t>
      </w:r>
      <w:r>
        <w:t xml:space="preserve">ascending ranks (ties resolved by average ranks), so that every sample carries</w:t>
      </w:r>
      <w:r>
        <w:t xml:space="preserve"> </w:t>
      </w:r>
      <w:r>
        <w:t xml:space="preserve">the same nonnegative rank distribution over the shared gene set; ranks are</w:t>
      </w:r>
      <w:r>
        <w:t xml:space="preserve"> </w:t>
      </w:r>
      <w:r>
        <w:t xml:space="preserve">inherently nonnegative and therefore preserve NMF compatibility. Validation</w:t>
      </w:r>
      <w:r>
        <w:t xml:space="preserve"> </w:t>
      </w:r>
      <w:r>
        <w:t xml:space="preserve">cohorts were rank-transformed by exactly the same per-sample procedure before</w:t>
      </w:r>
      <w:r>
        <w:t xml:space="preserve"> </w:t>
      </w:r>
      <w:r>
        <w:t xml:space="preserve">projection, with no use of validation outcomes.</w:t>
      </w:r>
    </w:p>
    <w:p>
      <w:pPr>
        <w:pStyle w:val="BodyText"/>
      </w:pPr>
      <w:r>
        <w:t xml:space="preserve">Table [tab:cohorts] summarizes the cohorts, platforms, sample sizes after</w:t>
      </w:r>
      <w:r>
        <w:t xml:space="preserve"> </w:t>
      </w:r>
      <w:r>
        <w:t xml:space="preserve">quality control, and patient-level metadata used in this study. Overall survival</w:t>
      </w:r>
      <w:r>
        <w:t xml:space="preserve"> </w:t>
      </w:r>
      <w:r>
        <w:t xml:space="preserve">time and event indicators were available for all cohorts. PurIST</w:t>
      </w:r>
      <w:hyperlink w:anchor="ref-rashid2020purity">
        <w:r>
          <w:rPr>
            <w:rStyle w:val="Hyperlink"/>
            <w:vertAlign w:val="superscript"/>
          </w:rPr>
          <w:t xml:space="preserve">17</w:t>
        </w:r>
      </w:hyperlink>
      <w:r>
        <w:t xml:space="preserve"> </w:t>
      </w:r>
      <w:r>
        <w:t xml:space="preserve">and DeCAF</w:t>
      </w:r>
      <w:hyperlink w:anchor="ref-peng2024determination">
        <w:r>
          <w:rPr>
            <w:rStyle w:val="Hyperlink"/>
            <w:vertAlign w:val="superscript"/>
          </w:rPr>
          <w:t xml:space="preserve">18</w:t>
        </w:r>
      </w:hyperlink>
      <w:r>
        <w:t xml:space="preserve"> </w:t>
      </w:r>
      <w:r>
        <w:t xml:space="preserve">molecular</w:t>
      </w:r>
      <w:r>
        <w:t xml:space="preserve"> </w:t>
      </w:r>
      <w:r>
        <w:t xml:space="preserve">classifications, applied to bulk expression data as described in those</w:t>
      </w:r>
      <w:r>
        <w:t xml:space="preserve"> </w:t>
      </w:r>
      <w:r>
        <w:t xml:space="preserve">references, were used as covariates in the covariate-adjusted external</w:t>
      </w:r>
      <w:r>
        <w:t xml:space="preserve"> </w:t>
      </w:r>
      <w:r>
        <w:t xml:space="preserve">validation analysis. Gene expression data and molecular</w:t>
      </w:r>
      <w:r>
        <w:t xml:space="preserve"> </w:t>
      </w:r>
      <w:r>
        <w:t xml:space="preserve">classifications for the validation cohorts were originally compiled for the</w:t>
      </w:r>
      <w:r>
        <w:t xml:space="preserve"> </w:t>
      </w:r>
      <w:r>
        <w:t xml:space="preserve">DeCAF study</w:t>
      </w:r>
      <w:hyperlink w:anchor="ref-peng2024determination">
        <w:r>
          <w:rPr>
            <w:rStyle w:val="Hyperlink"/>
            <w:vertAlign w:val="superscript"/>
          </w:rPr>
          <w:t xml:space="preserve">18</w:t>
        </w:r>
      </w:hyperlink>
      <w:r>
        <w:t xml:space="preserve">; training data were obtained directly</w:t>
      </w:r>
      <w:r>
        <w:t xml:space="preserve"> </w:t>
      </w:r>
      <w:r>
        <w:t xml:space="preserve">from GDC.</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Cohort</w:t>
            </w:r>
          </w:p>
        </w:tc>
        <w:tc>
          <w:tcPr/>
          <w:p>
            <w:pPr>
              <w:pStyle w:val="Compact"/>
              <w:jc w:val="left"/>
            </w:pPr>
            <w:r>
              <w:t xml:space="preserve">Platform</w:t>
            </w:r>
          </w:p>
        </w:tc>
        <w:tc>
          <w:tcPr/>
          <w:p>
            <w:pPr>
              <w:pStyle w:val="Compact"/>
              <w:jc w:val="left"/>
            </w:pPr>
            <m:oMath>
              <m:r>
                <m:t>N</m:t>
              </m:r>
            </m:oMath>
          </w:p>
        </w:tc>
        <w:tc>
          <w:tcPr/>
          <w:p>
            <w:pPr>
              <w:pStyle w:val="Compact"/>
              <w:jc w:val="left"/>
            </w:pPr>
            <w:r>
              <w:t xml:space="preserve">Events</w:t>
            </w:r>
          </w:p>
        </w:tc>
        <w:tc>
          <w:tcPr/>
          <w:p>
            <w:pPr>
              <w:pStyle w:val="Compact"/>
              <w:jc w:val="left"/>
            </w:pPr>
            <w:r>
              <w:t xml:space="preserve">Role</w:t>
            </w:r>
          </w:p>
        </w:tc>
        <w:tc>
          <w:tcPr/>
          <w:p>
            <w:pPr>
              <w:pStyle w:val="Compact"/>
              <w:jc w:val="left"/>
            </w:pPr>
            <w:r>
              <w:t xml:space="preserve">Accession</w:t>
            </w:r>
          </w:p>
        </w:tc>
        <w:tc>
          <w:tcPr/>
          <w:p>
            <w:pPr>
              <w:pStyle w:val="Compact"/>
              <w:jc w:val="left"/>
            </w:pPr>
            <w:r>
              <w:t xml:space="preserve">Metadata</w:t>
            </w:r>
          </w:p>
        </w:tc>
        <w:tc>
          <w:tcPr/>
          <w:p>
            <w:pPr>
              <w:pStyle w:val="Compact"/>
              <w:jc w:val="left"/>
            </w:pPr>
            <w:r>
              <w:t xml:space="preserve">Reference</w:t>
            </w:r>
          </w:p>
        </w:tc>
      </w:tr>
      <w:tr>
        <w:tc>
          <w:tcPr/>
          <w:p>
            <w:pPr>
              <w:pStyle w:val="Compact"/>
              <w:jc w:val="left"/>
            </w:pPr>
            <w:r>
              <w:t xml:space="preserve">TCGA-PAAD</w:t>
            </w:r>
          </w:p>
        </w:tc>
        <w:tc>
          <w:tcPr/>
          <w:p>
            <w:pPr>
              <w:pStyle w:val="Compact"/>
              <w:jc w:val="left"/>
            </w:pPr>
            <w:r>
              <w:t xml:space="preserve">RNA-seq</w:t>
            </w:r>
          </w:p>
        </w:tc>
        <w:tc>
          <w:tcPr/>
          <w:p>
            <w:pPr>
              <w:pStyle w:val="Compact"/>
              <w:jc w:val="left"/>
            </w:pPr>
            <w:r>
              <w:t xml:space="preserve">144</w:t>
            </w:r>
          </w:p>
        </w:tc>
        <w:tc>
          <w:tcPr/>
          <w:p>
            <w:pPr>
              <w:pStyle w:val="Compact"/>
              <w:jc w:val="left"/>
            </w:pPr>
            <w:r>
              <w:t xml:space="preserve">75 (52%)</w:t>
            </w:r>
          </w:p>
        </w:tc>
        <w:tc>
          <w:tcPr/>
          <w:p>
            <w:pPr>
              <w:pStyle w:val="Compact"/>
              <w:jc w:val="left"/>
            </w:pPr>
            <w:r>
              <w:t xml:space="preserve">Training</w:t>
            </w:r>
          </w:p>
        </w:tc>
        <w:tc>
          <w:tcPr/>
          <w:p>
            <w:pPr>
              <w:pStyle w:val="Compact"/>
              <w:jc w:val="left"/>
            </w:pPr>
            <w:r>
              <w:t xml:space="preserve">GDC (TCGA-PAAD)</w:t>
            </w:r>
          </w:p>
        </w:tc>
        <w:tc>
          <w:tcPr/>
          <w:p>
            <w:pPr>
              <w:pStyle w:val="Compact"/>
              <w:jc w:val="left"/>
            </w:pPr>
            <w:r>
              <w:t xml:space="preserve">OS, PurIST, DeCAF</w:t>
            </w:r>
          </w:p>
        </w:tc>
        <w:tc>
          <w:tcPr/>
          <w:p>
            <w:pPr>
              <w:pStyle w:val="Compact"/>
              <w:jc w:val="left"/>
            </w:pPr>
            <w:r>
              <w:t xml:space="preserve">Raphael et al. (2017)</w:t>
            </w:r>
          </w:p>
        </w:tc>
      </w:tr>
      <w:tr>
        <w:tc>
          <w:tcPr/>
          <w:p>
            <w:pPr>
              <w:pStyle w:val="Compact"/>
              <w:jc w:val="left"/>
            </w:pPr>
            <w:r>
              <w:t xml:space="preserve">CPTAC</w:t>
            </w:r>
          </w:p>
        </w:tc>
        <w:tc>
          <w:tcPr/>
          <w:p>
            <w:pPr>
              <w:pStyle w:val="Compact"/>
              <w:jc w:val="left"/>
            </w:pPr>
            <w:r>
              <w:t xml:space="preserve">RNA-seq</w:t>
            </w:r>
          </w:p>
        </w:tc>
        <w:tc>
          <w:tcPr/>
          <w:p>
            <w:pPr>
              <w:pStyle w:val="Compact"/>
              <w:jc w:val="left"/>
            </w:pPr>
            <w:r>
              <w:t xml:space="preserve">129</w:t>
            </w:r>
          </w:p>
        </w:tc>
        <w:tc>
          <w:tcPr/>
          <w:p>
            <w:pPr>
              <w:pStyle w:val="Compact"/>
              <w:jc w:val="left"/>
            </w:pPr>
            <w:r>
              <w:t xml:space="preserve">64 (50%)</w:t>
            </w:r>
          </w:p>
        </w:tc>
        <w:tc>
          <w:tcPr/>
          <w:p>
            <w:pPr>
              <w:pStyle w:val="Compact"/>
              <w:jc w:val="left"/>
            </w:pPr>
            <w:r>
              <w:t xml:space="preserve">Training</w:t>
            </w:r>
          </w:p>
        </w:tc>
        <w:tc>
          <w:tcPr/>
          <w:p>
            <w:pPr>
              <w:pStyle w:val="Compact"/>
              <w:jc w:val="left"/>
            </w:pPr>
            <w:r>
              <w:t xml:space="preserve">GDC (CPTAC-3)</w:t>
            </w:r>
          </w:p>
        </w:tc>
        <w:tc>
          <w:tcPr/>
          <w:p>
            <w:pPr>
              <w:pStyle w:val="Compact"/>
              <w:jc w:val="left"/>
            </w:pPr>
            <w:r>
              <w:t xml:space="preserve">OS, PurIST, DeCAF</w:t>
            </w:r>
          </w:p>
        </w:tc>
        <w:tc>
          <w:tcPr/>
          <w:p>
            <w:pPr>
              <w:pStyle w:val="Compact"/>
              <w:jc w:val="left"/>
            </w:pPr>
            <w:r>
              <w:t xml:space="preserve">Cao et al. (2021)</w:t>
            </w:r>
          </w:p>
        </w:tc>
      </w:tr>
      <w:tr>
        <w:tc>
          <w:tcPr/>
          <w:p>
            <w:pPr>
              <w:pStyle w:val="Compact"/>
              <w:jc w:val="left"/>
            </w:pPr>
            <w:r>
              <w:t xml:space="preserve">Dijk</w:t>
            </w:r>
          </w:p>
        </w:tc>
        <w:tc>
          <w:tcPr/>
          <w:p>
            <w:pPr>
              <w:pStyle w:val="Compact"/>
              <w:jc w:val="left"/>
            </w:pPr>
            <w:r>
              <w:t xml:space="preserve">RNA-seq</w:t>
            </w:r>
          </w:p>
        </w:tc>
        <w:tc>
          <w:tcPr/>
          <w:p>
            <w:pPr>
              <w:pStyle w:val="Compact"/>
              <w:jc w:val="left"/>
            </w:pPr>
            <w:r>
              <w:t xml:space="preserve">90</w:t>
            </w:r>
          </w:p>
        </w:tc>
        <w:tc>
          <w:tcPr/>
          <w:p>
            <w:pPr>
              <w:pStyle w:val="Compact"/>
              <w:jc w:val="left"/>
            </w:pPr>
            <w:r>
              <w:t xml:space="preserve">81 (90%)</w:t>
            </w:r>
          </w:p>
        </w:tc>
        <w:tc>
          <w:tcPr/>
          <w:p>
            <w:pPr>
              <w:pStyle w:val="Compact"/>
              <w:jc w:val="left"/>
            </w:pPr>
            <w:r>
              <w:t xml:space="preserve">Validation</w:t>
            </w:r>
          </w:p>
        </w:tc>
        <w:tc>
          <w:tcPr/>
          <w:p>
            <w:pPr>
              <w:pStyle w:val="Compact"/>
              <w:jc w:val="left"/>
            </w:pPr>
            <w:r>
              <w:t xml:space="preserve">E-MTAB-6830</w:t>
            </w:r>
          </w:p>
        </w:tc>
        <w:tc>
          <w:tcPr/>
          <w:p>
            <w:pPr>
              <w:pStyle w:val="Compact"/>
              <w:jc w:val="left"/>
            </w:pPr>
            <w:r>
              <w:t xml:space="preserve">OS, PurIST, DeCAF</w:t>
            </w:r>
          </w:p>
        </w:tc>
        <w:tc>
          <w:tcPr/>
          <w:p>
            <w:pPr>
              <w:pStyle w:val="Compact"/>
              <w:jc w:val="left"/>
            </w:pPr>
            <w:r>
              <w:t xml:space="preserve">Dijk et al. (2020)</w:t>
            </w:r>
          </w:p>
        </w:tc>
      </w:tr>
      <w:tr>
        <w:tc>
          <w:tcPr/>
          <w:p>
            <w:pPr>
              <w:pStyle w:val="Compact"/>
              <w:jc w:val="left"/>
            </w:pPr>
            <w:r>
              <w:t xml:space="preserve">Moffitt</w:t>
            </w:r>
          </w:p>
        </w:tc>
        <w:tc>
          <w:tcPr/>
          <w:p>
            <w:pPr>
              <w:pStyle w:val="Compact"/>
              <w:jc w:val="left"/>
            </w:pPr>
            <w:r>
              <w:t xml:space="preserve">Microarray</w:t>
            </w:r>
          </w:p>
        </w:tc>
        <w:tc>
          <w:tcPr/>
          <w:p>
            <w:pPr>
              <w:pStyle w:val="Compact"/>
              <w:jc w:val="left"/>
            </w:pPr>
            <w:r>
              <w:t xml:space="preserve">123</w:t>
            </w:r>
          </w:p>
        </w:tc>
        <w:tc>
          <w:tcPr/>
          <w:p>
            <w:pPr>
              <w:pStyle w:val="Compact"/>
              <w:jc w:val="left"/>
            </w:pPr>
            <w:r>
              <w:t xml:space="preserve">83 (67%)</w:t>
            </w:r>
          </w:p>
        </w:tc>
        <w:tc>
          <w:tcPr/>
          <w:p>
            <w:pPr>
              <w:pStyle w:val="Compact"/>
              <w:jc w:val="left"/>
            </w:pPr>
            <w:r>
              <w:t xml:space="preserve">Validation</w:t>
            </w:r>
          </w:p>
        </w:tc>
        <w:tc>
          <w:tcPr/>
          <w:p>
            <w:pPr>
              <w:pStyle w:val="Compact"/>
              <w:jc w:val="left"/>
            </w:pPr>
            <w:r>
              <w:t xml:space="preserve">GSE71729</w:t>
            </w:r>
          </w:p>
        </w:tc>
        <w:tc>
          <w:tcPr/>
          <w:p>
            <w:pPr>
              <w:pStyle w:val="Compact"/>
              <w:jc w:val="left"/>
            </w:pPr>
            <w:r>
              <w:t xml:space="preserve">OS, PurIST, DeCAF</w:t>
            </w:r>
          </w:p>
        </w:tc>
        <w:tc>
          <w:tcPr/>
          <w:p>
            <w:pPr>
              <w:pStyle w:val="Compact"/>
              <w:jc w:val="left"/>
            </w:pPr>
            <w:r>
              <w:t xml:space="preserve">Moffitt et al. (2015)</w:t>
            </w:r>
          </w:p>
        </w:tc>
      </w:tr>
      <w:tr>
        <w:tc>
          <w:tcPr/>
          <w:p>
            <w:pPr>
              <w:pStyle w:val="Compact"/>
              <w:jc w:val="left"/>
            </w:pPr>
            <w:r>
              <w:t xml:space="preserve">PACA-AU (array)</w:t>
            </w:r>
          </w:p>
        </w:tc>
        <w:tc>
          <w:tcPr/>
          <w:p>
            <w:pPr>
              <w:pStyle w:val="Compact"/>
              <w:jc w:val="left"/>
            </w:pPr>
            <w:r>
              <w:t xml:space="preserve">Microarray</w:t>
            </w:r>
          </w:p>
        </w:tc>
        <w:tc>
          <w:tcPr/>
          <w:p>
            <w:pPr>
              <w:pStyle w:val="Compact"/>
              <w:jc w:val="left"/>
            </w:pPr>
            <w:r>
              <w:t xml:space="preserve">63</w:t>
            </w:r>
          </w:p>
        </w:tc>
        <w:tc>
          <w:tcPr/>
          <w:p>
            <w:pPr>
              <w:pStyle w:val="Compact"/>
              <w:jc w:val="left"/>
            </w:pPr>
            <w:r>
              <w:t xml:space="preserve">38 (60%)</w:t>
            </w:r>
          </w:p>
        </w:tc>
        <w:tc>
          <w:tcPr/>
          <w:p>
            <w:pPr>
              <w:pStyle w:val="Compact"/>
              <w:jc w:val="left"/>
            </w:pPr>
            <w:r>
              <w:t xml:space="preserve">Validation</w:t>
            </w:r>
          </w:p>
        </w:tc>
        <w:tc>
          <w:tcPr/>
          <w:p>
            <w:pPr>
              <w:pStyle w:val="Compact"/>
              <w:jc w:val="left"/>
            </w:pPr>
            <w:r>
              <w:t xml:space="preserve">GSE36924</w:t>
            </w:r>
          </w:p>
        </w:tc>
        <w:tc>
          <w:tcPr/>
          <w:p>
            <w:pPr>
              <w:pStyle w:val="Compact"/>
              <w:jc w:val="left"/>
            </w:pPr>
            <w:r>
              <w:t xml:space="preserve">OS, PurIST, DeCAF</w:t>
            </w:r>
          </w:p>
        </w:tc>
        <w:tc>
          <w:tcPr/>
          <w:p>
            <w:pPr>
              <w:pStyle w:val="Compact"/>
              <w:jc w:val="left"/>
            </w:pPr>
            <w:r>
              <w:t xml:space="preserve">Bailey et al. (2016)</w:t>
            </w:r>
          </w:p>
        </w:tc>
      </w:tr>
      <w:tr>
        <w:tc>
          <w:tcPr/>
          <w:p>
            <w:pPr>
              <w:pStyle w:val="Compact"/>
              <w:jc w:val="left"/>
            </w:pPr>
            <w:r>
              <w:t xml:space="preserve">PACA-AU (RNA-seq)</w:t>
            </w:r>
          </w:p>
        </w:tc>
        <w:tc>
          <w:tcPr/>
          <w:p>
            <w:pPr>
              <w:pStyle w:val="Compact"/>
              <w:jc w:val="left"/>
            </w:pPr>
            <w:r>
              <w:t xml:space="preserve">RNA-seq</w:t>
            </w:r>
          </w:p>
        </w:tc>
        <w:tc>
          <w:tcPr/>
          <w:p>
            <w:pPr>
              <w:pStyle w:val="Compact"/>
              <w:jc w:val="left"/>
            </w:pPr>
            <w:r>
              <w:t xml:space="preserve">52</w:t>
            </w:r>
          </w:p>
        </w:tc>
        <w:tc>
          <w:tcPr/>
          <w:p>
            <w:pPr>
              <w:pStyle w:val="Compact"/>
              <w:jc w:val="left"/>
            </w:pPr>
            <w:r>
              <w:t xml:space="preserve">31 (60%)</w:t>
            </w:r>
          </w:p>
        </w:tc>
        <w:tc>
          <w:tcPr/>
          <w:p>
            <w:pPr>
              <w:pStyle w:val="Compact"/>
              <w:jc w:val="left"/>
            </w:pPr>
            <w:r>
              <w:t xml:space="preserve">Validation</w:t>
            </w:r>
          </w:p>
        </w:tc>
        <w:tc>
          <w:tcPr/>
          <w:p>
            <w:pPr>
              <w:pStyle w:val="Compact"/>
              <w:jc w:val="left"/>
            </w:pPr>
            <w:r>
              <w:t xml:space="preserve">EGAS00001000154</w:t>
            </w:r>
          </w:p>
        </w:tc>
        <w:tc>
          <w:tcPr/>
          <w:p>
            <w:pPr>
              <w:pStyle w:val="Compact"/>
              <w:jc w:val="left"/>
            </w:pPr>
            <w:r>
              <w:t xml:space="preserve">OS, PurIST, DeCAF</w:t>
            </w:r>
          </w:p>
        </w:tc>
        <w:tc>
          <w:tcPr/>
          <w:p>
            <w:pPr>
              <w:pStyle w:val="Compact"/>
              <w:jc w:val="left"/>
            </w:pPr>
            <w:r>
              <w:t xml:space="preserve">Bailey et al. (2016)</w:t>
            </w:r>
          </w:p>
        </w:tc>
      </w:tr>
      <w:tr>
        <w:tc>
          <w:tcPr/>
          <w:p>
            <w:pPr>
              <w:pStyle w:val="Compact"/>
              <w:jc w:val="left"/>
            </w:pPr>
            <w:r>
              <w:t xml:space="preserve">Puleo</w:t>
            </w:r>
          </w:p>
        </w:tc>
        <w:tc>
          <w:tcPr/>
          <w:p>
            <w:pPr>
              <w:pStyle w:val="Compact"/>
              <w:jc w:val="left"/>
            </w:pPr>
            <w:r>
              <w:t xml:space="preserve">Microarray</w:t>
            </w:r>
          </w:p>
        </w:tc>
        <w:tc>
          <w:tcPr/>
          <w:p>
            <w:pPr>
              <w:pStyle w:val="Compact"/>
              <w:jc w:val="left"/>
            </w:pPr>
            <w:r>
              <w:t xml:space="preserve">288</w:t>
            </w:r>
          </w:p>
        </w:tc>
        <w:tc>
          <w:tcPr/>
          <w:p>
            <w:pPr>
              <w:pStyle w:val="Compact"/>
              <w:jc w:val="left"/>
            </w:pPr>
            <w:r>
              <w:t xml:space="preserve">181 (63%)</w:t>
            </w:r>
          </w:p>
        </w:tc>
        <w:tc>
          <w:tcPr/>
          <w:p>
            <w:pPr>
              <w:pStyle w:val="Compact"/>
              <w:jc w:val="left"/>
            </w:pPr>
            <w:r>
              <w:t xml:space="preserve">Validation</w:t>
            </w:r>
          </w:p>
        </w:tc>
        <w:tc>
          <w:tcPr/>
          <w:p>
            <w:pPr>
              <w:pStyle w:val="Compact"/>
              <w:jc w:val="left"/>
            </w:pPr>
            <w:r>
              <w:t xml:space="preserve">E-MTAB-6134</w:t>
            </w:r>
          </w:p>
        </w:tc>
        <w:tc>
          <w:tcPr/>
          <w:p>
            <w:pPr>
              <w:pStyle w:val="Compact"/>
              <w:jc w:val="left"/>
            </w:pPr>
            <w:r>
              <w:t xml:space="preserve">OS, PurIST, DeCAF</w:t>
            </w:r>
          </w:p>
        </w:tc>
        <w:tc>
          <w:tcPr/>
          <w:p>
            <w:pPr>
              <w:pStyle w:val="Compact"/>
              <w:jc w:val="left"/>
            </w:pPr>
            <w:r>
              <w:t xml:space="preserve">Puleo et al. (2018)</w:t>
            </w:r>
          </w:p>
        </w:tc>
      </w:tr>
      <w:tr>
        <w:tc>
          <w:tcPr/>
          <w:p>
            <w:pPr>
              <w:pStyle w:val="Compact"/>
              <w:jc w:val="left"/>
            </w:pPr>
            <w:r>
              <w:t xml:space="preserve">Training total</w:t>
            </w:r>
          </w:p>
        </w:tc>
        <w:tc>
          <w:tcPr/>
          <w:p>
            <w:pPr>
              <w:pStyle w:val="Compact"/>
              <w:jc w:val="left"/>
            </w:pPr>
            <w:r>
              <w:t xml:space="preserve">273</w:t>
            </w:r>
          </w:p>
        </w:tc>
        <w:tc>
          <w:tcPr/>
          <w:p>
            <w:pPr>
              <w:pStyle w:val="Compact"/>
              <w:jc w:val="left"/>
            </w:pPr>
            <w:r>
              <w:t xml:space="preserve">139 (51%)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Validation platform profiles total</w:t>
            </w:r>
          </w:p>
        </w:tc>
        <w:tc>
          <w:tcPr/>
          <w:p>
            <w:pPr>
              <w:pStyle w:val="Compact"/>
              <w:jc w:val="left"/>
            </w:pPr>
            <w:r>
              <w:t xml:space="preserve">616</w:t>
            </w:r>
          </w:p>
        </w:tc>
        <w:tc>
          <w:tcPr/>
          <w:p>
            <w:pPr>
              <w:pStyle w:val="Compact"/>
              <w:jc w:val="left"/>
            </w:pPr>
            <w:r>
              <w:t xml:space="preserve">414 (67%)</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Combined unique-patient validation set</w:t>
            </w:r>
          </w:p>
        </w:tc>
        <w:tc>
          <w:tcPr/>
          <w:p>
            <w:pPr>
              <w:pStyle w:val="Compact"/>
              <w:jc w:val="left"/>
            </w:pPr>
            <w:r>
              <w:t xml:space="preserve">570</w:t>
            </w:r>
          </w:p>
        </w:tc>
        <w:tc>
          <w:tcPr/>
          <w:p>
            <w:pPr>
              <w:pStyle w:val="Compact"/>
              <w:jc w:val="left"/>
            </w:pPr>
            <w:r>
              <w:t xml:space="preserve">388 (68%)</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iCs/>
          <w:i/>
        </w:rPr>
        <w:t xml:space="preserve">Summary of PDAC cohorts used in this study.</w:t>
      </w:r>
      <w:r>
        <w:rPr>
          <w:iCs/>
          <w:i/>
        </w:rPr>
        <w:t xml:space="preserve"> </w:t>
      </w:r>
      <m:oMath>
        <m:r>
          <m:t>N</m:t>
        </m:r>
      </m:oMath>
      <w:r>
        <w:rPr>
          <w:iCs/>
          <w:i/>
        </w:rPr>
        <w:t xml:space="preserve"> </w:t>
      </w:r>
      <w:r>
        <w:rPr>
          <w:iCs/>
          <w:i/>
        </w:rPr>
        <w:t xml:space="preserve">denotes the number of</w:t>
      </w:r>
      <w:r>
        <w:rPr>
          <w:iCs/>
          <w:i/>
        </w:rPr>
        <w:t xml:space="preserve"> </w:t>
      </w:r>
      <w:r>
        <w:rPr>
          <w:iCs/>
          <w:i/>
        </w:rPr>
        <w:t xml:space="preserve">samples after all quality-control filters (histology, survival validity,</w:t>
      </w:r>
      <w:r>
        <w:rPr>
          <w:iCs/>
          <w:i/>
        </w:rPr>
        <w:t xml:space="preserve"> </w:t>
      </w:r>
      <w:r>
        <w:rPr>
          <w:iCs/>
          <w:i/>
        </w:rPr>
        <w:t xml:space="preserve">dataset-specific exclusions). Patient-level metadata: OS = overall survival</w:t>
      </w:r>
      <w:r>
        <w:rPr>
          <w:iCs/>
          <w:i/>
        </w:rPr>
        <w:t xml:space="preserve"> </w:t>
      </w:r>
      <w:r>
        <w:rPr>
          <w:iCs/>
          <w:i/>
        </w:rPr>
        <w:t xml:space="preserve">(time and event indicator); PurIST = tumor subtype classification</w:t>
      </w:r>
      <w:r>
        <w:rPr>
          <w:iCs/>
          <w:i/>
        </w:rPr>
        <w:t xml:space="preserve"> </w:t>
      </w:r>
      <w:r>
        <w:rPr>
          <w:iCs/>
          <w:i/>
        </w:rPr>
        <w:t xml:space="preserve">(Rashid et al. 2020); DeCAF = CAF subtype classification</w:t>
      </w:r>
      <w:r>
        <w:rPr>
          <w:iCs/>
          <w:i/>
        </w:rPr>
        <w:t xml:space="preserve"> </w:t>
      </w:r>
      <w:r>
        <w:rPr>
          <w:iCs/>
          <w:i/>
        </w:rPr>
        <w:t xml:space="preserve">(Peng et al. 2026). Expression data and molecular classifications</w:t>
      </w:r>
      <w:r>
        <w:rPr>
          <w:iCs/>
          <w:i/>
        </w:rPr>
        <w:t xml:space="preserve"> </w:t>
      </w:r>
      <w:r>
        <w:rPr>
          <w:iCs/>
          <w:i/>
        </w:rPr>
        <w:t xml:space="preserve">for the validation cohorts were originally compiled for the DeCAF study</w:t>
      </w:r>
      <w:r>
        <w:rPr>
          <w:iCs/>
          <w:i/>
        </w:rPr>
        <w:t xml:space="preserve"> </w:t>
      </w:r>
      <w:r>
        <w:rPr>
          <w:iCs/>
          <w:i/>
        </w:rPr>
        <w:t xml:space="preserve">(Peng et al. 2026). Events denotes the number of overall-survival events (deaths) with the corresponding event rate; outcome frequency was lower and more homogeneous in the training cohorts (50–52%) than across the validation cohorts (60–90%, pooled 67%), a case-mix difference relevant to the interpretation of external-validation performance.</w:t>
      </w:r>
    </w:p>
    <w:p>
      <w:pPr>
        <w:pStyle w:val="BodyText"/>
      </w:pPr>
      <w:r>
        <w:t xml:space="preserve">\section{Survival Analysis}</w:t>
      </w:r>
    </w:p>
    <w:p>
      <w:pPr>
        <w:pStyle w:val="BodyText"/>
      </w:pPr>
      <w:r>
        <w:t xml:space="preserve">Survival analyses used overall survival time with event indicators as provided</w:t>
      </w:r>
      <w:r>
        <w:t xml:space="preserve"> </w:t>
      </w:r>
      <w:r>
        <w:t xml:space="preserve">by each cohort. For fitted DeSurv models, sample-level program scores were</w:t>
      </w:r>
      <w:r>
        <w:t xml:space="preserve"> </w:t>
      </w:r>
      <w:r>
        <w:t xml:space="preserve">computed as</w:t>
      </w:r>
      <w:r>
        <w:t xml:space="preserve"> </w:t>
      </w:r>
      <m:oMath>
        <m:r>
          <m:t>Z</m:t>
        </m:r>
        <m:r>
          <m:rPr>
            <m:sty m:val="p"/>
          </m:rPr>
          <m:t>=</m:t>
        </m:r>
        <m:sSup>
          <m:e>
            <m:acc>
              <m:accPr>
                <m:chr m:val="̃"/>
              </m:accPr>
              <m:e>
                <m:r>
                  <m:t>W</m:t>
                </m:r>
              </m:e>
            </m:acc>
          </m:e>
          <m:sup>
            <m:r>
              <m:rPr>
                <m:sty m:val="p"/>
              </m:rPr>
              <m:t>⊤</m:t>
            </m:r>
          </m:sup>
        </m:sSup>
        <m:r>
          <m:t>X</m:t>
        </m:r>
      </m:oMath>
      <w:r>
        <w:t xml:space="preserve"> </w:t>
      </w:r>
      <w:r>
        <w:t xml:space="preserve">and standardized using the training mean and</w:t>
      </w:r>
      <w:r>
        <w:t xml:space="preserve"> </w:t>
      </w:r>
      <w:r>
        <w:t xml:space="preserve">standard deviation before constructing the linear predictor</w:t>
      </w:r>
      <w:r>
        <w:t xml:space="preserve"> </w:t>
      </w:r>
      <m:oMath>
        <m:acc>
          <m:accPr>
            <m:chr m:val="̂"/>
          </m:accPr>
          <m:e>
            <m:r>
              <m:t>η</m:t>
            </m:r>
          </m:e>
        </m:acc>
        <m:r>
          <m:rPr>
            <m:sty m:val="p"/>
          </m:rPr>
          <m:t>=</m:t>
        </m:r>
        <m:r>
          <m:t>Z</m:t>
        </m:r>
        <m:acc>
          <m:accPr>
            <m:chr m:val="̂"/>
          </m:accPr>
          <m:e>
            <m:r>
              <m:t>β</m:t>
            </m:r>
          </m:e>
        </m:acc>
      </m:oMath>
      <w:r>
        <w:t xml:space="preserve">. For the per-factor associations shown in the</w:t>
      </w:r>
      <w:r>
        <w:t xml:space="preserve"> </w:t>
      </w:r>
      <w:r>
        <w:t xml:space="preserve">validation forest plot, each individual factor score was standardized to zero</w:t>
      </w:r>
      <w:r>
        <w:t xml:space="preserve"> </w:t>
      </w:r>
      <w:r>
        <w:t xml:space="preserve">mean and unit standard deviation within its own cohort, so that per-factor</w:t>
      </w:r>
      <w:r>
        <w:t xml:space="preserve"> </w:t>
      </w:r>
      <w:r>
        <w:t xml:space="preserve">hazard ratios are expressed per one standard-deviation increment; the</w:t>
      </w:r>
      <w:r>
        <w:t xml:space="preserve"> </w:t>
      </w:r>
      <w:r>
        <w:t xml:space="preserve">multivariable linear predictor was likewise reported per standard deviation. Prognostic performance was summarized using the</w:t>
      </w:r>
      <w:r>
        <w:t xml:space="preserve"> </w:t>
      </w:r>
      <w:r>
        <w:t xml:space="preserve">concordance index as defined above. When multiple datasets were pooled, Cox models were stratified</w:t>
      </w:r>
      <w:r>
        <w:t xml:space="preserve"> </w:t>
      </w:r>
      <w:r>
        <w:t xml:space="preserve">by dataset to allow cohort-specific baseline hazards. Continuous-score associations were evaluated using Cox models stratified by dataset.</w:t>
      </w:r>
    </w:p>
    <w:p>
      <w:pPr>
        <w:pStyle w:val="BodyText"/>
      </w:pPr>
      <w:r>
        <w:t xml:space="preserve">\section{Gene Program Correlation Analysis}</w:t>
      </w:r>
    </w:p>
    <w:p>
      <w:pPr>
        <w:pStyle w:val="BodyText"/>
      </w:pPr>
      <w:r>
        <w:t xml:space="preserve">To assess the biological identity of learned factors, we evaluated the</w:t>
      </w:r>
      <w:r>
        <w:t xml:space="preserve"> </w:t>
      </w:r>
      <w:r>
        <w:t xml:space="preserve">correspondence between factor-specific gene rankings and established PDAC gene</w:t>
      </w:r>
      <w:r>
        <w:t xml:space="preserve"> </w:t>
      </w:r>
      <w:r>
        <w:t xml:space="preserve">programs. Each column</w:t>
      </w:r>
      <w:r>
        <w:t xml:space="preserve"> </w:t>
      </w:r>
      <m:oMath>
        <m:r>
          <m:t>j</m:t>
        </m:r>
      </m:oMath>
      <w:r>
        <w:t xml:space="preserve"> </w:t>
      </w:r>
      <w:r>
        <w:t xml:space="preserve">of the gene program matrix</w:t>
      </w:r>
      <w:r>
        <w:t xml:space="preserve"> </w:t>
      </w:r>
      <m:oMath>
        <m:r>
          <m:t>W</m:t>
        </m:r>
      </m:oMath>
      <w:r>
        <w:t xml:space="preserve"> </w:t>
      </w:r>
      <w:r>
        <w:t xml:space="preserve">was first scaled by its</w:t>
      </w:r>
      <w:r>
        <w:t xml:space="preserve"> </w:t>
      </w:r>
      <w:r>
        <w:t xml:space="preserve">column maximum,</w:t>
      </w:r>
      <w:r>
        <w:t xml:space="preserve"> </w:t>
      </w:r>
      <m:oMath>
        <m:sSubSup>
          <m:e>
            <m:r>
              <m:t>W</m:t>
            </m:r>
          </m:e>
          <m:sub>
            <m:r>
              <m:t>i</m:t>
            </m:r>
            <m:r>
              <m:t>j</m:t>
            </m:r>
          </m:sub>
          <m:sup>
            <m:r>
              <m:rPr>
                <m:sty m:val="p"/>
              </m:rPr>
              <m:t>*</m:t>
            </m:r>
          </m:sup>
        </m:sSubSup>
        <m:r>
          <m:rPr>
            <m:sty m:val="p"/>
          </m:rPr>
          <m:t>=</m:t>
        </m:r>
        <m:sSub>
          <m:e>
            <m:r>
              <m:t>W</m:t>
            </m:r>
          </m:e>
          <m:sub>
            <m:r>
              <m:t>i</m:t>
            </m:r>
            <m:r>
              <m:t>j</m:t>
            </m:r>
          </m:sub>
        </m:sSub>
        <m:r>
          <m:rPr>
            <m:sty m:val="p"/>
          </m:rPr>
          <m:t>/</m:t>
        </m:r>
        <m:sSub>
          <m:e>
            <m:r>
              <m:rPr>
                <m:sty m:val="p"/>
              </m:rPr>
              <m:t>max</m:t>
            </m:r>
          </m:e>
          <m:sub>
            <m:r>
              <m:t>i</m:t>
            </m:r>
          </m:sub>
        </m:sSub>
        <m:sSub>
          <m:e>
            <m:r>
              <m:t>W</m:t>
            </m:r>
          </m:e>
          <m:sub>
            <m:r>
              <m:t>i</m:t>
            </m:r>
            <m:r>
              <m:t>j</m:t>
            </m:r>
          </m:sub>
        </m:sSub>
      </m:oMath>
      <w:r>
        <w:t xml:space="preserve">, placing all factors on a</w:t>
      </w:r>
      <w:r>
        <w:t xml:space="preserve"> </w:t>
      </w:r>
      <w:r>
        <w:t xml:space="preserve">common</w:t>
      </w:r>
      <w:r>
        <w:t xml:space="preserve"> </w:t>
      </w:r>
      <m:oMath>
        <m:d>
          <m:dPr>
            <m:begChr m:val="["/>
            <m:endChr m:val="]"/>
            <m:sepChr m:val=""/>
            <m:grow/>
          </m:dPr>
          <m:e>
            <m:r>
              <m:t>0</m:t>
            </m:r>
            <m:r>
              <m:rPr>
                <m:sty m:val="p"/>
              </m:rPr>
              <m:t>,</m:t>
            </m:r>
            <m:r>
              <m:t>1</m:t>
            </m:r>
          </m:e>
        </m:d>
      </m:oMath>
      <w:r>
        <w:t xml:space="preserve"> </w:t>
      </w:r>
      <w:r>
        <w:t xml:space="preserve">scale, and the specificity score for gene</w:t>
      </w:r>
      <w:r>
        <w:t xml:space="preserve"> </w:t>
      </w:r>
      <m:oMath>
        <m:r>
          <m:t>i</m:t>
        </m:r>
      </m:oMath>
      <w:r>
        <w:t xml:space="preserve"> </w:t>
      </w:r>
      <w:r>
        <w:t xml:space="preserve">in factor</w:t>
      </w:r>
      <w:r>
        <w:t xml:space="preserve"> </w:t>
      </w:r>
      <m:oMath>
        <m:r>
          <m:t>j</m:t>
        </m:r>
      </m:oMath>
      <w:r>
        <w:t xml:space="preserve"> </w:t>
      </w:r>
      <w:r>
        <w:t xml:space="preserve">was</w:t>
      </w:r>
      <w:r>
        <w:t xml:space="preserve"> </w:t>
      </w:r>
      <w:r>
        <w:t xml:space="preserve">defined as</w:t>
      </w:r>
    </w:p>
    <w:p>
      <w:pPr>
        <w:pStyle w:val="BodyText"/>
      </w:pPr>
      <m:oMathPara>
        <m:oMathParaPr>
          <m:jc m:val="center"/>
        </m:oMathParaPr>
        <m:oMath>
          <m:sSub>
            <m:e>
              <m:r>
                <m:t>s</m:t>
              </m:r>
            </m:e>
            <m:sub>
              <m:r>
                <m:t>i</m:t>
              </m:r>
              <m:r>
                <m:t>j</m:t>
              </m:r>
            </m:sub>
          </m:sSub>
          <m:r>
            <m:rPr>
              <m:sty m:val="p"/>
            </m:rPr>
            <m:t>=</m:t>
          </m:r>
          <m:sSubSup>
            <m:e>
              <m:r>
                <m:t>W</m:t>
              </m:r>
            </m:e>
            <m:sub>
              <m:r>
                <m:t>i</m:t>
              </m:r>
              <m:r>
                <m:t>j</m:t>
              </m:r>
            </m:sub>
            <m:sup>
              <m:r>
                <m:rPr>
                  <m:sty m:val="p"/>
                </m:rPr>
                <m:t>*</m:t>
              </m:r>
            </m:sup>
          </m:sSubSup>
          <m:r>
            <m:rPr>
              <m:sty m:val="p"/>
            </m:rPr>
            <m:t>−</m:t>
          </m:r>
          <m:limLow>
            <m:e>
              <m:r>
                <m:rPr>
                  <m:sty m:val="p"/>
                </m:rPr>
                <m:t>max</m:t>
              </m:r>
            </m:e>
            <m:lim>
              <m:r>
                <m:t>j</m:t>
              </m:r>
              <m:r>
                <m:rPr>
                  <m:sty m:val="p"/>
                </m:rPr>
                <m:t>′</m:t>
              </m:r>
              <m:r>
                <m:rPr>
                  <m:sty m:val="p"/>
                </m:rPr>
                <m:t>≠</m:t>
              </m:r>
              <m:r>
                <m:t>j</m:t>
              </m:r>
            </m:lim>
          </m:limLow>
          <m:sSubSup>
            <m:e>
              <m:r>
                <m:t>W</m:t>
              </m:r>
            </m:e>
            <m:sub>
              <m:r>
                <m:t>i</m:t>
              </m:r>
              <m:r>
                <m:t>j</m:t>
              </m:r>
              <m:r>
                <m:rPr>
                  <m:sty m:val="p"/>
                </m:rPr>
                <m:t>′</m:t>
              </m:r>
            </m:sub>
            <m:sup>
              <m:r>
                <m:rPr>
                  <m:sty m:val="p"/>
                </m:rPr>
                <m:t>*</m:t>
              </m:r>
            </m:sup>
          </m:sSubSup>
          <m:r>
            <m:rPr>
              <m:sty m:val="p"/>
            </m:rPr>
            <m:t>.</m:t>
          </m:r>
        </m:oMath>
      </m:oMathPara>
    </w:p>
    <w:p>
      <w:pPr>
        <w:pStyle w:val="FirstParagraph"/>
      </w:pPr>
      <w:r>
        <w:t xml:space="preserve">Genes were ranked in descending order of</w:t>
      </w:r>
      <w:r>
        <w:t xml:space="preserve"> </w:t>
      </w:r>
      <m:oMath>
        <m:sSub>
          <m:e>
            <m:r>
              <m:t>s</m:t>
            </m:r>
          </m:e>
          <m:sub>
            <m:r>
              <m:t>i</m:t>
            </m:r>
            <m:r>
              <m:t>j</m:t>
            </m:r>
          </m:sub>
        </m:sSub>
      </m:oMath>
      <w:r>
        <w:t xml:space="preserve">. This ranking defines both the</w:t>
      </w:r>
      <w:r>
        <w:t xml:space="preserve"> </w:t>
      </w:r>
      <w:r>
        <w:t xml:space="preserve">top-</w:t>
      </w:r>
      <m:oMath>
        <m:sSub>
          <m:e>
            <m:r>
              <m:t>n</m:t>
            </m:r>
          </m:e>
          <m:sub>
            <m:r>
              <m:rPr>
                <m:nor/>
                <m:sty m:val="p"/>
              </m:rPr>
              <m:t>top</m:t>
            </m:r>
          </m:sub>
        </m:sSub>
      </m:oMath>
      <w:r>
        <w:t xml:space="preserve"> </w:t>
      </w:r>
      <w:r>
        <w:t xml:space="preserve">genes used to score samples (Supplementary Data: factor-specific</w:t>
      </w:r>
      <w:r>
        <w:t xml:space="preserve"> </w:t>
      </w:r>
      <w:r>
        <w:t xml:space="preserve">gene lists) and, for the top 50 genes per factor, the loadings used to quantify</w:t>
      </w:r>
      <w:r>
        <w:t xml:space="preserve"> </w:t>
      </w:r>
      <w:r>
        <w:t xml:space="preserve">factor–program correspondence.</w:t>
      </w:r>
    </w:p>
    <w:p>
      <w:pPr>
        <w:pStyle w:val="BodyText"/>
      </w:pPr>
      <w:r>
        <w:t xml:space="preserve">For each factor</w:t>
      </w:r>
      <w:r>
        <w:t xml:space="preserve"> </w:t>
      </w:r>
      <m:oMath>
        <m:r>
          <m:t>j</m:t>
        </m:r>
      </m:oMath>
      <w:r>
        <w:t xml:space="preserve"> </w:t>
      </w:r>
      <w:r>
        <w:t xml:space="preserve">and each reference gene program</w:t>
      </w:r>
      <w:r>
        <w:t xml:space="preserve"> </w:t>
      </w:r>
      <m:oMath>
        <m:sSub>
          <m:e>
            <m:r>
              <m:t>G</m:t>
            </m:r>
          </m:e>
          <m:sub>
            <m:r>
              <m:t>k</m:t>
            </m:r>
          </m:sub>
        </m:sSub>
      </m:oMath>
      <w:r>
        <w:t xml:space="preserve">, we computed the</w:t>
      </w:r>
      <w:r>
        <w:t xml:space="preserve"> </w:t>
      </w:r>
      <w:r>
        <w:t xml:space="preserve">Spearman rank correlation between the continuous factor loadings</w:t>
      </w:r>
      <w:r>
        <w:t xml:space="preserve"> </w:t>
      </w:r>
      <m:oMath>
        <m:sSub>
          <m:e>
            <m:r>
              <m:t>W</m:t>
            </m:r>
          </m:e>
          <m:sub>
            <m:r>
              <m:rPr>
                <m:sty m:val="p"/>
              </m:rPr>
              <m:t>⋅</m:t>
            </m:r>
            <m:r>
              <m:t>j</m:t>
            </m:r>
          </m:sub>
        </m:sSub>
      </m:oMath>
      <w:r>
        <w:t xml:space="preserve"> </w:t>
      </w:r>
      <w:r>
        <w:t xml:space="preserve">(restricted to the union of the per-factor top-50 gene sets intersected with the</w:t>
      </w:r>
      <w:r>
        <w:t xml:space="preserve"> </w:t>
      </w:r>
      <w:r>
        <w:t xml:space="preserve">reference programs) and a binary indicator vector</w:t>
      </w:r>
      <w:r>
        <w:t xml:space="preserve"> </w:t>
      </w:r>
      <m:oMath>
        <m:r>
          <m:rPr>
            <m:sty m:val="b"/>
          </m:rPr>
          <m:t>1</m:t>
        </m:r>
        <m:d>
          <m:dPr>
            <m:begChr m:val="["/>
            <m:endChr m:val="]"/>
            <m:sepChr m:val=""/>
            <m:grow/>
          </m:dPr>
          <m:e>
            <m:r>
              <m:rPr>
                <m:nor/>
                <m:sty m:val="p"/>
              </m:rPr>
              <m:t>gene</m:t>
            </m:r>
            <m:r>
              <m:rPr>
                <m:sty m:val="p"/>
              </m:rPr>
              <m:t>∈</m:t>
            </m:r>
            <m:sSub>
              <m:e>
                <m:r>
                  <m:t>G</m:t>
                </m:r>
              </m:e>
              <m:sub>
                <m:r>
                  <m:t>k</m:t>
                </m:r>
              </m:sub>
            </m:sSub>
          </m:e>
        </m:d>
      </m:oMath>
      <w:r>
        <w:t xml:space="preserve"> </w:t>
      </w:r>
      <w:r>
        <w:t xml:space="preserve">(main-text Fig. 2a,b; Methods).</w:t>
      </w:r>
      <w:r>
        <w:t xml:space="preserve"> </w:t>
      </w:r>
      <m:oMath>
        <m:r>
          <m:t>P</m:t>
        </m:r>
      </m:oMath>
      <w:r>
        <w:t xml:space="preserve"> </w:t>
      </w:r>
      <w:r>
        <w:t xml:space="preserve">values were derived from the asymptotic</w:t>
      </w:r>
      <w:r>
        <w:t xml:space="preserve"> </w:t>
      </w:r>
      <w:r>
        <w:t xml:space="preserve">Spearman test and adjusted for multiple comparisons using the Benjamini–Hochberg</w:t>
      </w:r>
      <w:r>
        <w:t xml:space="preserve"> </w:t>
      </w:r>
      <w:r>
        <w:t xml:space="preserve">procedure within each factor column independently. Reference programs were</w:t>
      </w:r>
      <w:r>
        <w:t xml:space="preserve"> </w:t>
      </w:r>
      <w:r>
        <w:t xml:space="preserve">included in the visualization only if at least one factor yielded a Spearman</w:t>
      </w:r>
      <w:r>
        <w:t xml:space="preserve"> </w:t>
      </w:r>
      <w:r>
        <w:t xml:space="preserve">correlation exceeding</w:t>
      </w:r>
      <w:r>
        <w:t xml:space="preserve"> </w:t>
      </w:r>
      <m:oMath>
        <m:r>
          <m:t>0.2</m:t>
        </m:r>
      </m:oMath>
      <w:r>
        <w:t xml:space="preserve">.</w:t>
      </w:r>
    </w:p>
    <w:p>
      <w:pPr>
        <w:pStyle w:val="BodyText"/>
      </w:pPr>
      <w:r>
        <w:t xml:space="preserve">Reference gene programs displayed spanned classical and basal-like tumor</w:t>
      </w:r>
      <w:r>
        <w:t xml:space="preserve"> </w:t>
      </w:r>
      <w:r>
        <w:t xml:space="preserve">signatures and activated/immune stromal programs from Moffitt et al.</w:t>
      </w:r>
      <w:r>
        <w:br/>
      </w:r>
      <w:hyperlink w:anchor="ref-moffitt2015virtual">
        <w:r>
          <w:rPr>
            <w:rStyle w:val="Hyperlink"/>
            <w:vertAlign w:val="superscript"/>
          </w:rPr>
          <w:t xml:space="preserve">14</w:t>
        </w:r>
      </w:hyperlink>
      <w:r>
        <w:t xml:space="preserve">; classical and exocrine subtypes from Collisson et al.</w:t>
      </w:r>
      <w:r>
        <w:br/>
      </w:r>
      <w:hyperlink w:anchor="ref-collisson2011subtypes">
        <w:r>
          <w:rPr>
            <w:rStyle w:val="Hyperlink"/>
            <w:vertAlign w:val="superscript"/>
          </w:rPr>
          <w:t xml:space="preserve">19</w:t>
        </w:r>
      </w:hyperlink>
      <w:r>
        <w:t xml:space="preserve">; classical-tumor, basal-like-tumor, exocrine, and</w:t>
      </w:r>
      <w:r>
        <w:t xml:space="preserve"> </w:t>
      </w:r>
      <w:r>
        <w:t xml:space="preserve">activated-stroma compartment signatures from DECODER</w:t>
      </w:r>
      <w:hyperlink w:anchor="ref-peng2019novo">
        <w:r>
          <w:rPr>
            <w:rStyle w:val="Hyperlink"/>
            <w:vertAlign w:val="superscript"/>
          </w:rPr>
          <w:t xml:space="preserve">20</w:t>
        </w:r>
      </w:hyperlink>
      <w:r>
        <w:t xml:space="preserve">; the pure</w:t>
      </w:r>
      <w:r>
        <w:t xml:space="preserve"> </w:t>
      </w:r>
      <w:r>
        <w:t xml:space="preserve">classical, immune classical, desmoplastic, and basal-like tumor</w:t>
      </w:r>
      <w:r>
        <w:t xml:space="preserve"> </w:t>
      </w:r>
      <w:r>
        <w:t xml:space="preserve">microenvironment programs from Puleo et al. </w:t>
      </w:r>
      <w:hyperlink w:anchor="ref-puleo2018stratification">
        <w:r>
          <w:rPr>
            <w:rStyle w:val="Hyperlink"/>
            <w:vertAlign w:val="superscript"/>
          </w:rPr>
          <w:t xml:space="preserve">16</w:t>
        </w:r>
      </w:hyperlink>
      <w:r>
        <w:t xml:space="preserve">; the ECM</w:t>
      </w:r>
      <w:r>
        <w:t xml:space="preserve"> </w:t>
      </w:r>
      <w:r>
        <w:t xml:space="preserve">and immune programs from Maurer et al. </w:t>
      </w:r>
      <w:hyperlink w:anchor="ref-Maurer2019">
        <w:r>
          <w:rPr>
            <w:rStyle w:val="Hyperlink"/>
            <w:vertAlign w:val="superscript"/>
          </w:rPr>
          <w:t xml:space="preserve">21</w:t>
        </w:r>
      </w:hyperlink>
      <w:r>
        <w:t xml:space="preserve">; the iCAF</w:t>
      </w:r>
      <w:r>
        <w:t xml:space="preserve"> </w:t>
      </w:r>
      <w:r>
        <w:t xml:space="preserve">cancer-associated fibroblast signature from Elyada et al. </w:t>
      </w:r>
      <w:hyperlink w:anchor="ref-elyada2019cross">
        <w:r>
          <w:rPr>
            <w:rStyle w:val="Hyperlink"/>
            <w:vertAlign w:val="superscript"/>
          </w:rPr>
          <w:t xml:space="preserve">22</w:t>
        </w:r>
      </w:hyperlink>
      <w:r>
        <w:t xml:space="preserve">;</w:t>
      </w:r>
      <w:r>
        <w:t xml:space="preserve"> </w:t>
      </w:r>
      <w:r>
        <w:t xml:space="preserve">the proCAF, restCAF, and panCAF fibroblast subtypes from SCISSORS</w:t>
      </w:r>
      <w:hyperlink w:anchor="ref-leary2023s">
        <w:r>
          <w:rPr>
            <w:rStyle w:val="Hyperlink"/>
            <w:vertAlign w:val="superscript"/>
          </w:rPr>
          <w:t xml:space="preserve">23</w:t>
        </w:r>
      </w:hyperlink>
      <w:r>
        <w:t xml:space="preserve">; the proCAF and restCAF programs from the DeCAF study</w:t>
      </w:r>
      <w:hyperlink w:anchor="ref-peng2024determination">
        <w:r>
          <w:rPr>
            <w:rStyle w:val="Hyperlink"/>
            <w:vertAlign w:val="superscript"/>
          </w:rPr>
          <w:t xml:space="preserve">18</w:t>
        </w:r>
      </w:hyperlink>
      <w:r>
        <w:t xml:space="preserve">; the classical A subtype from Chan-Seng-Yue et al.</w:t>
      </w:r>
      <w:r>
        <w:br/>
      </w:r>
      <w:hyperlink w:anchor="ref-chansengyue2020transcription">
        <w:r>
          <w:rPr>
            <w:rStyle w:val="Hyperlink"/>
            <w:vertAlign w:val="superscript"/>
          </w:rPr>
          <w:t xml:space="preserve">24</w:t>
        </w:r>
      </w:hyperlink>
      <w:r>
        <w:t xml:space="preserve">; and the ADEX (aberrantly differentiated</w:t>
      </w:r>
      <w:r>
        <w:t xml:space="preserve"> </w:t>
      </w:r>
      <w:r>
        <w:t xml:space="preserve">endocrine exocrine) program from Bailey et al. </w:t>
      </w:r>
      <w:hyperlink w:anchor="ref-Bailey2016">
        <w:r>
          <w:rPr>
            <w:rStyle w:val="Hyperlink"/>
            <w:vertAlign w:val="superscript"/>
          </w:rPr>
          <w:t xml:space="preserve">15</w:t>
        </w:r>
      </w:hyperlink>
      <w:r>
        <w:t xml:space="preserve">. Bailey’s ADEX</w:t>
      </w:r>
      <w:r>
        <w:t xml:space="preserve"> </w:t>
      </w:r>
      <w:r>
        <w:t xml:space="preserve">program is retained because it is unique, whereas redundant Bailey programs,</w:t>
      </w:r>
      <w:r>
        <w:t xml:space="preserve"> </w:t>
      </w:r>
      <w:r>
        <w:t xml:space="preserve">periductal subtypes, and MSI subtypes were dropped as exact duplicates of, or</w:t>
      </w:r>
      <w:r>
        <w:t xml:space="preserve"> </w:t>
      </w:r>
      <w:r>
        <w:t xml:space="preserve">low-correlation relative to, other retained programs.</w:t>
      </w:r>
    </w:p>
    <w:p>
      <w:pPr>
        <w:pStyle w:val="BodyText"/>
      </w:pPr>
      <w:r>
        <w:t xml:space="preserve">\section{Reconstruction and Survival Contribution per Factor}</w:t>
      </w:r>
    </w:p>
    <w:p>
      <w:pPr>
        <w:pStyle w:val="BodyText"/>
      </w:pPr>
      <w:r>
        <w:t xml:space="preserve">NMF does not provide an orthogonal variance decomposition; it seeks a low-rank</w:t>
      </w:r>
      <w:r>
        <w:t xml:space="preserve"> </w:t>
      </w:r>
      <w:r>
        <w:t xml:space="preserve">reconstruction of the expression matrix</w:t>
      </w:r>
      <w:r>
        <w:t xml:space="preserve"> </w:t>
      </w:r>
      <m:oMath>
        <m:r>
          <m:t>X</m:t>
        </m:r>
        <m:r>
          <m:rPr>
            <m:sty m:val="p"/>
          </m:rPr>
          <m:t>≈</m:t>
        </m:r>
        <m:r>
          <m:t>W</m:t>
        </m:r>
        <m:r>
          <m:t>H</m:t>
        </m:r>
      </m:oMath>
      <w:r>
        <w:t xml:space="preserve">. We therefore measure</w:t>
      </w:r>
      <w:r>
        <w:t xml:space="preserve"> </w:t>
      </w:r>
      <w:r>
        <w:t xml:space="preserve">each factor’s contribution to reconstruction rather than to ``variance</w:t>
      </w:r>
      <w:r>
        <w:t xml:space="preserve"> </w:t>
      </w:r>
      <w:r>
        <w:t xml:space="preserve">explained.’’ For a subset of factors</w:t>
      </w:r>
      <w:r>
        <w:t xml:space="preserve"> </w:t>
      </w:r>
      <m:oMath>
        <m:r>
          <m:t>S</m:t>
        </m:r>
        <m:r>
          <m:rPr>
            <m:sty m:val="p"/>
          </m:rPr>
          <m:t>⊆</m:t>
        </m:r>
        <m:r>
          <m:rPr>
            <m:sty m:val="p"/>
          </m:rPr>
          <m:t>{</m:t>
        </m:r>
        <m:r>
          <m:t>1</m:t>
        </m:r>
        <m:r>
          <m:rPr>
            <m:sty m:val="p"/>
          </m:rPr>
          <m:t>,</m:t>
        </m:r>
        <m:r>
          <m:rPr>
            <m:sty m:val="p"/>
          </m:rPr>
          <m:t>…</m:t>
        </m:r>
        <m:r>
          <m:rPr>
            <m:sty m:val="p"/>
          </m:rPr>
          <m:t>,</m:t>
        </m:r>
        <m:r>
          <m:t>k</m:t>
        </m:r>
        <m:r>
          <m:rPr>
            <m:sty m:val="p"/>
          </m:rPr>
          <m:t>}</m:t>
        </m:r>
      </m:oMath>
      <w:r>
        <w:t xml:space="preserve">, define the</w:t>
      </w:r>
      <w:r>
        <w:t xml:space="preserve"> </w:t>
      </w:r>
      <w:r>
        <w:t xml:space="preserve">reconstruction value</w:t>
      </w:r>
    </w:p>
    <w:p>
      <w:pPr>
        <w:pStyle w:val="BodyText"/>
      </w:pPr>
      <m:oMathPara>
        <m:oMathParaPr>
          <m:jc m:val="center"/>
        </m:oMathParaPr>
        <m:oMath>
          <m:r>
            <m:t>v</m:t>
          </m:r>
          <m:d>
            <m:dPr>
              <m:begChr m:val="("/>
              <m:endChr m:val=")"/>
              <m:sepChr m:val=""/>
              <m:grow/>
            </m:dPr>
            <m:e>
              <m:r>
                <m:t>S</m:t>
              </m:r>
            </m:e>
          </m:d>
          <m:r>
            <m:rPr>
              <m:sty m:val="p"/>
            </m:rPr>
            <m:t>=</m:t>
          </m:r>
          <m:r>
            <m:rPr>
              <m:sty m:val="p"/>
            </m:rPr>
            <m:t>∥</m:t>
          </m:r>
          <m:r>
            <m:t>X</m:t>
          </m:r>
          <m:sSubSup>
            <m:e>
              <m:r>
                <m:rPr>
                  <m:sty m:val="p"/>
                </m:rPr>
                <m:t>∥</m:t>
              </m:r>
            </m:e>
            <m:sub>
              <m:r>
                <m:t>F</m:t>
              </m:r>
            </m:sub>
            <m:sup>
              <m:r>
                <m:t>2</m:t>
              </m:r>
            </m:sup>
          </m:sSubSup>
          <m:r>
            <m:rPr>
              <m:sty m:val="p"/>
            </m:rPr>
            <m:t>−</m:t>
          </m:r>
          <m:r>
            <m:rPr>
              <m:sty m:val="p"/>
            </m:rPr>
            <m:t>∥</m:t>
          </m:r>
          <m:r>
            <m:t>X</m:t>
          </m:r>
          <m:r>
            <m:rPr>
              <m:sty m:val="p"/>
            </m:rPr>
            <m:t>−</m:t>
          </m:r>
          <m:nary>
            <m:naryPr>
              <m:chr m:val="∑"/>
              <m:limLoc m:val="undOvr"/>
              <m:subHide m:val="off"/>
              <m:supHide m:val="on"/>
            </m:naryPr>
            <m:sub>
              <m:r>
                <m:t>j</m:t>
              </m:r>
              <m:r>
                <m:rPr>
                  <m:sty m:val="p"/>
                </m:rPr>
                <m:t>∈</m:t>
              </m:r>
              <m:r>
                <m:t>S</m:t>
              </m:r>
            </m:sub>
            <m:sup>
              <m:r>
                <m:t>​</m:t>
              </m:r>
            </m:sup>
            <m:e>
              <m:sSub>
                <m:e>
                  <m:r>
                    <m:t>W</m:t>
                  </m:r>
                </m:e>
                <m:sub>
                  <m:r>
                    <m:rPr>
                      <m:sty m:val="p"/>
                    </m:rPr>
                    <m:t>⋅</m:t>
                  </m:r>
                  <m:r>
                    <m:t>j</m:t>
                  </m:r>
                </m:sub>
              </m:sSub>
            </m:e>
          </m:nary>
          <m:sSub>
            <m:e>
              <m:r>
                <m:t>H</m:t>
              </m:r>
            </m:e>
            <m:sub>
              <m:r>
                <m:t>j</m:t>
              </m:r>
              <m:r>
                <m:rPr>
                  <m:sty m:val="p"/>
                </m:rPr>
                <m:t>⋅</m:t>
              </m:r>
            </m:sub>
          </m:sSub>
          <m:sSubSup>
            <m:e>
              <m:r>
                <m:rPr>
                  <m:sty m:val="p"/>
                </m:rPr>
                <m:t>∥</m:t>
              </m:r>
            </m:e>
            <m:sub>
              <m:r>
                <m:t>F</m:t>
              </m:r>
            </m:sub>
            <m:sup>
              <m:r>
                <m:t>2</m:t>
              </m:r>
            </m:sup>
          </m:sSubSup>
          <m:r>
            <m:rPr>
              <m:sty m:val="p"/>
            </m:rPr>
            <m:t>,</m:t>
          </m:r>
        </m:oMath>
      </m:oMathPara>
    </w:p>
    <w:p>
      <w:pPr>
        <w:pStyle w:val="FirstParagraph"/>
      </w:pPr>
      <w:r>
        <w:t xml:space="preserve">the reduction in residual error relative to the null (zero-factor) model, where</w:t>
      </w:r>
      <w:r>
        <w:t xml:space="preserve"> </w:t>
      </w:r>
      <m:oMath>
        <m:sSub>
          <m:e>
            <m:r>
              <m:t>W</m:t>
            </m:r>
          </m:e>
          <m:sub>
            <m:r>
              <m:rPr>
                <m:sty m:val="p"/>
              </m:rPr>
              <m:t>⋅</m:t>
            </m:r>
            <m:r>
              <m:t>j</m:t>
            </m:r>
          </m:sub>
        </m:sSub>
        <m:sSub>
          <m:e>
            <m:r>
              <m:t>H</m:t>
            </m:r>
          </m:e>
          <m:sub>
            <m:r>
              <m:t>j</m:t>
            </m:r>
            <m:r>
              <m:rPr>
                <m:sty m:val="p"/>
              </m:rPr>
              <m:t>⋅</m:t>
            </m:r>
          </m:sub>
        </m:sSub>
      </m:oMath>
      <w:r>
        <w:t xml:space="preserve"> </w:t>
      </w:r>
      <w:r>
        <w:t xml:space="preserve">is the rank-one outer-product contribution of factor</w:t>
      </w:r>
      <w:r>
        <w:t xml:space="preserve"> </w:t>
      </w:r>
      <m:oMath>
        <m:r>
          <m:t>j</m:t>
        </m:r>
      </m:oMath>
      <w:r>
        <w:t xml:space="preserve"> </w:t>
      </w:r>
      <w:r>
        <w:t xml:space="preserve">(the outer product of column</w:t>
      </w:r>
      <w:r>
        <w:t xml:space="preserve"> </w:t>
      </w:r>
      <m:oMath>
        <m:r>
          <m:t>j</m:t>
        </m:r>
      </m:oMath>
      <w:r>
        <w:t xml:space="preserve"> </w:t>
      </w:r>
      <w:r>
        <w:t xml:space="preserve">of</w:t>
      </w:r>
      <w:r>
        <w:t xml:space="preserve"> </w:t>
      </w:r>
      <m:oMath>
        <m:r>
          <m:t>W</m:t>
        </m:r>
      </m:oMath>
      <w:r>
        <w:t xml:space="preserve"> </w:t>
      </w:r>
      <w:r>
        <w:t xml:space="preserve">with row</w:t>
      </w:r>
      <w:r>
        <w:t xml:space="preserve"> </w:t>
      </w:r>
      <m:oMath>
        <m:r>
          <m:t>j</m:t>
        </m:r>
      </m:oMath>
      <w:r>
        <w:t xml:space="preserve"> </w:t>
      </w:r>
      <w:r>
        <w:t xml:space="preserve">of</w:t>
      </w:r>
      <w:r>
        <w:t xml:space="preserve"> </w:t>
      </w:r>
      <m:oMath>
        <m:r>
          <m:t>H</m:t>
        </m:r>
      </m:oMath>
      <w:r>
        <w:t xml:space="preserve">). The</w:t>
      </w:r>
      <w:r>
        <w:t xml:space="preserve"> </w:t>
      </w:r>
      <w:r>
        <w:t xml:space="preserve">reconstruction Shapley value</w:t>
      </w:r>
      <w:hyperlink w:anchor="ref-shapley1953value">
        <w:r>
          <w:rPr>
            <w:rStyle w:val="Hyperlink"/>
            <w:vertAlign w:val="superscript"/>
          </w:rPr>
          <w:t xml:space="preserve">25</w:t>
        </w:r>
      </w:hyperlink>
      <w:r>
        <w:t xml:space="preserve"> </w:t>
      </w:r>
      <w:r>
        <w:t xml:space="preserve">of factor</w:t>
      </w:r>
      <w:r>
        <w:t xml:space="preserve"> </w:t>
      </w:r>
      <m:oMath>
        <m:r>
          <m:t>j</m:t>
        </m:r>
      </m:oMath>
      <w:r>
        <w:t xml:space="preserve">,</w:t>
      </w:r>
    </w:p>
    <w:p>
      <w:pPr>
        <w:pStyle w:val="BodyText"/>
      </w:pPr>
      <m:oMathPara>
        <m:oMathParaPr>
          <m:jc m:val="center"/>
        </m:oMathParaPr>
        <m:oMath>
          <m:sSub>
            <m:e>
              <m:r>
                <m:t>ϕ</m:t>
              </m:r>
            </m:e>
            <m:sub>
              <m:r>
                <m:t>j</m:t>
              </m:r>
            </m:sub>
          </m:sSub>
          <m:r>
            <m:rPr>
              <m:sty m:val="p"/>
            </m:rPr>
            <m:t>=</m:t>
          </m:r>
          <m:nary>
            <m:naryPr>
              <m:chr m:val="∑"/>
              <m:limLoc m:val="undOvr"/>
              <m:subHide m:val="off"/>
              <m:supHide m:val="on"/>
            </m:naryPr>
            <m:sub>
              <m:r>
                <m:t>S</m:t>
              </m:r>
              <m:r>
                <m:rPr>
                  <m:sty m:val="p"/>
                </m:rPr>
                <m:t>⊆</m:t>
              </m:r>
              <m:r>
                <m:rPr>
                  <m:sty m:val="p"/>
                </m:rPr>
                <m:t>{</m:t>
              </m:r>
              <m:r>
                <m:t>1</m:t>
              </m:r>
              <m:r>
                <m:rPr>
                  <m:sty m:val="p"/>
                </m:rPr>
                <m:t>,</m:t>
              </m:r>
              <m:r>
                <m:rPr>
                  <m:sty m:val="p"/>
                </m:rPr>
                <m:t>…</m:t>
              </m:r>
              <m:r>
                <m:rPr>
                  <m:sty m:val="p"/>
                </m:rPr>
                <m:t>,</m:t>
              </m:r>
              <m:r>
                <m:t>k</m:t>
              </m:r>
              <m:r>
                <m:rPr>
                  <m:sty m:val="p"/>
                </m:rPr>
                <m:t>}</m:t>
              </m:r>
              <m:r>
                <m:rPr>
                  <m:sty m:val="p"/>
                </m:rPr>
                <m:t>\</m:t>
              </m:r>
              <m:r>
                <m:rPr>
                  <m:sty m:val="p"/>
                </m:rPr>
                <m:t>{</m:t>
              </m:r>
              <m:r>
                <m:t>j</m:t>
              </m:r>
              <m:r>
                <m:rPr>
                  <m:sty m:val="p"/>
                </m:rPr>
                <m:t>}</m:t>
              </m:r>
            </m:sub>
            <m:sup>
              <m:r>
                <m:t>​</m:t>
              </m:r>
            </m:sup>
            <m:e>
              <m:f>
                <m:fPr>
                  <m:type m:val="bar"/>
                </m:fPr>
                <m:num>
                  <m:d>
                    <m:dPr>
                      <m:begChr m:val="|"/>
                      <m:endChr m:val="|"/>
                      <m:sepChr m:val=""/>
                      <m:grow/>
                    </m:dPr>
                    <m:e>
                      <m:r>
                        <m:t>S</m:t>
                      </m:r>
                    </m:e>
                  </m:d>
                  <m:r>
                    <m:rPr>
                      <m:sty m:val="p"/>
                    </m:rPr>
                    <m:t>!</m:t>
                  </m:r>
                  <m:r>
                    <m:t> </m:t>
                  </m:r>
                  <m:d>
                    <m:dPr>
                      <m:begChr m:val="("/>
                      <m:endChr m:val=")"/>
                      <m:sepChr m:val=""/>
                      <m:grow/>
                    </m:dPr>
                    <m:e>
                      <m:r>
                        <m:t>k</m:t>
                      </m:r>
                      <m:r>
                        <m:rPr>
                          <m:sty m:val="p"/>
                        </m:rPr>
                        <m:t>−</m:t>
                      </m:r>
                      <m:d>
                        <m:dPr>
                          <m:begChr m:val="|"/>
                          <m:endChr m:val="|"/>
                          <m:sepChr m:val=""/>
                          <m:grow/>
                        </m:dPr>
                        <m:e>
                          <m:r>
                            <m:t>S</m:t>
                          </m:r>
                        </m:e>
                      </m:d>
                      <m:r>
                        <m:rPr>
                          <m:sty m:val="p"/>
                        </m:rPr>
                        <m:t>−</m:t>
                      </m:r>
                      <m:r>
                        <m:t>1</m:t>
                      </m:r>
                    </m:e>
                  </m:d>
                  <m:r>
                    <m:rPr>
                      <m:sty m:val="p"/>
                    </m:rPr>
                    <m:t>!</m:t>
                  </m:r>
                </m:num>
                <m:den>
                  <m:r>
                    <m:t>k</m:t>
                  </m:r>
                  <m:r>
                    <m:rPr>
                      <m:sty m:val="p"/>
                    </m:rPr>
                    <m:t>!</m:t>
                  </m:r>
                </m:den>
              </m:f>
            </m:e>
          </m:nary>
          <m:r>
            <m:t> </m:t>
          </m:r>
          <m:d>
            <m:dPr>
              <m:begChr m:val="("/>
              <m:endChr m:val=")"/>
              <m:sepChr m:val=""/>
              <m:grow/>
            </m:dPr>
            <m:e>
              <m:r>
                <m:t>v</m:t>
              </m:r>
              <m:d>
                <m:dPr>
                  <m:begChr m:val="("/>
                  <m:endChr m:val=")"/>
                  <m:sepChr m:val=""/>
                  <m:grow/>
                </m:dPr>
                <m:e>
                  <m:r>
                    <m:t>S</m:t>
                  </m:r>
                  <m:r>
                    <m:rPr>
                      <m:sty m:val="p"/>
                    </m:rPr>
                    <m:t>∪</m:t>
                  </m:r>
                  <m:r>
                    <m:rPr>
                      <m:sty m:val="p"/>
                    </m:rPr>
                    <m:t>{</m:t>
                  </m:r>
                  <m:r>
                    <m:t>j</m:t>
                  </m:r>
                  <m:r>
                    <m:rPr>
                      <m:sty m:val="p"/>
                    </m:rPr>
                    <m:t>}</m:t>
                  </m:r>
                </m:e>
              </m:d>
              <m:r>
                <m:rPr>
                  <m:sty m:val="p"/>
                </m:rPr>
                <m:t>−</m:t>
              </m:r>
              <m:r>
                <m:t>v</m:t>
              </m:r>
              <m:d>
                <m:dPr>
                  <m:begChr m:val="("/>
                  <m:endChr m:val=")"/>
                  <m:sepChr m:val=""/>
                  <m:grow/>
                </m:dPr>
                <m:e>
                  <m:r>
                    <m:t>S</m:t>
                  </m:r>
                </m:e>
              </m:d>
            </m:e>
          </m:d>
          <m:r>
            <m:rPr>
              <m:sty m:val="p"/>
            </m:rPr>
            <m:t>,</m:t>
          </m:r>
        </m:oMath>
      </m:oMathPara>
    </w:p>
    <w:p>
      <w:pPr>
        <w:pStyle w:val="FirstParagraph"/>
      </w:pPr>
      <w:r>
        <w:t xml:space="preserve">is its average marginal reconstruction gain over all orderings of the factors.</w:t>
      </w:r>
      <w:r>
        <w:t xml:space="preserve"> </w:t>
      </w:r>
      <w:r>
        <w:t xml:space="preserve">By the Shapley efficiency axiom,</w:t>
      </w:r>
      <w:r>
        <w:t xml:space="preserve"> </w:t>
      </w:r>
      <m:oMath>
        <m:nary>
          <m:naryPr>
            <m:chr m:val="∑"/>
            <m:limLoc m:val="undOvr"/>
            <m:subHide m:val="off"/>
            <m:supHide m:val="on"/>
          </m:naryPr>
          <m:sub>
            <m:r>
              <m:t>j</m:t>
            </m:r>
          </m:sub>
          <m:sup>
            <m:r>
              <m:t>​</m:t>
            </m:r>
          </m:sup>
          <m:e>
            <m:sSub>
              <m:e>
                <m:r>
                  <m:t>ϕ</m:t>
                </m:r>
              </m:e>
              <m:sub>
                <m:r>
                  <m:t>j</m:t>
                </m:r>
              </m:sub>
            </m:sSub>
          </m:e>
        </m:nary>
        <m:r>
          <m:rPr>
            <m:sty m:val="p"/>
          </m:rPr>
          <m:t>=</m:t>
        </m:r>
        <m:r>
          <m:t>v</m:t>
        </m:r>
        <m:d>
          <m:dPr>
            <m:begChr m:val="("/>
            <m:endChr m:val=")"/>
            <m:sepChr m:val=""/>
            <m:grow/>
          </m:dPr>
          <m:e>
            <m:r>
              <m:rPr>
                <m:sty m:val="p"/>
              </m:rPr>
              <m:t>{</m:t>
            </m:r>
            <m:r>
              <m:t>1</m:t>
            </m:r>
            <m:r>
              <m:rPr>
                <m:sty m:val="p"/>
              </m:rPr>
              <m:t>,</m:t>
            </m:r>
            <m:r>
              <m:rPr>
                <m:sty m:val="p"/>
              </m:rPr>
              <m:t>…</m:t>
            </m:r>
            <m:r>
              <m:rPr>
                <m:sty m:val="p"/>
              </m:rPr>
              <m:t>,</m:t>
            </m:r>
            <m:r>
              <m:t>k</m:t>
            </m:r>
            <m:r>
              <m:rPr>
                <m:sty m:val="p"/>
              </m:rPr>
              <m:t>}</m:t>
            </m:r>
          </m:e>
        </m:d>
      </m:oMath>
      <w:r>
        <w:t xml:space="preserve">, the total</w:t>
      </w:r>
      <w:r>
        <w:t xml:space="preserve"> </w:t>
      </w:r>
      <w:r>
        <w:t xml:space="preserve">reconstruction gain of the full model, so the normalized shares</w:t>
      </w:r>
      <w:r>
        <w:t xml:space="preserve"> </w:t>
      </w:r>
      <m:oMath>
        <m:sSub>
          <m:e>
            <m:r>
              <m:t>ϕ</m:t>
            </m:r>
          </m:e>
          <m:sub>
            <m:r>
              <m:t>j</m:t>
            </m:r>
          </m:sub>
        </m:sSub>
        <m:r>
          <m:rPr>
            <m:sty m:val="p"/>
          </m:rPr>
          <m:t>/</m:t>
        </m:r>
        <m:nary>
          <m:naryPr>
            <m:chr m:val="∑"/>
            <m:limLoc m:val="undOvr"/>
            <m:subHide m:val="off"/>
            <m:supHide m:val="on"/>
          </m:naryPr>
          <m:sub>
            <m:r>
              <m:t>l</m:t>
            </m:r>
          </m:sub>
          <m:sup>
            <m:r>
              <m:t>​</m:t>
            </m:r>
          </m:sup>
          <m:e>
            <m:sSub>
              <m:e>
                <m:r>
                  <m:t>ϕ</m:t>
                </m:r>
              </m:e>
              <m:sub>
                <m:r>
                  <m:t>l</m:t>
                </m:r>
              </m:sub>
            </m:sSub>
          </m:e>
        </m:nary>
      </m:oMath>
      <w:r>
        <w:t xml:space="preserve"> </w:t>
      </w:r>
      <w:r>
        <w:t xml:space="preserve">form an additive decomposition of reconstruction that</w:t>
      </w:r>
      <w:r>
        <w:t xml:space="preserve"> </w:t>
      </w:r>
      <w:r>
        <w:t xml:space="preserve">sums to one; individual shares may be signed in principle but were all positive</w:t>
      </w:r>
      <w:r>
        <w:t xml:space="preserve"> </w:t>
      </w:r>
      <w:r>
        <w:t xml:space="preserve">in the reported PDAC models. This is a genuine additive decomposition, in contrast to per-factor</w:t>
      </w:r>
      <w:r>
        <w:t xml:space="preserve"> </w:t>
      </w:r>
      <w:r>
        <w:t xml:space="preserve">variance fractions, which for non-orthogonal factorizations such as NMF do not</w:t>
      </w:r>
      <w:r>
        <w:t xml:space="preserve"> </w:t>
      </w:r>
      <w:r>
        <w:t xml:space="preserve">partition (cross-terms between rank-one contributions are non-zero). The Shapley</w:t>
      </w:r>
      <w:r>
        <w:t xml:space="preserve"> </w:t>
      </w:r>
      <w:r>
        <w:t xml:space="preserve">shares are computed exactly by enumerating the</w:t>
      </w:r>
      <w:r>
        <w:t xml:space="preserve"> </w:t>
      </w:r>
      <m:oMath>
        <m:sSup>
          <m:e>
            <m:r>
              <m:t>2</m:t>
            </m:r>
          </m:e>
          <m:sup>
            <m:r>
              <m:t>k</m:t>
            </m:r>
          </m:sup>
        </m:sSup>
      </m:oMath>
      <w:r>
        <w:t xml:space="preserve"> </w:t>
      </w:r>
      <w:r>
        <w:t xml:space="preserve">subsets (trivial at the</w:t>
      </w:r>
      <w:r>
        <w:t xml:space="preserve"> </w:t>
      </w:r>
      <w:r>
        <w:t xml:space="preserve">small ranks considered here).</w:t>
      </w:r>
    </w:p>
    <w:p>
      <w:pPr>
        <w:pStyle w:val="BodyText"/>
      </w:pPr>
      <w:r>
        <w:t xml:space="preserve">The survival contribution of factor</w:t>
      </w:r>
      <w:r>
        <w:t xml:space="preserve"> </w:t>
      </w:r>
      <m:oMath>
        <m:r>
          <m:t>j</m:t>
        </m:r>
      </m:oMath>
      <w:r>
        <w:t xml:space="preserve"> </w:t>
      </w:r>
      <w:r>
        <w:t xml:space="preserve">was quantified as the Type III partial</w:t>
      </w:r>
      <w:r>
        <w:t xml:space="preserve"> </w:t>
      </w:r>
      <w:r>
        <w:t xml:space="preserve">likelihood increment: the reduction in Cox partial log-likelihood when factor</w:t>
      </w:r>
      <w:r>
        <w:t xml:space="preserve"> </w:t>
      </w:r>
      <m:oMath>
        <m:r>
          <m:t>j</m:t>
        </m:r>
      </m:oMath>
      <w:r>
        <w:t xml:space="preserve"> </w:t>
      </w:r>
      <w:r>
        <w:t xml:space="preserve">is omitted from the full</w:t>
      </w:r>
      <w:r>
        <w:t xml:space="preserve"> </w:t>
      </w:r>
      <m:oMath>
        <m:r>
          <m:t>k</m:t>
        </m:r>
      </m:oMath>
      <w:r>
        <w:t xml:space="preserve">-factor model,</w:t>
      </w:r>
    </w:p>
    <w:p>
      <w:pPr>
        <w:pStyle w:val="BodyText"/>
      </w:pPr>
      <m:oMathPara>
        <m:oMathParaPr>
          <m:jc m:val="center"/>
        </m:oMathParaPr>
        <m:oMath>
          <m:r>
            <m:t>Δ</m:t>
          </m:r>
          <m:sSub>
            <m:e>
              <m:r>
                <m:rPr>
                  <m:sty m:val="p"/>
                </m:rPr>
                <m:t>ℓ</m:t>
              </m:r>
            </m:e>
            <m:sub>
              <m:r>
                <m:t>j</m:t>
              </m:r>
            </m:sub>
          </m:sSub>
          <m:r>
            <m:rPr>
              <m:sty m:val="p"/>
            </m:rPr>
            <m:t>=</m:t>
          </m:r>
          <m:sSub>
            <m:e>
              <m:r>
                <m:rPr>
                  <m:sty m:val="p"/>
                </m:rPr>
                <m:t>ℓ</m:t>
              </m:r>
            </m:e>
            <m:sub>
              <m:r>
                <m:rPr>
                  <m:nor/>
                  <m:sty m:val="p"/>
                </m:rPr>
                <m:t>full</m:t>
              </m:r>
            </m:sub>
          </m:sSub>
          <m:d>
            <m:dPr>
              <m:begChr m:val="("/>
              <m:endChr m:val=")"/>
              <m:sepChr m:val=""/>
              <m:grow/>
            </m:dPr>
            <m:e>
              <m:sSub>
                <m:e>
                  <m:acc>
                    <m:accPr>
                      <m:chr m:val="̂"/>
                    </m:accPr>
                    <m:e>
                      <m:r>
                        <m:t>β</m:t>
                      </m:r>
                    </m:e>
                  </m:acc>
                </m:e>
                <m:sub>
                  <m:r>
                    <m:rPr>
                      <m:nor/>
                      <m:sty m:val="p"/>
                    </m:rPr>
                    <m:t>full</m:t>
                  </m:r>
                </m:sub>
              </m:sSub>
            </m:e>
          </m:d>
          <m:r>
            <m:rPr>
              <m:sty m:val="p"/>
            </m:rPr>
            <m:t>−</m:t>
          </m:r>
          <m:sSub>
            <m:e>
              <m:r>
                <m:rPr>
                  <m:sty m:val="p"/>
                </m:rPr>
                <m:t>ℓ</m:t>
              </m:r>
            </m:e>
            <m:sub>
              <m:r>
                <m:rPr>
                  <m:sty m:val="p"/>
                </m:rPr>
                <m:t>−</m:t>
              </m:r>
              <m:r>
                <m:t>j</m:t>
              </m:r>
            </m:sub>
          </m:sSub>
          <m:d>
            <m:dPr>
              <m:begChr m:val="("/>
              <m:endChr m:val=")"/>
              <m:sepChr m:val=""/>
              <m:grow/>
            </m:dPr>
            <m:e>
              <m:sSub>
                <m:e>
                  <m:acc>
                    <m:accPr>
                      <m:chr m:val="̂"/>
                    </m:accPr>
                    <m:e>
                      <m:r>
                        <m:t>β</m:t>
                      </m:r>
                    </m:e>
                  </m:acc>
                </m:e>
                <m:sub>
                  <m:r>
                    <m:rPr>
                      <m:sty m:val="p"/>
                    </m:rPr>
                    <m:t>−</m:t>
                  </m:r>
                  <m:r>
                    <m:t>j</m:t>
                  </m:r>
                </m:sub>
              </m:sSub>
            </m:e>
          </m:d>
          <m:r>
            <m:rPr>
              <m:sty m:val="p"/>
            </m:rPr>
            <m:t>,</m:t>
          </m:r>
        </m:oMath>
      </m:oMathPara>
    </w:p>
    <w:p>
      <w:pPr>
        <w:pStyle w:val="FirstParagraph"/>
      </w:pPr>
      <w:r>
        <w:t xml:space="preserve">where</w:t>
      </w:r>
      <w:r>
        <w:t xml:space="preserve"> </w:t>
      </w:r>
      <m:oMath>
        <m:sSub>
          <m:e>
            <m:r>
              <m:rPr>
                <m:sty m:val="p"/>
              </m:rPr>
              <m:t>ℓ</m:t>
            </m:r>
          </m:e>
          <m:sub>
            <m:r>
              <m:rPr>
                <m:nor/>
                <m:sty m:val="p"/>
              </m:rPr>
              <m:t>full</m:t>
            </m:r>
          </m:sub>
        </m:sSub>
        <m:d>
          <m:dPr>
            <m:begChr m:val="("/>
            <m:endChr m:val=")"/>
            <m:sepChr m:val=""/>
            <m:grow/>
          </m:dPr>
          <m:e>
            <m:sSub>
              <m:e>
                <m:acc>
                  <m:accPr>
                    <m:chr m:val="̂"/>
                  </m:accPr>
                  <m:e>
                    <m:r>
                      <m:t>β</m:t>
                    </m:r>
                  </m:e>
                </m:acc>
              </m:e>
              <m:sub>
                <m:r>
                  <m:rPr>
                    <m:nor/>
                    <m:sty m:val="p"/>
                  </m:rPr>
                  <m:t>full</m:t>
                </m:r>
              </m:sub>
            </m:sSub>
          </m:e>
        </m:d>
      </m:oMath>
      <w:r>
        <w:t xml:space="preserve"> </w:t>
      </w:r>
      <w:r>
        <w:t xml:space="preserve">is the maximized unpenalized</w:t>
      </w:r>
      <w:r>
        <w:t xml:space="preserve"> </w:t>
      </w:r>
      <w:r>
        <w:t xml:space="preserve">Cox partial log-likelihood of the full</w:t>
      </w:r>
      <w:r>
        <w:t xml:space="preserve"> </w:t>
      </w:r>
      <m:oMath>
        <m:r>
          <m:t>k</m:t>
        </m:r>
      </m:oMath>
      <w:r>
        <w:t xml:space="preserve">-factor model and</w:t>
      </w:r>
      <w:r>
        <w:t xml:space="preserve"> </w:t>
      </w:r>
      <m:oMath>
        <m:sSub>
          <m:e>
            <m:r>
              <m:rPr>
                <m:sty m:val="p"/>
              </m:rPr>
              <m:t>ℓ</m:t>
            </m:r>
          </m:e>
          <m:sub>
            <m:r>
              <m:rPr>
                <m:sty m:val="p"/>
              </m:rPr>
              <m:t>−</m:t>
            </m:r>
            <m:r>
              <m:t>j</m:t>
            </m:r>
          </m:sub>
        </m:sSub>
        <m:d>
          <m:dPr>
            <m:begChr m:val="("/>
            <m:endChr m:val=")"/>
            <m:sepChr m:val=""/>
            <m:grow/>
          </m:dPr>
          <m:e>
            <m:sSub>
              <m:e>
                <m:acc>
                  <m:accPr>
                    <m:chr m:val="̂"/>
                  </m:accPr>
                  <m:e>
                    <m:r>
                      <m:t>β</m:t>
                    </m:r>
                  </m:e>
                </m:acc>
              </m:e>
              <m:sub>
                <m:r>
                  <m:rPr>
                    <m:sty m:val="p"/>
                  </m:rPr>
                  <m:t>−</m:t>
                </m:r>
                <m:r>
                  <m:t>j</m:t>
                </m:r>
              </m:sub>
            </m:sSub>
          </m:e>
        </m:d>
      </m:oMath>
      <w:r>
        <w:t xml:space="preserve"> </w:t>
      </w:r>
      <w:r>
        <w:t xml:space="preserve">is that of the reduced model refit on the remaining</w:t>
      </w:r>
      <w:r>
        <w:t xml:space="preserve"> </w:t>
      </w:r>
      <m:oMath>
        <m:r>
          <m:t>k</m:t>
        </m:r>
        <m:r>
          <m:rPr>
            <m:sty m:val="p"/>
          </m:rPr>
          <m:t>−</m:t>
        </m:r>
        <m:r>
          <m:t>1</m:t>
        </m:r>
      </m:oMath>
      <w:r>
        <w:t xml:space="preserve"> </w:t>
      </w:r>
      <w:r>
        <w:t xml:space="preserve">factors after omitting factor</w:t>
      </w:r>
      <w:r>
        <w:t xml:space="preserve"> </w:t>
      </w:r>
      <m:oMath>
        <m:r>
          <m:t>j</m:t>
        </m:r>
      </m:oMath>
      <w:r>
        <w:t xml:space="preserve">, each evaluated at its own maximum</w:t>
      </w:r>
      <w:r>
        <w:t xml:space="preserve"> </w:t>
      </w:r>
      <w:r>
        <w:t xml:space="preserve">partial likelihood estimate. Larger</w:t>
      </w:r>
      <w:r>
        <w:t xml:space="preserve"> </w:t>
      </w:r>
      <m:oMath>
        <m:r>
          <m:t>Δ</m:t>
        </m:r>
        <m:sSub>
          <m:e>
            <m:r>
              <m:rPr>
                <m:sty m:val="p"/>
              </m:rPr>
              <m:t>ℓ</m:t>
            </m:r>
          </m:e>
          <m:sub>
            <m:r>
              <m:t>j</m:t>
            </m:r>
          </m:sub>
        </m:sSub>
      </m:oMath>
      <w:r>
        <w:t xml:space="preserve"> </w:t>
      </w:r>
      <w:r>
        <w:t xml:space="preserve">indicates a greater</w:t>
      </w:r>
      <w:r>
        <w:t xml:space="preserve"> </w:t>
      </w:r>
      <w:r>
        <w:t xml:space="preserve">marginal contribution of factor</w:t>
      </w:r>
      <w:r>
        <w:t xml:space="preserve"> </w:t>
      </w:r>
      <m:oMath>
        <m:r>
          <m:t>j</m:t>
        </m:r>
      </m:oMath>
      <w:r>
        <w:t xml:space="preserve"> </w:t>
      </w:r>
      <w:r>
        <w:t xml:space="preserve">to survival prediction given all other</w:t>
      </w:r>
      <w:r>
        <w:t xml:space="preserve"> </w:t>
      </w:r>
      <w:r>
        <w:t xml:space="preserve">factors. Unlike the reconstruction Shapley shares, these Type III increments are</w:t>
      </w:r>
      <w:r>
        <w:t xml:space="preserve"> </w:t>
      </w:r>
      <w:r>
        <w:t xml:space="preserve">conditional (each is evaluated against the full complement of the remaining</w:t>
      </w:r>
      <w:r>
        <w:t xml:space="preserve"> </w:t>
      </w:r>
      <m:oMath>
        <m:r>
          <m:t>k</m:t>
        </m:r>
        <m:r>
          <m:rPr>
            <m:sty m:val="p"/>
          </m:rPr>
          <m:t>−</m:t>
        </m:r>
        <m:r>
          <m:t>1</m:t>
        </m:r>
      </m:oMath>
      <w:r>
        <w:t xml:space="preserve"> </w:t>
      </w:r>
      <w:r>
        <w:t xml:space="preserve">factors) and are nonadditive: they do not partition the total model partial</w:t>
      </w:r>
      <w:r>
        <w:t xml:space="preserve"> </w:t>
      </w:r>
      <w:r>
        <w:t xml:space="preserve">likelihood and are not comparable across factors as variance-style shares. We</w:t>
      </w:r>
      <w:r>
        <w:t xml:space="preserve"> </w:t>
      </w:r>
      <w:r>
        <w:t xml:space="preserve">therefore report them as per-factor conditional increments rather than as an</w:t>
      </w:r>
      <w:r>
        <w:t xml:space="preserve"> </w:t>
      </w:r>
      <w:r>
        <w:t xml:space="preserve">additive survival decomposition. These two quantities are plotted against each other in</w:t>
      </w:r>
      <w:r>
        <w:t xml:space="preserve"> </w:t>
      </w:r>
      <w:r>
        <w:t xml:space="preserve">main text, Fig. 2c. In PDAC at</w:t>
      </w:r>
      <w:r>
        <w:t xml:space="preserve"> </w:t>
      </w:r>
      <m:oMath>
        <m:r>
          <m:t>k</m:t>
        </m:r>
        <m:r>
          <m:rPr>
            <m:sty m:val="p"/>
          </m:rPr>
          <m:t>=</m:t>
        </m:r>
        <m:r>
          <m:t>3</m:t>
        </m:r>
      </m:oMath>
      <w:r>
        <w:t xml:space="preserve">, the reconstruction shares are</w:t>
      </w:r>
      <w:r>
        <w:t xml:space="preserve"> </w:t>
      </w:r>
      <m:oMath>
        <m:r>
          <m:t>41.8</m:t>
        </m:r>
        <m:r>
          <m:rPr>
            <m:sty m:val="p"/>
          </m:rPr>
          <m:t>%</m:t>
        </m:r>
        <m:r>
          <m:rPr>
            <m:sty m:val="p"/>
          </m:rPr>
          <m:t>/</m:t>
        </m:r>
        <m:r>
          <m:t>18.6</m:t>
        </m:r>
        <m:r>
          <m:rPr>
            <m:sty m:val="p"/>
          </m:rPr>
          <m:t>%</m:t>
        </m:r>
        <m:r>
          <m:rPr>
            <m:sty m:val="p"/>
          </m:rPr>
          <m:t>/</m:t>
        </m:r>
        <m:r>
          <m:t>39.7</m:t>
        </m:r>
        <m:r>
          <m:rPr>
            <m:sty m:val="p"/>
          </m:rPr>
          <m:t>%</m:t>
        </m:r>
      </m:oMath>
      <w:r>
        <w:t xml:space="preserve"> </w:t>
      </w:r>
      <w:r>
        <w:t xml:space="preserve">for NMF (N1/N2/N3) and</w:t>
      </w:r>
      <w:r>
        <w:t xml:space="preserve"> </w:t>
      </w:r>
      <m:oMath>
        <m:r>
          <m:t>18.8</m:t>
        </m:r>
        <m:r>
          <m:rPr>
            <m:sty m:val="p"/>
          </m:rPr>
          <m:t>%</m:t>
        </m:r>
        <m:r>
          <m:rPr>
            <m:sty m:val="p"/>
          </m:rPr>
          <m:t>/</m:t>
        </m:r>
        <m:r>
          <m:t>25.2</m:t>
        </m:r>
        <m:r>
          <m:rPr>
            <m:sty m:val="p"/>
          </m:rPr>
          <m:t>%</m:t>
        </m:r>
        <m:r>
          <m:rPr>
            <m:sty m:val="p"/>
          </m:rPr>
          <m:t>/</m:t>
        </m:r>
        <m:r>
          <m:t>56.0</m:t>
        </m:r>
        <m:r>
          <m:rPr>
            <m:sty m:val="p"/>
          </m:rPr>
          <m:t>%</m:t>
        </m:r>
      </m:oMath>
      <w:r>
        <w:t xml:space="preserve"> </w:t>
      </w:r>
      <w:r>
        <w:t xml:space="preserve">for DeSurv</w:t>
      </w:r>
      <w:r>
        <w:t xml:space="preserve"> </w:t>
      </w:r>
      <w:r>
        <w:t xml:space="preserve">(D1/D2/D3), while the survival contribution</w:t>
      </w:r>
      <w:r>
        <w:t xml:space="preserve"> </w:t>
      </w:r>
      <m:oMath>
        <m:r>
          <m:t>Δ</m:t>
        </m:r>
        <m:r>
          <m:rPr>
            <m:sty m:val="p"/>
          </m:rPr>
          <m:t>ℓ</m:t>
        </m:r>
      </m:oMath>
      <w:r>
        <w:t xml:space="preserve"> </w:t>
      </w:r>
      <w:r>
        <w:t xml:space="preserve">concentrates in DeSurv</w:t>
      </w:r>
      <w:r>
        <w:t xml:space="preserve"> </w:t>
      </w:r>
      <w:r>
        <w:t xml:space="preserve">D1 (</w:t>
      </w:r>
      <m:oMath>
        <m:r>
          <m:t>Δ</m:t>
        </m:r>
        <m:r>
          <m:rPr>
            <m:sty m:val="p"/>
          </m:rPr>
          <m:t>ℓ</m:t>
        </m:r>
        <m:r>
          <m:rPr>
            <m:sty m:val="p"/>
          </m:rPr>
          <m:t>=</m:t>
        </m:r>
        <m:r>
          <m:t>66.4</m:t>
        </m:r>
      </m:oMath>
      <w:r>
        <w:t xml:space="preserve">) with all NMF factors negligible. The factors that</w:t>
      </w:r>
      <w:r>
        <w:t xml:space="preserve"> </w:t>
      </w:r>
      <w:r>
        <w:t xml:space="preserve">contribute most to reconstruction are not the most prognostic.</w:t>
      </w:r>
    </w:p>
    <w:p>
      <w:pPr>
        <w:pStyle w:val="BodyText"/>
      </w:pPr>
      <w:r>
        <w:t xml:space="preserve">\section{Factor Correspondence Analysis}</w:t>
      </w:r>
    </w:p>
    <w:p>
      <w:pPr>
        <w:pStyle w:val="BodyText"/>
      </w:pPr>
      <w:r>
        <w:t xml:space="preserve">To assess which biological programs are preserved, altered, or suppressed</w:t>
      </w:r>
      <w:r>
        <w:t xml:space="preserve"> </w:t>
      </w:r>
      <w:r>
        <w:t xml:space="preserve">under survival supervision, we quantified the pairwise correspondence between</w:t>
      </w:r>
      <w:r>
        <w:t xml:space="preserve"> </w:t>
      </w:r>
      <w:r>
        <w:t xml:space="preserve">NMF and DeSurv factor loadings. For each pair of factors</w:t>
      </w:r>
      <w:r>
        <w:t xml:space="preserve"> </w:t>
      </w:r>
      <m:oMath>
        <m:d>
          <m:dPr>
            <m:begChr m:val="("/>
            <m:endChr m:val=")"/>
            <m:sepChr m:val=""/>
            <m:grow/>
          </m:dPr>
          <m:e>
            <m:sSub>
              <m:e>
                <m:r>
                  <m:t>j</m:t>
                </m:r>
              </m:e>
              <m:sub>
                <m:r>
                  <m:rPr>
                    <m:nor/>
                    <m:sty m:val="p"/>
                  </m:rPr>
                  <m:t>NMF</m:t>
                </m:r>
              </m:sub>
            </m:sSub>
            <m:r>
              <m:rPr>
                <m:sty m:val="p"/>
              </m:rPr>
              <m:t>,</m:t>
            </m:r>
            <m:r>
              <m:t> </m:t>
            </m:r>
            <m:sSub>
              <m:e>
                <m:r>
                  <m:t>j</m:t>
                </m:r>
              </m:e>
              <m:sub>
                <m:r>
                  <m:rPr>
                    <m:nor/>
                    <m:sty m:val="p"/>
                  </m:rPr>
                  <m:t>DeSurv</m:t>
                </m:r>
              </m:sub>
            </m:sSub>
          </m:e>
        </m:d>
      </m:oMath>
      <w:r>
        <w:t xml:space="preserve">, we computed the Spearman rank</w:t>
      </w:r>
      <w:r>
        <w:t xml:space="preserve"> </w:t>
      </w:r>
      <w:r>
        <w:t xml:space="preserve">correlation between the corresponding columns of the NMF gene program matrix</w:t>
      </w:r>
      <w:r>
        <w:t xml:space="preserve"> </w:t>
      </w:r>
      <m:oMath>
        <m:sSub>
          <m:e>
            <m:r>
              <m:t>W</m:t>
            </m:r>
          </m:e>
          <m:sub>
            <m:r>
              <m:rPr>
                <m:nor/>
                <m:sty m:val="p"/>
              </m:rPr>
              <m:t>NMF</m:t>
            </m:r>
          </m:sub>
        </m:sSub>
      </m:oMath>
      <w:r>
        <w:t xml:space="preserve"> </w:t>
      </w:r>
      <w:r>
        <w:t xml:space="preserve">and the DeSurv gene program matrix</w:t>
      </w:r>
      <w:r>
        <w:t xml:space="preserve"> </w:t>
      </w:r>
      <m:oMath>
        <m:sSub>
          <m:e>
            <m:r>
              <m:t>W</m:t>
            </m:r>
          </m:e>
          <m:sub>
            <m:r>
              <m:rPr>
                <m:nor/>
                <m:sty m:val="p"/>
              </m:rPr>
              <m:t>DeSurv</m:t>
            </m:r>
          </m:sub>
        </m:sSub>
      </m:oMath>
      <w:r>
        <w:t xml:space="preserve"> </w:t>
      </w:r>
      <w:r>
        <w:t xml:space="preserve">over all</w:t>
      </w:r>
      <w:r>
        <w:t xml:space="preserve"> </w:t>
      </w:r>
      <w:r>
        <w:t xml:space="preserve">genes. We use the full loading profile rather than a top-gene subset, which</w:t>
      </w:r>
      <w:r>
        <w:t xml:space="preserve"> </w:t>
      </w:r>
      <w:r>
        <w:t xml:space="preserve">would impose an arbitrary threshold and overstate apparent preservation.</w:t>
      </w:r>
      <w:r>
        <w:t xml:space="preserve"> </w:t>
      </w:r>
      <w:r>
        <w:t xml:space="preserve">Spearman correlation was used to capture monotone correspondence in gene loading</w:t>
      </w:r>
      <w:r>
        <w:t xml:space="preserve"> </w:t>
      </w:r>
      <w:r>
        <w:t xml:space="preserve">ranks while remaining robust to scale differences between the two methods.</w:t>
      </w:r>
      <w:r>
        <w:t xml:space="preserve"> </w:t>
      </w:r>
      <w:r>
        <w:t xml:space="preserve">Results are displayed as a heatmap with NMF factors as rows and DeSurv factors</w:t>
      </w:r>
      <w:r>
        <w:t xml:space="preserve"> </w:t>
      </w:r>
      <w:r>
        <w:t xml:space="preserve">as columns (main text, Fig. 2d).</w:t>
      </w:r>
    </w:p>
    <w:p>
      <w:pPr>
        <w:pStyle w:val="BodyText"/>
      </w:pPr>
      <w:r>
        <w:t xml:space="preserve">\subsection{Cross-method reconstructability and reconstruction fidelity}</w:t>
      </w:r>
    </w:p>
    <w:p>
      <w:pPr>
        <w:pStyle w:val="BodyText"/>
      </w:pPr>
      <w:r>
        <w:t xml:space="preserve">The correlation heatmap summarizes pairwise similarity; to make a direction-aware</w:t>
      </w:r>
      <w:r>
        <w:t xml:space="preserve"> </w:t>
      </w:r>
      <w:r>
        <w:t xml:space="preserve">statement of how much of each factor is \emph{linearly reconstructable} from the</w:t>
      </w:r>
      <w:r>
        <w:t xml:space="preserve"> </w:t>
      </w:r>
      <w:r>
        <w:t xml:space="preserve">other method’s basis, we regressed each factor’s gene-loading vector onto the full</w:t>
      </w:r>
      <w:r>
        <w:t xml:space="preserve"> </w:t>
      </w:r>
      <w:r>
        <w:t xml:space="preserve">set of the other method’s loading vectors and report the ordinary least-squares</w:t>
      </w:r>
      <w:r>
        <w:t xml:space="preserve"> </w:t>
      </w:r>
      <m:oMath>
        <m:sSup>
          <m:e>
            <m:r>
              <m:t>R</m:t>
            </m:r>
          </m:e>
          <m:sup>
            <m:r>
              <m:t>2</m:t>
            </m:r>
          </m:sup>
        </m:sSup>
      </m:oMath>
      <w:r>
        <w:t xml:space="preserve"> </w:t>
      </w:r>
      <w:r>
        <w:t xml:space="preserve">(Table [tab:projection-r2]). A high</w:t>
      </w:r>
      <w:r>
        <w:t xml:space="preserve"> </w:t>
      </w:r>
      <m:oMath>
        <m:sSup>
          <m:e>
            <m:r>
              <m:t>R</m:t>
            </m:r>
          </m:e>
          <m:sup>
            <m:r>
              <m:t>2</m:t>
            </m:r>
          </m:sup>
        </m:sSup>
      </m:oMath>
      <w:r>
        <w:t xml:space="preserve"> </w:t>
      </w:r>
      <w:r>
        <w:t xml:space="preserve">means the factor is well</w:t>
      </w:r>
      <w:r>
        <w:t xml:space="preserve"> </w:t>
      </w:r>
      <w:r>
        <w:t xml:space="preserve">reconstructed as a linear combination of the other method’s factors; a low</w:t>
      </w:r>
      <w:r>
        <w:t xml:space="preserve"> </w:t>
      </w:r>
      <m:oMath>
        <m:sSup>
          <m:e>
            <m:r>
              <m:t>R</m:t>
            </m:r>
          </m:e>
          <m:sup>
            <m:r>
              <m:t>2</m:t>
            </m:r>
          </m:sup>
        </m:sSup>
      </m:oMath>
      <w:r>
        <w:t xml:space="preserve"> </w:t>
      </w:r>
      <w:r>
        <w:t xml:space="preserve">means it is not linearly reconstructable from that basis. This is a statement</w:t>
      </w:r>
      <w:r>
        <w:t xml:space="preserve"> </w:t>
      </w:r>
      <w:r>
        <w:t xml:space="preserve">about linear reconstructability of gene-loading vectors, not about which method</w:t>
      </w:r>
      <w:r>
        <w:t xml:space="preserve"> </w:t>
      </w:r>
      <w:r>
        <w:t xml:space="preserve">discovered a program first.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Factor</w:t>
            </w:r>
          </w:p>
        </w:tc>
        <w:tc>
          <w:tcPr/>
          <w:p>
            <w:pPr>
              <w:pStyle w:val="Compact"/>
              <w:jc w:val="left"/>
            </w:pPr>
            <m:oMath>
              <m:sSup>
                <m:e>
                  <m:r>
                    <m:t>R</m:t>
                  </m:r>
                </m:e>
                <m:sup>
                  <m:r>
                    <m:t>2</m:t>
                  </m:r>
                </m:sup>
              </m:sSup>
            </m:oMath>
            <w:r>
              <w:t xml:space="preserve"> </w:t>
            </w:r>
            <w:r>
              <w:t xml:space="preserve">from other basis</w:t>
            </w:r>
          </w:p>
        </w:tc>
        <w:tc>
          <w:tcPr/>
          <w:p>
            <w:pPr>
              <w:pStyle w:val="Compact"/>
              <w:jc w:val="left"/>
            </w:pPr>
            <w:r>
              <w:t xml:space="preserve">Linear reconstructability</w:t>
            </w:r>
          </w:p>
        </w:tc>
      </w:tr>
      <w:tr>
        <w:tc>
          <w:tcPr/>
          <w:p>
            <w:pPr>
              <w:pStyle w:val="Compact"/>
              <w:jc w:val="left"/>
            </w:pPr>
            <w:r>
              <w:t xml:space="preserve">NMF N1 (tumor)</w:t>
            </w:r>
          </w:p>
        </w:tc>
        <w:tc>
          <w:tcPr/>
          <w:p>
            <w:pPr>
              <w:pStyle w:val="Compact"/>
              <w:jc w:val="left"/>
            </w:pPr>
            <w:r>
              <w:t xml:space="preserve">0.90</w:t>
            </w:r>
          </w:p>
        </w:tc>
        <w:tc>
          <w:tcPr/>
          <w:p>
            <w:pPr>
              <w:pStyle w:val="Compact"/>
              <w:jc w:val="left"/>
            </w:pPr>
            <w:r>
              <w:t xml:space="preserve">well reconstructed</w:t>
            </w:r>
          </w:p>
        </w:tc>
      </w:tr>
      <w:tr>
        <w:tc>
          <w:tcPr/>
          <w:p>
            <w:pPr>
              <w:pStyle w:val="Compact"/>
              <w:jc w:val="left"/>
            </w:pPr>
            <w:r>
              <w:t xml:space="preserve">NMF N2 (exocrine)</w:t>
            </w:r>
          </w:p>
        </w:tc>
        <w:tc>
          <w:tcPr/>
          <w:p>
            <w:pPr>
              <w:pStyle w:val="Compact"/>
              <w:jc w:val="left"/>
            </w:pPr>
            <w:r>
              <w:t xml:space="preserve">0.38</w:t>
            </w:r>
          </w:p>
        </w:tc>
        <w:tc>
          <w:tcPr/>
          <w:p>
            <w:pPr>
              <w:pStyle w:val="Compact"/>
              <w:jc w:val="left"/>
            </w:pPr>
            <w:r>
              <w:t xml:space="preserve">poorly reconstructed</w:t>
            </w:r>
          </w:p>
        </w:tc>
      </w:tr>
      <w:tr>
        <w:tc>
          <w:tcPr/>
          <w:p>
            <w:pPr>
              <w:pStyle w:val="Compact"/>
              <w:jc w:val="left"/>
            </w:pPr>
            <w:r>
              <w:t xml:space="preserve">NMF N3 (microenviron.)</w:t>
            </w:r>
          </w:p>
        </w:tc>
        <w:tc>
          <w:tcPr/>
          <w:p>
            <w:pPr>
              <w:pStyle w:val="Compact"/>
              <w:jc w:val="left"/>
            </w:pPr>
            <w:r>
              <w:t xml:space="preserve">0.88</w:t>
            </w:r>
          </w:p>
        </w:tc>
        <w:tc>
          <w:tcPr/>
          <w:p>
            <w:pPr>
              <w:pStyle w:val="Compact"/>
              <w:jc w:val="left"/>
            </w:pPr>
            <w:r>
              <w:t xml:space="preserve">well reconstructed</w:t>
            </w:r>
          </w:p>
        </w:tc>
      </w:tr>
      <w:tr>
        <w:tc>
          <w:tcPr/>
          <w:p>
            <w:pPr>
              <w:pStyle w:val="Compact"/>
              <w:jc w:val="left"/>
            </w:pPr>
            <w:r>
              <w:t xml:space="preserve">DeSurv D1 (classical/restCAF)</w:t>
            </w:r>
          </w:p>
        </w:tc>
        <w:tc>
          <w:tcPr/>
          <w:p>
            <w:pPr>
              <w:pStyle w:val="Compact"/>
              <w:jc w:val="left"/>
            </w:pPr>
            <w:r>
              <w:t xml:space="preserve">0.09</w:t>
            </w:r>
          </w:p>
        </w:tc>
        <w:tc>
          <w:tcPr/>
          <w:p>
            <w:pPr>
              <w:pStyle w:val="Compact"/>
              <w:jc w:val="left"/>
            </w:pPr>
            <w:r>
              <w:t xml:space="preserve">not linearly reconstructable</w:t>
            </w:r>
          </w:p>
        </w:tc>
      </w:tr>
      <w:tr>
        <w:tc>
          <w:tcPr/>
          <w:p>
            <w:pPr>
              <w:pStyle w:val="Compact"/>
              <w:jc w:val="left"/>
            </w:pPr>
            <w:r>
              <w:t xml:space="preserve">DeSurv D2 (proCAF)</w:t>
            </w:r>
          </w:p>
        </w:tc>
        <w:tc>
          <w:tcPr/>
          <w:p>
            <w:pPr>
              <w:pStyle w:val="Compact"/>
              <w:jc w:val="left"/>
            </w:pPr>
            <w:r>
              <w:t xml:space="preserve">0.81</w:t>
            </w:r>
          </w:p>
        </w:tc>
        <w:tc>
          <w:tcPr/>
          <w:p>
            <w:pPr>
              <w:pStyle w:val="Compact"/>
              <w:jc w:val="left"/>
            </w:pPr>
            <w:r>
              <w:t xml:space="preserve">reconstructable (</w:t>
            </w:r>
            <m:oMath>
              <m:r>
                <m:rPr>
                  <m:sty m:val="p"/>
                </m:rPr>
                <m:t>≈</m:t>
              </m:r>
            </m:oMath>
            <w:r>
              <w:t xml:space="preserve">N3)</w:t>
            </w:r>
          </w:p>
        </w:tc>
      </w:tr>
      <w:tr>
        <w:tc>
          <w:tcPr/>
          <w:p>
            <w:pPr>
              <w:pStyle w:val="Compact"/>
              <w:jc w:val="left"/>
            </w:pPr>
            <w:r>
              <w:t xml:space="preserve">DeSurv D3 (basal-like)</w:t>
            </w:r>
          </w:p>
        </w:tc>
        <w:tc>
          <w:tcPr/>
          <w:p>
            <w:pPr>
              <w:pStyle w:val="Compact"/>
              <w:jc w:val="left"/>
            </w:pPr>
            <w:r>
              <w:t xml:space="preserve">0.75</w:t>
            </w:r>
          </w:p>
        </w:tc>
        <w:tc>
          <w:tcPr/>
          <w:p>
            <w:pPr>
              <w:pStyle w:val="Compact"/>
              <w:jc w:val="left"/>
            </w:pPr>
            <w:r>
              <w:t xml:space="preserve">reconstructable (</w:t>
            </w:r>
            <m:oMath>
              <m:r>
                <m:rPr>
                  <m:sty m:val="p"/>
                </m:rPr>
                <m:t>≈</m:t>
              </m:r>
            </m:oMath>
            <w:r>
              <w:t xml:space="preserve">N1)</w:t>
            </w:r>
          </w:p>
        </w:tc>
      </w:tr>
    </w:tbl>
    <w:p>
      <w:pPr>
        <w:pStyle w:val="BodyText"/>
      </w:pPr>
      <w:r>
        <w:rPr>
          <w:iCs/>
          <w:i/>
        </w:rPr>
        <w:t xml:space="preserve">Cross-method projection</w:t>
      </w:r>
      <w:r>
        <w:rPr>
          <w:iCs/>
          <w:i/>
        </w:rPr>
        <w:t xml:space="preserve"> </w:t>
      </w:r>
      <m:oMath>
        <m:sSup>
          <m:e>
            <m:r>
              <m:t>R</m:t>
            </m:r>
          </m:e>
          <m:sup>
            <m:r>
              <m:t>2</m:t>
            </m:r>
          </m:sup>
        </m:sSup>
      </m:oMath>
      <w:r>
        <w:rPr>
          <w:iCs/>
          <w:i/>
        </w:rPr>
        <w:t xml:space="preserve">: how reconstructable each factor’s gene-loading vector is from the other method’s full basis (OLS</w:t>
      </w:r>
      <w:r>
        <w:rPr>
          <w:iCs/>
          <w:i/>
        </w:rPr>
        <w:t xml:space="preserve"> </w:t>
      </w:r>
      <m:oMath>
        <m:sSup>
          <m:e>
            <m:r>
              <m:t>R</m:t>
            </m:r>
          </m:e>
          <m:sup>
            <m:r>
              <m:t>2</m:t>
            </m:r>
          </m:sup>
        </m:sSup>
      </m:oMath>
      <w:r>
        <w:rPr>
          <w:iCs/>
          <w:i/>
        </w:rPr>
        <w:t xml:space="preserve">). DeSurv retains the bulk of the unsupervised structure (NMF N1 and N3 carry over at</w:t>
      </w:r>
      <w:r>
        <w:rPr>
          <w:iCs/>
          <w:i/>
        </w:rPr>
        <w:t xml:space="preserve"> </w:t>
      </w:r>
      <m:oMath>
        <m:sSup>
          <m:e>
            <m:r>
              <m:t>R</m:t>
            </m:r>
          </m:e>
          <m:sup>
            <m:r>
              <m:t>2</m:t>
            </m:r>
          </m:sup>
        </m:sSup>
        <m:r>
          <m:rPr>
            <m:sty m:val="p"/>
          </m:rPr>
          <m:t>≥</m:t>
        </m:r>
        <m:r>
          <m:t>0.88</m:t>
        </m:r>
      </m:oMath>
      <w:r>
        <w:rPr>
          <w:iCs/>
          <w:i/>
        </w:rPr>
        <w:t xml:space="preserve">) and reorganizes it: the survival-aligned D1 program is essentially unreconstructable from the NMF basis (</w:t>
      </w:r>
      <m:oMath>
        <m:sSup>
          <m:e>
            <m:r>
              <m:t>R</m:t>
            </m:r>
          </m:e>
          <m:sup>
            <m:r>
              <m:t>2</m:t>
            </m:r>
          </m:sup>
        </m:sSup>
        <m:r>
          <m:rPr>
            <m:sty m:val="p"/>
          </m:rPr>
          <m:t>=</m:t>
        </m:r>
        <m:r>
          <m:t>0.09</m:t>
        </m:r>
      </m:oMath>
      <w:r>
        <w:rPr>
          <w:iCs/>
          <w:i/>
        </w:rPr>
        <w:t xml:space="preserve">), i.e. not well reconstructed as a linear combination of the NMF factors, while the exocrine NMF factor N2 is poorly reconstructed from the DeSurv basis (</w:t>
      </w:r>
      <m:oMath>
        <m:sSup>
          <m:e>
            <m:r>
              <m:t>R</m:t>
            </m:r>
          </m:e>
          <m:sup>
            <m:r>
              <m:t>2</m:t>
            </m:r>
          </m:sup>
        </m:sSup>
        <m:r>
          <m:rPr>
            <m:sty m:val="p"/>
          </m:rPr>
          <m:t>=</m:t>
        </m:r>
        <m:r>
          <m:t>0.38</m:t>
        </m:r>
      </m:oMath>
      <w:r>
        <w:rPr>
          <w:iCs/>
          <w:i/>
        </w:rPr>
        <w:t xml:space="preserve">).</w:t>
      </w:r>
    </w:p>
    <w:p>
      <w:pPr>
        <w:pStyle w:val="BodyText"/>
      </w:pPr>
      <w:r>
        <w:t xml:space="preserve">The headline is DeSurv D1:</w:t>
      </w:r>
      <w:r>
        <w:t xml:space="preserve"> </w:t>
      </w:r>
      <m:oMath>
        <m:sSup>
          <m:e>
            <m:r>
              <m:t>R</m:t>
            </m:r>
          </m:e>
          <m:sup>
            <m:r>
              <m:t>2</m:t>
            </m:r>
          </m:sup>
        </m:sSup>
        <m:r>
          <m:rPr>
            <m:sty m:val="p"/>
          </m:rPr>
          <m:t>=</m:t>
        </m:r>
        <m:r>
          <m:t>0.09</m:t>
        </m:r>
      </m:oMath>
      <w:r>
        <w:t xml:space="preserve"> </w:t>
      </w:r>
      <w:r>
        <w:t xml:space="preserve">from the NMF basis, indicating that</w:t>
      </w:r>
      <w:r>
        <w:t xml:space="preserve"> </w:t>
      </w:r>
      <w:r>
        <w:t xml:space="preserve">its gene-loading vector is not well reconstructed as a linear combination of the</w:t>
      </w:r>
      <w:r>
        <w:t xml:space="preserve"> </w:t>
      </w:r>
      <w:r>
        <w:t xml:space="preserve">matched-rank NMF factors. The biologically dominant tumor (N1) and stromal (N3)</w:t>
      </w:r>
      <w:r>
        <w:t xml:space="preserve"> </w:t>
      </w:r>
      <w:r>
        <w:t xml:space="preserve">programs, by contrast, are largely reconstructable from the DeSurv basis</w:t>
      </w:r>
      <w:r>
        <w:t xml:space="preserve"> </w:t>
      </w:r>
      <w:r>
        <w:t xml:space="preserve">(</w:t>
      </w:r>
      <m:oMath>
        <m:sSup>
          <m:e>
            <m:r>
              <m:t>R</m:t>
            </m:r>
          </m:e>
          <m:sup>
            <m:r>
              <m:t>2</m:t>
            </m:r>
          </m:sup>
        </m:sSup>
        <m:r>
          <m:rPr>
            <m:sty m:val="p"/>
          </m:rPr>
          <m:t>=</m:t>
        </m:r>
        <m:r>
          <m:t>0.90</m:t>
        </m:r>
      </m:oMath>
      <w:r>
        <w:t xml:space="preserve"> </w:t>
      </w:r>
      <w:r>
        <w:t xml:space="preserve">and</w:t>
      </w:r>
      <w:r>
        <w:t xml:space="preserve"> </w:t>
      </w:r>
      <m:oMath>
        <m:r>
          <m:t>0.88</m:t>
        </m:r>
      </m:oMath>
      <w:r>
        <w:t xml:space="preserve">), so most of the unsupervised structure is</w:t>
      </w:r>
      <w:r>
        <w:t xml:space="preserve"> </w:t>
      </w:r>
      <w:r>
        <w:t xml:space="preserve">retained; the principal reorganization is that the DeSurv basis resolves tumor</w:t>
      </w:r>
      <w:r>
        <w:t xml:space="preserve"> </w:t>
      </w:r>
      <w:r>
        <w:t xml:space="preserve">signal into basal- and classical-aligned programs while reconstructing the</w:t>
      </w:r>
      <w:r>
        <w:t xml:space="preserve"> </w:t>
      </w:r>
      <w:r>
        <w:t xml:space="preserve">exocrine factor (N2) less well (</w:t>
      </w:r>
      <m:oMath>
        <m:sSup>
          <m:e>
            <m:r>
              <m:t>R</m:t>
            </m:r>
          </m:e>
          <m:sup>
            <m:r>
              <m:t>2</m:t>
            </m:r>
          </m:sup>
        </m:sSup>
        <m:r>
          <m:rPr>
            <m:sty m:val="p"/>
          </m:rPr>
          <m:t>=</m:t>
        </m:r>
        <m:r>
          <m:t>0.38</m:t>
        </m:r>
      </m:oMath>
      <w:r>
        <w:t xml:space="preserve">).</w:t>
      </w:r>
    </w:p>
    <w:p>
      <w:pPr>
        <w:pStyle w:val="BodyText"/>
      </w:pPr>
      <w:r>
        <w:t xml:space="preserve">At the whole-matrix level, this reorganization carries a real but bounded reconstruction cost (Table [tab:overall-r2]). On the conventional centered</w:t>
      </w:r>
      <w:r>
        <w:t xml:space="preserve"> </w:t>
      </w:r>
      <m:oMath>
        <m:sSup>
          <m:e>
            <m:r>
              <m:t>R</m:t>
            </m:r>
          </m:e>
          <m:sup>
            <m:r>
              <m:t>2</m:t>
            </m:r>
          </m:sup>
        </m:sSup>
      </m:oMath>
      <w:r>
        <w:t xml:space="preserve">, DeSurv reconstructs 0.75 of the analysis matrix against 0.81 for unsupervised NMF, a difference of 6.0 percentage points.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Model</w:t>
            </w:r>
          </w:p>
        </w:tc>
        <w:tc>
          <w:tcPr/>
          <w:p>
            <w:pPr>
              <w:pStyle w:val="Compact"/>
              <w:jc w:val="left"/>
            </w:pPr>
            <w:r>
              <w:t xml:space="preserve">Centered</w:t>
            </w:r>
            <w:r>
              <w:t xml:space="preserve"> </w:t>
            </w:r>
            <m:oMath>
              <m:sSup>
                <m:e>
                  <m:r>
                    <m:t>R</m:t>
                  </m:r>
                </m:e>
                <m:sup>
                  <m:r>
                    <m:t>2</m:t>
                  </m:r>
                </m:sup>
              </m:sSup>
            </m:oMath>
          </w:p>
        </w:tc>
        <w:tc>
          <w:tcPr/>
          <w:p>
            <w:pPr>
              <w:pStyle w:val="Compact"/>
              <w:jc w:val="left"/>
            </w:pPr>
            <w:r>
              <w:t xml:space="preserve">Uncentered</w:t>
            </w:r>
            <w:r>
              <w:t xml:space="preserve"> </w:t>
            </w:r>
            <m:oMath>
              <m:sSup>
                <m:e>
                  <m:r>
                    <m:t>R</m:t>
                  </m:r>
                </m:e>
                <m:sup>
                  <m:r>
                    <m:t>2</m:t>
                  </m:r>
                </m:sup>
              </m:sSup>
            </m:oMath>
          </w:p>
        </w:tc>
        <w:tc>
          <w:tcPr/>
          <w:p>
            <w:pPr>
              <w:pStyle w:val="Compact"/>
              <w:jc w:val="left"/>
            </w:pPr>
            <w:r>
              <w:t xml:space="preserve">Residual fraction (centered)</w:t>
            </w:r>
          </w:p>
        </w:tc>
      </w:tr>
      <w:tr>
        <w:tc>
          <w:tcPr/>
          <w:p>
            <w:pPr>
              <w:pStyle w:val="Compact"/>
              <w:jc w:val="left"/>
            </w:pPr>
            <w:r>
              <w:t xml:space="preserve">NMF (</w:t>
            </w:r>
            <m:oMath>
              <m:r>
                <m:t>k</m:t>
              </m:r>
              <m:r>
                <m:rPr>
                  <m:sty m:val="p"/>
                </m:rPr>
                <m:t>=</m:t>
              </m:r>
              <m:r>
                <m:t>3</m:t>
              </m:r>
            </m:oMath>
            <w:r>
              <w:t xml:space="preserve">)</w:t>
            </w:r>
          </w:p>
        </w:tc>
        <w:tc>
          <w:tcPr/>
          <w:p>
            <w:pPr>
              <w:pStyle w:val="Compact"/>
              <w:jc w:val="left"/>
            </w:pPr>
            <w:r>
              <w:t xml:space="preserve">0.812</w:t>
            </w:r>
          </w:p>
        </w:tc>
        <w:tc>
          <w:tcPr/>
          <w:p>
            <w:pPr>
              <w:pStyle w:val="Compact"/>
              <w:jc w:val="left"/>
            </w:pPr>
            <w:r>
              <w:t xml:space="preserve">0.953</w:t>
            </w:r>
          </w:p>
        </w:tc>
        <w:tc>
          <w:tcPr/>
          <w:p>
            <w:pPr>
              <w:pStyle w:val="Compact"/>
              <w:jc w:val="left"/>
            </w:pPr>
            <w:r>
              <w:t xml:space="preserve">0.188</w:t>
            </w:r>
          </w:p>
        </w:tc>
      </w:tr>
      <w:tr>
        <w:tc>
          <w:tcPr/>
          <w:p>
            <w:pPr>
              <w:pStyle w:val="Compact"/>
              <w:jc w:val="left"/>
            </w:pPr>
            <w:r>
              <w:t xml:space="preserve">DeSurv (</w:t>
            </w:r>
            <m:oMath>
              <m:r>
                <m:t>k</m:t>
              </m:r>
              <m:r>
                <m:rPr>
                  <m:sty m:val="p"/>
                </m:rPr>
                <m:t>=</m:t>
              </m:r>
              <m:r>
                <m:t>3</m:t>
              </m:r>
            </m:oMath>
            <w:r>
              <w:t xml:space="preserve">)</w:t>
            </w:r>
          </w:p>
        </w:tc>
        <w:tc>
          <w:tcPr/>
          <w:p>
            <w:pPr>
              <w:pStyle w:val="Compact"/>
              <w:jc w:val="left"/>
            </w:pPr>
            <w:r>
              <w:t xml:space="preserve">0.752</w:t>
            </w:r>
          </w:p>
        </w:tc>
        <w:tc>
          <w:tcPr/>
          <w:p>
            <w:pPr>
              <w:pStyle w:val="Compact"/>
              <w:jc w:val="left"/>
            </w:pPr>
            <w:r>
              <w:t xml:space="preserve">0.938</w:t>
            </w:r>
          </w:p>
        </w:tc>
        <w:tc>
          <w:tcPr/>
          <w:p>
            <w:pPr>
              <w:pStyle w:val="Compact"/>
              <w:jc w:val="left"/>
            </w:pPr>
            <w:r>
              <w:t xml:space="preserve">0.248</w:t>
            </w:r>
          </w:p>
        </w:tc>
      </w:tr>
    </w:tbl>
    <w:p>
      <w:pPr>
        <w:pStyle w:val="BodyText"/>
      </w:pPr>
      <w:r>
        <w:rPr>
          <w:iCs/>
          <w:i/>
        </w:rPr>
        <w:t xml:space="preserve">Whole-matrix reconstruction</w:t>
      </w:r>
      <w:r>
        <w:rPr>
          <w:iCs/>
          <w:i/>
        </w:rPr>
        <w:t xml:space="preserve"> </w:t>
      </w:r>
      <m:oMath>
        <m:sSup>
          <m:e>
            <m:r>
              <m:t>R</m:t>
            </m:r>
          </m:e>
          <m:sup>
            <m:r>
              <m:t>2</m:t>
            </m:r>
          </m:sup>
        </m:sSup>
      </m:oMath>
      <w:r>
        <w:rPr>
          <w:iCs/>
          <w:i/>
        </w:rPr>
        <w:t xml:space="preserve"> </w:t>
      </w:r>
      <w:r>
        <w:rPr>
          <w:iCs/>
          <w:i/>
        </w:rPr>
        <w:t xml:space="preserve">across the 1,970-gene analysis matrix for unsupervised NMF versus DeSurv at</w:t>
      </w:r>
      <w:r>
        <w:rPr>
          <w:iCs/>
          <w:i/>
        </w:rPr>
        <w:t xml:space="preserve"> </w:t>
      </w:r>
      <m:oMath>
        <m:r>
          <m:t>k</m:t>
        </m:r>
        <m:r>
          <m:rPr>
            <m:sty m:val="p"/>
          </m:rPr>
          <m:t>=</m:t>
        </m:r>
        <m:r>
          <m:t>3</m:t>
        </m:r>
      </m:oMath>
      <w:r>
        <w:rPr>
          <w:iCs/>
          <w:i/>
        </w:rPr>
        <w:t xml:space="preserve">. Two denominators are shown. The centered</w:t>
      </w:r>
      <w:r>
        <w:rPr>
          <w:iCs/>
          <w:i/>
        </w:rPr>
        <w:t xml:space="preserve"> </w:t>
      </w:r>
      <m:oMath>
        <m:sSup>
          <m:e>
            <m:r>
              <m:t>R</m:t>
            </m:r>
          </m:e>
          <m:sup>
            <m:r>
              <m:t>2</m:t>
            </m:r>
          </m:sup>
        </m:sSup>
      </m:oMath>
      <w:r>
        <w:rPr>
          <w:iCs/>
          <w:i/>
        </w:rPr>
        <w:t xml:space="preserve"> </w:t>
      </w:r>
      <w:r>
        <w:rPr>
          <w:iCs/>
          <w:i/>
        </w:rPr>
        <w:t xml:space="preserve">is the conventional definition, taken about the grand mean, and is the one to read as fraction of variation reconstructed. The uncentered</w:t>
      </w:r>
      <w:r>
        <w:rPr>
          <w:iCs/>
          <w:i/>
        </w:rPr>
        <w:t xml:space="preserve"> </w:t>
      </w:r>
      <m:oMath>
        <m:sSup>
          <m:e>
            <m:r>
              <m:t>R</m:t>
            </m:r>
          </m:e>
          <m:sup>
            <m:r>
              <m:t>2</m:t>
            </m:r>
          </m:sup>
        </m:sSup>
      </m:oMath>
      <w:r>
        <w:rPr>
          <w:iCs/>
          <w:i/>
        </w:rPr>
        <w:t xml:space="preserve"> </w:t>
      </w:r>
      <w:r>
        <w:rPr>
          <w:iCs/>
          <w:i/>
        </w:rPr>
        <w:t xml:space="preserve">divides by</w:t>
      </w:r>
      <w:r>
        <w:rPr>
          <w:iCs/>
          <w:i/>
        </w:rPr>
        <w:t xml:space="preserve"> </w:t>
      </w:r>
      <m:oMath>
        <m:r>
          <m:rPr>
            <m:sty m:val="p"/>
          </m:rPr>
          <m:t>∑</m:t>
        </m:r>
        <m:sSup>
          <m:e>
            <m:r>
              <m:t>X</m:t>
            </m:r>
          </m:e>
          <m:sup>
            <m:r>
              <m:t>2</m:t>
            </m:r>
          </m:sup>
        </m:sSup>
      </m:oMath>
      <w:r>
        <w:rPr>
          <w:iCs/>
          <w:i/>
        </w:rPr>
        <w:t xml:space="preserve">; because the analysis matrix holds within-sample ranks with grand mean</w:t>
      </w:r>
      <w:r>
        <w:rPr>
          <w:iCs/>
          <w:i/>
        </w:rPr>
        <w:t xml:space="preserve"> </w:t>
      </w:r>
      <m:oMath>
        <m:r>
          <m:t>p</m:t>
        </m:r>
        <m:r>
          <m:rPr>
            <m:sty m:val="p"/>
          </m:rPr>
          <m:t>/</m:t>
        </m:r>
        <m:r>
          <m:t>2</m:t>
        </m:r>
      </m:oMath>
      <w:r>
        <w:rPr>
          <w:iCs/>
          <w:i/>
        </w:rPr>
        <w:t xml:space="preserve">, the mean alone accounts for about 75% of that denominator, so uncentered values are high for any nonnegative low-rank fit and are reported only for comparability with the code. On the centered definition DeSurv gives up 6.0 percentage points of reconstruction relative to NMF (1.5 on the uncentered scale).</w:t>
      </w:r>
    </w:p>
    <w:p>
      <w:pPr>
        <w:pStyle w:val="BodyText"/>
      </w:pPr>
      <w:r>
        <w:t xml:space="preserve">The reorganization therefore has a real price. On the uncentered scale used by</w:t>
      </w:r>
      <w:r>
        <w:t xml:space="preserve"> </w:t>
      </w:r>
      <w:r>
        <w:t xml:space="preserve">the reconstruction helper the gap is only</w:t>
      </w:r>
      <w:r>
        <w:t xml:space="preserve"> </w:t>
      </w:r>
      <m:oMath>
        <m:r>
          <m:t>1.5</m:t>
        </m:r>
      </m:oMath>
      <w:r>
        <w:t xml:space="preserve"> </w:t>
      </w:r>
      <w:r>
        <w:t xml:space="preserve">percentage points, but that scale flatters any nonnegative low-rank fit to a</w:t>
      </w:r>
      <w:r>
        <w:t xml:space="preserve"> </w:t>
      </w:r>
      <w:r>
        <w:t xml:space="preserve">rank matrix, and on the conventional centered definition DeSurv gives up</w:t>
      </w:r>
      <w:r>
        <w:t xml:space="preserve"> </w:t>
      </w:r>
      <m:oMath>
        <m:r>
          <m:t>6.0</m:t>
        </m:r>
      </m:oMath>
      <w:r>
        <w:t xml:space="preserve"> </w:t>
      </w:r>
      <w:r>
        <w:t xml:space="preserve">percentage points of reconstruction</w:t>
      </w:r>
      <w:r>
        <w:t xml:space="preserve"> </w:t>
      </w:r>
      <m:oMath>
        <m:sSup>
          <m:e>
            <m:r>
              <m:t>R</m:t>
            </m:r>
          </m:e>
          <m:sup>
            <m:r>
              <m:t>2</m:t>
            </m:r>
          </m:sup>
        </m:sSup>
      </m:oMath>
      <w:r>
        <w:t xml:space="preserve"> </w:t>
      </w:r>
      <w:r>
        <w:t xml:space="preserve">relative to unsupervised NMF (Table [tab:overall-r2]), a relative loss of</w:t>
      </w:r>
      <w:r>
        <w:t xml:space="preserve"> </w:t>
      </w:r>
      <w:r>
        <w:t xml:space="preserve">about</w:t>
      </w:r>
      <w:r>
        <w:t xml:space="preserve"> </w:t>
      </w:r>
      <m:oMath>
        <m:r>
          <m:t>7</m:t>
        </m:r>
      </m:oMath>
      <w:r>
        <w:t xml:space="preserve">%. We report the</w:t>
      </w:r>
      <w:r>
        <w:t xml:space="preserve"> </w:t>
      </w:r>
      <w:r>
        <w:t xml:space="preserve">centered figure in the main text.</w:t>
      </w:r>
    </w:p>
    <w:p>
      <w:pPr>
        <w:pStyle w:val="BodyText"/>
      </w:pPr>
      <w:r>
        <w:t xml:space="preserve">\subsection{The D1 axis is not specific to DeSurv}</w:t>
      </w:r>
    </w:p>
    <w:p>
      <w:pPr>
        <w:pStyle w:val="BodyText"/>
      </w:pPr>
      <w:r>
        <w:t xml:space="preserve">If the D1 tumor–stroma axis were an artifact of DeSurv’s particular</w:t>
      </w:r>
      <w:r>
        <w:t xml:space="preserve"> </w:t>
      </w:r>
      <w:r>
        <w:t xml:space="preserve">optimizer, independent survival-supervised methods should not recover it. We</w:t>
      </w:r>
      <w:r>
        <w:t xml:space="preserve"> </w:t>
      </w:r>
      <w:r>
        <w:t xml:space="preserve">therefore fit three other supervised dimension-reduction methods on the same</w:t>
      </w:r>
      <w:r>
        <w:t xml:space="preserve"> </w:t>
      </w:r>
      <w:r>
        <w:t xml:space="preserve">training cohort (</w:t>
      </w:r>
      <m:oMath>
        <m:r>
          <m:t>n</m:t>
        </m:r>
        <m:r>
          <m:rPr>
            <m:sty m:val="p"/>
          </m:rPr>
          <m:t>=</m:t>
        </m:r>
        <m:r>
          <m:t>273</m:t>
        </m:r>
      </m:oMath>
      <w:r>
        <w:t xml:space="preserve">, 139 events), namely supervised</w:t>
      </w:r>
      <w:r>
        <w:t xml:space="preserve"> </w:t>
      </w:r>
      <w:r>
        <w:t xml:space="preserve">principal components (Cox-screened genes followed by PCA), one-component Cox</w:t>
      </w:r>
      <w:r>
        <w:t xml:space="preserve"> </w:t>
      </w:r>
      <w:r>
        <w:t xml:space="preserve">partial least squares against martingale residuals, and a sparse Cox model</w:t>
      </w:r>
      <w:r>
        <w:t xml:space="preserve"> </w:t>
      </w:r>
      <w:r>
        <w:t xml:space="preserve">(lasso-penalized, 32 selected genes), and compared</w:t>
      </w:r>
      <w:r>
        <w:t xml:space="preserve"> </w:t>
      </w:r>
      <w:r>
        <w:t xml:space="preserve">their leading survival-aligned direction to the DeSurv D1 score. All three</w:t>
      </w:r>
      <w:r>
        <w:t xml:space="preserve"> </w:t>
      </w:r>
      <w:r>
        <w:t xml:space="preserve">recovered D1 closely (per-patient</w:t>
      </w:r>
      <w:r>
        <w:t xml:space="preserve"> </w:t>
      </w:r>
      <m:oMath>
        <m:d>
          <m:dPr>
            <m:begChr m:val="|"/>
            <m:endChr m:val="|"/>
            <m:sepChr m:val=""/>
            <m:grow/>
          </m:dPr>
          <m:e>
            <m:r>
              <m:t>r</m:t>
            </m:r>
          </m:e>
        </m:d>
        <m:r>
          <m:rPr>
            <m:sty m:val="p"/>
          </m:rPr>
          <m:t>=</m:t>
        </m:r>
        <m:r>
          <m:t>0.81</m:t>
        </m:r>
      </m:oMath>
      <w:r>
        <w:t xml:space="preserve"> </w:t>
      </w:r>
      <w:r>
        <w:t xml:space="preserve">for supervised PCA,</w:t>
      </w:r>
      <w:r>
        <w:t xml:space="preserve"> </w:t>
      </w:r>
      <m:oMath>
        <m:r>
          <m:t>0.83</m:t>
        </m:r>
      </m:oMath>
      <w:r>
        <w:t xml:space="preserve"> </w:t>
      </w:r>
      <w:r>
        <w:t xml:space="preserve">for Cox-PLS, and</w:t>
      </w:r>
      <w:r>
        <w:t xml:space="preserve"> </w:t>
      </w:r>
      <m:oMath>
        <m:r>
          <m:t>0.85</m:t>
        </m:r>
      </m:oMath>
      <w:r>
        <w:t xml:space="preserve"> </w:t>
      </w:r>
      <w:r>
        <w:t xml:space="preserve">for sparse Cox; mean</w:t>
      </w:r>
      <w:r>
        <w:t xml:space="preserve"> </w:t>
      </w:r>
      <m:oMath>
        <m:r>
          <m:t>0.83</m:t>
        </m:r>
      </m:oMath>
      <w:r>
        <w:t xml:space="preserve">), and each aligned specifically with</w:t>
      </w:r>
      <w:r>
        <w:t xml:space="preserve"> </w:t>
      </w:r>
      <w:r>
        <w:t xml:space="preserve">D1 rather than the stromal D2 or basal-like D3 programs</w:t>
      </w:r>
      <w:r>
        <w:t xml:space="preserve"> </w:t>
      </w:r>
      <w:r>
        <w:t xml:space="preserve">(Fig. [fig:suprec]). By contrast, the leading \emph{unsupervised} direction</w:t>
      </w:r>
      <w:r>
        <w:t xml:space="preserve"> </w:t>
      </w:r>
      <w:r>
        <w:t xml:space="preserve">(the first principal component, a variance-dominant unsupervised direction) was only weakly correlated with D1</w:t>
      </w:r>
      <w:r>
        <w:t xml:space="preserve"> </w:t>
      </w:r>
      <w:r>
        <w:t xml:space="preserve">(</w:t>
      </w:r>
      <m:oMath>
        <m:d>
          <m:dPr>
            <m:begChr m:val="|"/>
            <m:endChr m:val="|"/>
            <m:sepChr m:val=""/>
            <m:grow/>
          </m:dPr>
          <m:e>
            <m:r>
              <m:t>r</m:t>
            </m:r>
          </m:e>
        </m:d>
        <m:r>
          <m:rPr>
            <m:sty m:val="p"/>
          </m:rPr>
          <m:t>=</m:t>
        </m:r>
        <m:r>
          <m:t>0.10</m:t>
        </m:r>
      </m:oMath>
      <w:r>
        <w:t xml:space="preserve">) and instead tracked the</w:t>
      </w:r>
      <w:r>
        <w:t xml:space="preserve"> </w:t>
      </w:r>
      <w:r>
        <w:t xml:space="preserve">high-variance D2/D3 stroma–basal axis. This D1 axis is thus a property of</w:t>
      </w:r>
      <w:r>
        <w:t xml:space="preserve"> </w:t>
      </w:r>
      <w:r>
        <w:t xml:space="preserve">survival supervision shared across methods, consistent with its being</w:t>
      </w:r>
      <w:r>
        <w:t xml:space="preserve"> </w:t>
      </w:r>
      <w:r>
        <w:t xml:space="preserve">unreconstructable from the unsupervised NMF basis (Table [tab:projection-r2])</w:t>
      </w:r>
      <w:r>
        <w:t xml:space="preserve"> </w:t>
      </w:r>
      <w:r>
        <w:t xml:space="preserve">and with standard NMF’s failure to enrich for the proCAF stroma at matched rank, and not an idiosyncrasy of the DeSurv algorithm.</w:t>
      </w:r>
    </w:p>
    <w:p>
      <w:pPr>
        <w:pStyle w:val="BodyText"/>
      </w:pPr>
      <w:r>
        <w:drawing>
          <wp:inline>
            <wp:extent cx="5334000" cy="2486236"/>
            <wp:effectExtent b="0" l="0" r="0" t="0"/>
            <wp:docPr descr="" title="" id="24" name="Picture"/>
            <a:graphic>
              <a:graphicData uri="http://schemas.openxmlformats.org/drawingml/2006/picture">
                <pic:pic>
                  <pic:nvPicPr>
                    <pic:cNvPr descr=".docx_media/figures_fig_supervised_recovery.png" id="25" name="Picture"/>
                    <pic:cNvPicPr>
                      <a:picLocks noChangeArrowheads="1" noChangeAspect="1"/>
                    </pic:cNvPicPr>
                  </pic:nvPicPr>
                  <pic:blipFill>
                    <a:blip r:embed="rId23"/>
                    <a:stretch>
                      <a:fillRect/>
                    </a:stretch>
                  </pic:blipFill>
                  <pic:spPr bwMode="auto">
                    <a:xfrm>
                      <a:off x="0" y="0"/>
                      <a:ext cx="5334000" cy="2486236"/>
                    </a:xfrm>
                    <a:prstGeom prst="rect">
                      <a:avLst/>
                    </a:prstGeom>
                    <a:noFill/>
                    <a:ln w="9525">
                      <a:noFill/>
                      <a:headEnd/>
                      <a:tailEnd/>
                    </a:ln>
                  </pic:spPr>
                </pic:pic>
              </a:graphicData>
            </a:graphic>
          </wp:inline>
        </w:drawing>
      </w:r>
    </w:p>
    <w:p>
      <w:pPr>
        <w:pStyle w:val="BodyText"/>
      </w:pPr>
      <w:r>
        <w:rPr>
          <w:iCs/>
          <w:i/>
        </w:rPr>
        <w:t xml:space="preserve">Independent survival-supervised methods recover the D1 axis; an unsupervised method does not. (a) Absolute correlation (across training-cohort patients) of each method’s leading direction with the DeSurv D1 score, in the training cohort: supervised principal components, Cox partial least squares, and sparse Cox all recover D1 (green), whereas the leading unsupervised principal component does not (grey). (b) Sample-level agreement with D1 for Cox-PLS (supervised, green) versus the first unsupervised principal component (grey).</w:t>
      </w:r>
    </w:p>
    <w:p>
      <w:pPr>
        <w:pStyle w:val="BodyText"/>
      </w:pPr>
      <w:r>
        <w:t xml:space="preserve">\subsection{Robustness to tuned supervised comparators and compartment attribution}</w:t>
      </w:r>
    </w:p>
    <w:p>
      <w:pPr>
        <w:pStyle w:val="BodyText"/>
      </w:pPr>
      <w:r>
        <w:t xml:space="preserve">The recovery above establishes the D1 axis as a genuine survival direction shared across methods; here we ask what DeSurv adds beyond recovering it, using canonical, independently tuned comparators in place of the simple single-component versions above: supervised principal components (\texttt{superpc}; Bair–Tibshirani, with cross-validated screening threshold and component number) and penalized (lasso) Cox (\texttt{glmnet}, a single</w:t>
      </w:r>
      <w:r>
        <w:t xml:space="preserve"> </w:t>
      </w:r>
      <m:oMath>
        <m:sSub>
          <m:e>
            <m:r>
              <m:t>λ</m:t>
            </m:r>
          </m:e>
          <m:sub>
            <m:r>
              <m:rPr>
                <m:sty m:val="p"/>
              </m:rPr>
              <m:t>min</m:t>
            </m:r>
          </m:sub>
        </m:sSub>
      </m:oMath>
      <w:r>
        <w:t xml:space="preserve"> </w:t>
      </w:r>
      <w:r>
        <w:t xml:space="preserve">model). Cox partial least squares was not re-run in this pass, as a validated multi-component implementation was unavailable in our environment; the two canonical methods are sufficient. Every method began from the same 1,970-gene training-only expression/variance universe and performed its own feature selection; DeSurv was scored with its Bayesian-optimization-selected top-270-per-factor programs; all scoring used the frozen, rank-transformed transfer with no validation refitting.</w:t>
      </w:r>
    </w:p>
    <w:p>
      <w:pPr>
        <w:pStyle w:val="BodyText"/>
      </w:pPr>
      <w:r>
        <w:t xml:space="preserve">Prediction parity was preserved: the pooled frozen-transfer C-index was</w:t>
      </w:r>
      <w:r>
        <w:t xml:space="preserve"> </w:t>
      </w:r>
      <m:oMath>
        <m:r>
          <m:t>0.61</m:t>
        </m:r>
      </m:oMath>
      <w:r>
        <w:t xml:space="preserve"> </w:t>
      </w:r>
      <w:r>
        <w:t xml:space="preserve">for the DeSurv linear predictor,</w:t>
      </w:r>
      <w:r>
        <w:t xml:space="preserve"> </w:t>
      </w:r>
      <m:oMath>
        <m:r>
          <m:t>0.60</m:t>
        </m:r>
      </m:oMath>
      <w:r>
        <w:t xml:space="preserve"> </w:t>
      </w:r>
      <w:r>
        <w:t xml:space="preserve">for supervised PCA, and</w:t>
      </w:r>
      <w:r>
        <w:t xml:space="preserve"> </w:t>
      </w:r>
      <m:oMath>
        <m:r>
          <m:t>0.60</m:t>
        </m:r>
      </m:oMath>
      <w:r>
        <w:t xml:space="preserve"> </w:t>
      </w:r>
      <w:r>
        <w:t xml:space="preserve">for penalized Cox. Consistent with the score-level recovery above, both tuned methods aligned with the D1 direction (training</w:t>
      </w:r>
      <w:r>
        <w:t xml:space="preserve"> </w:t>
      </w:r>
      <m:oMath>
        <m:d>
          <m:dPr>
            <m:begChr m:val="|"/>
            <m:endChr m:val="|"/>
            <m:sepChr m:val=""/>
            <m:grow/>
          </m:dPr>
          <m:e>
            <m:r>
              <m:t>r</m:t>
            </m:r>
          </m:e>
        </m:d>
        <m:r>
          <m:rPr>
            <m:sty m:val="p"/>
          </m:rPr>
          <m:t>=</m:t>
        </m:r>
        <m:r>
          <m:t>0.71</m:t>
        </m:r>
      </m:oMath>
      <w:r>
        <w:t xml:space="preserve"> </w:t>
      </w:r>
      <w:r>
        <w:t xml:space="preserve">for penalized Cox and</w:t>
      </w:r>
      <w:r>
        <w:t xml:space="preserve"> </w:t>
      </w:r>
      <m:oMath>
        <m:r>
          <m:t>0.46</m:t>
        </m:r>
      </m:oMath>
      <w:r>
        <w:t xml:space="preserve"> </w:t>
      </w:r>
      <w:r>
        <w:t xml:space="preserve">for supervised PCA) and with the DeSurv linear predictor (</w:t>
      </w:r>
      <m:oMath>
        <m:d>
          <m:dPr>
            <m:begChr m:val="|"/>
            <m:endChr m:val="|"/>
            <m:sepChr m:val=""/>
            <m:grow/>
          </m:dPr>
          <m:e>
            <m:r>
              <m:t>r</m:t>
            </m:r>
          </m:e>
        </m:d>
        <m:r>
          <m:rPr>
            <m:sty m:val="p"/>
          </m:rPr>
          <m:t>=</m:t>
        </m:r>
        <m:r>
          <m:t>0.86</m:t>
        </m:r>
      </m:oMath>
      <w:r>
        <w:t xml:space="preserve"> </w:t>
      </w:r>
      <w:r>
        <w:t xml:space="preserve">for penalized Cox and</w:t>
      </w:r>
      <w:r>
        <w:t xml:space="preserve"> </w:t>
      </w:r>
      <m:oMath>
        <m:r>
          <m:t>0.65</m:t>
        </m:r>
      </m:oMath>
      <w:r>
        <w:t xml:space="preserve"> </w:t>
      </w:r>
      <w:r>
        <w:t xml:space="preserve">for supervised PCA), but were only weakly correlated with the activated-stroma/proCAF program D2 (</w:t>
      </w:r>
      <m:oMath>
        <m:d>
          <m:dPr>
            <m:begChr m:val="|"/>
            <m:endChr m:val="|"/>
            <m:sepChr m:val=""/>
            <m:grow/>
          </m:dPr>
          <m:e>
            <m:r>
              <m:t>r</m:t>
            </m:r>
          </m:e>
        </m:d>
        <m:r>
          <m:rPr>
            <m:sty m:val="p"/>
          </m:rPr>
          <m:t>=</m:t>
        </m:r>
        <m:r>
          <m:t>0.06</m:t>
        </m:r>
      </m:oMath>
      <w:r>
        <w:t xml:space="preserve"> </w:t>
      </w:r>
      <w:r>
        <w:t xml:space="preserve">for penalized Cox and</w:t>
      </w:r>
      <w:r>
        <w:t xml:space="preserve"> </w:t>
      </w:r>
      <m:oMath>
        <m:r>
          <m:t>0.14</m:t>
        </m:r>
      </m:oMath>
      <w:r>
        <w:t xml:space="preserve"> </w:t>
      </w:r>
      <w:r>
        <w:t xml:space="preserve">for supervised PCA): a single supervised risk axis captures the dominant tumour-axis signal but not the separate stromal program.</w:t>
      </w:r>
    </w:p>
    <w:p>
      <w:pPr>
        <w:pStyle w:val="BodyText"/>
      </w:pPr>
      <w:r>
        <w:t xml:space="preserve">The compartment attribution made this explicit. Because D1 runs from a classical-tumour, restraining-stroma protective pole to a basal-like high-risk pole, a sparse supervised risk score aligned with D1 is naturally composed of basal-like tumour markers. Accordingly, across 12 cross-validation seeds the genes selected by both methods were reproducibly enriched (hypergeometric</w:t>
      </w:r>
      <w:r>
        <w:t xml:space="preserve"> </w:t>
      </w:r>
      <m:oMath>
        <m:r>
          <m:t>P</m:t>
        </m:r>
        <m:r>
          <m:rPr>
            <m:sty m:val="p"/>
          </m:rPr>
          <m:t>&lt;</m:t>
        </m:r>
        <m:r>
          <m:t>0.01</m:t>
        </m:r>
      </m:oMath>
      <w:r>
        <w:t xml:space="preserve">) for the basal-like tumour program (in 12/12 seeds for penalized Cox and 12/12 for supervised PCA) and in no seed for the activated-stroma/proCAF, restraining-stroma, immune, or exocrine compartments. The supervised risk scores did nonetheless retain some stromal signal: each correlated modestly with an external activated-stroma/proCAF signature (</w:t>
      </w:r>
      <m:oMath>
        <m:d>
          <m:dPr>
            <m:begChr m:val="|"/>
            <m:endChr m:val="|"/>
            <m:sepChr m:val=""/>
            <m:grow/>
          </m:dPr>
          <m:e>
            <m:r>
              <m:t>r</m:t>
            </m:r>
          </m:e>
        </m:d>
        <m:r>
          <m:rPr>
            <m:sty m:val="p"/>
          </m:rPr>
          <m:t>=</m:t>
        </m:r>
        <m:r>
          <m:t>0.20</m:t>
        </m:r>
      </m:oMath>
      <w:r>
        <w:t xml:space="preserve"> </w:t>
      </w:r>
      <w:r>
        <w:t xml:space="preserve">for penalized Cox and</w:t>
      </w:r>
      <w:r>
        <w:t xml:space="preserve"> </w:t>
      </w:r>
      <m:oMath>
        <m:r>
          <m:t>0.23</m:t>
        </m:r>
      </m:oMath>
      <w:r>
        <w:t xml:space="preserve"> </w:t>
      </w:r>
      <w:r>
        <w:t xml:space="preserve">for supervised PCA), but well below DeSurv’s D2 program (</w:t>
      </w:r>
      <m:oMath>
        <m:d>
          <m:dPr>
            <m:begChr m:val="|"/>
            <m:endChr m:val="|"/>
            <m:sepChr m:val=""/>
            <m:grow/>
          </m:dPr>
          <m:e>
            <m:r>
              <m:t>r</m:t>
            </m:r>
          </m:e>
        </m:d>
        <m:r>
          <m:rPr>
            <m:sty m:val="p"/>
          </m:rPr>
          <m:t>=</m:t>
        </m:r>
        <m:r>
          <m:t>0.55</m:t>
        </m:r>
      </m:oMath>
      <w:r>
        <w:t xml:space="preserve">), which tracks that signature directly. The supervised risk scores retained modest stromal signal but did not resolve it as a distinct program. DeSurv instead placed the dominant survival-associated direction within a three-program representation containing separately measurable classical/restCAF-like, proCAF-like and basal-like programs. Thus, the distinction is representational: DeSurv preserves stromal context as an explicit program even when that program does not contribute independently to the fitted linear predictor.</w:t>
      </w:r>
    </w:p>
    <w:p>
      <w:pPr>
        <w:pStyle w:val="BodyText"/>
      </w:pPr>
      <w:r>
        <w:t xml:space="preserve">\subsection*{Proper-scoring sensitivity of the external validation}</w:t>
      </w:r>
    </w:p>
    <w:p>
      <w:pPr>
        <w:pStyle w:val="BodyText"/>
      </w:pPr>
      <w:r>
        <w:t xml:space="preserve">The main-text external validation reports discrimination with Harrell’s C-index</w:t>
      </w:r>
      <w:r>
        <w:t xml:space="preserve"> </w:t>
      </w:r>
      <w:r>
        <w:t xml:space="preserve">under a Cox proportional-hazards model. Because Harrell’s C can be optimistic when</w:t>
      </w:r>
      <w:r>
        <w:t xml:space="preserve"> </w:t>
      </w:r>
      <w:r>
        <w:t xml:space="preserve">hazards are non-proportional</w:t>
      </w:r>
      <w:hyperlink w:anchor="ref-birolo2025beyondcox">
        <w:r>
          <w:rPr>
            <w:rStyle w:val="Hyperlink"/>
            <w:vertAlign w:val="superscript"/>
          </w:rPr>
          <w:t xml:space="preserve">26</w:t>
        </w:r>
      </w:hyperlink>
      <w:r>
        <w:rPr>
          <w:vertAlign w:val="superscript"/>
        </w:rPr>
        <w:t xml:space="preserve">,</w:t>
      </w:r>
      <w:hyperlink w:anchor="ref-hao2021dnnsurv">
        <w:r>
          <w:rPr>
            <w:rStyle w:val="Hyperlink"/>
            <w:vertAlign w:val="superscript"/>
          </w:rPr>
          <w:t xml:space="preserve">27</w:t>
        </w:r>
      </w:hyperlink>
      <w:r>
        <w:t xml:space="preserve">, we additionally</w:t>
      </w:r>
      <w:r>
        <w:t xml:space="preserve"> </w:t>
      </w:r>
      <w:r>
        <w:t xml:space="preserve">evaluated the DeSurv linear predictor, its direction frozen from training, with</w:t>
      </w:r>
      <w:r>
        <w:t xml:space="preserve"> </w:t>
      </w:r>
      <w:r>
        <w:t xml:space="preserve">a proper score, the integrated Brier score (IBS), in each validation cohort,</w:t>
      </w:r>
      <w:r>
        <w:t xml:space="preserve"> </w:t>
      </w:r>
      <w:r>
        <w:t xml:space="preserve">recalibrating only its scalar slope and baseline hazard</w:t>
      </w:r>
      <w:r>
        <w:t xml:space="preserve"> </w:t>
      </w:r>
      <w:r>
        <w:t xml:space="preserve">within each cohort and scoring over that cohort’s follow-up. For a single</w:t>
      </w:r>
      <w:r>
        <w:t xml:space="preserve"> </w:t>
      </w:r>
      <w:r>
        <w:t xml:space="preserve">time-invariant risk score under proportional hazards the monotone score-to-survival</w:t>
      </w:r>
      <w:r>
        <w:t xml:space="preserve"> </w:t>
      </w:r>
      <w:r>
        <w:t xml:space="preserve">map preserves the concordance ordering, so Antolini’s time-dependent concordance</w:t>
      </w:r>
      <w:r>
        <w:t xml:space="preserve"> </w:t>
      </w:r>
      <w:r>
        <w:t xml:space="preserve">coincides with Harrell’s C; the additive quantity is therefore the proper score, not</w:t>
      </w:r>
      <w:r>
        <w:t xml:space="preserve"> </w:t>
      </w:r>
      <w:r>
        <w:t xml:space="preserve">a second concordance. Across the 5 cohorts the DeSurv predictor achieved an</w:t>
      </w:r>
      <w:r>
        <w:t xml:space="preserve"> </w:t>
      </w:r>
      <w:r>
        <w:t xml:space="preserve">event-weighted integrated Brier score of 0.159 versus</w:t>
      </w:r>
      <w:r>
        <w:t xml:space="preserve"> </w:t>
      </w:r>
      <w:r>
        <w:t xml:space="preserve">0.168 for a Kaplan–Meier reference, an index of</w:t>
      </w:r>
      <w:r>
        <w:t xml:space="preserve"> </w:t>
      </w:r>
      <w:r>
        <w:t xml:space="preserve">prediction accuracy (IPA</w:t>
      </w:r>
      <w:r>
        <w:t xml:space="preserve"> </w:t>
      </w:r>
      <m:oMath>
        <m:r>
          <m:rPr>
            <m:sty m:val="p"/>
          </m:rPr>
          <m:t>=</m:t>
        </m:r>
        <m:r>
          <m:t>1</m:t>
        </m:r>
        <m:r>
          <m:rPr>
            <m:sty m:val="p"/>
          </m:rPr>
          <m:t>−</m:t>
        </m:r>
        <m:r>
          <m:rPr>
            <m:sty m:val="p"/>
          </m:rPr>
          <m:t>I</m:t>
        </m:r>
        <m:r>
          <m:rPr>
            <m:sty m:val="p"/>
          </m:rPr>
          <m:t>B</m:t>
        </m:r>
        <m:r>
          <m:rPr>
            <m:sty m:val="p"/>
          </m:rPr>
          <m:t>S</m:t>
        </m:r>
        <m:r>
          <m:rPr>
            <m:sty m:val="p"/>
          </m:rPr>
          <m:t>/</m:t>
        </m:r>
        <m:sSub>
          <m:e>
            <m:r>
              <m:rPr>
                <m:sty m:val="p"/>
              </m:rPr>
              <m:t>I</m:t>
            </m:r>
            <m:r>
              <m:rPr>
                <m:sty m:val="p"/>
              </m:rPr>
              <m:t>B</m:t>
            </m:r>
            <m:r>
              <m:rPr>
                <m:sty m:val="p"/>
              </m:rPr>
              <m:t>S</m:t>
            </m:r>
          </m:e>
          <m:sub>
            <m:r>
              <m:rPr>
                <m:nor/>
                <m:sty m:val="p"/>
              </m:rPr>
              <m:t>null</m:t>
            </m:r>
          </m:sub>
        </m:sSub>
      </m:oMath>
      <w:r>
        <w:t xml:space="preserve">) of</w:t>
      </w:r>
      <w:r>
        <w:t xml:space="preserve"> </w:t>
      </w:r>
      <w:r>
        <w:t xml:space="preserve">5.4% (per-cohort range</w:t>
      </w:r>
      <w:r>
        <w:t xml:space="preserve"> </w:t>
      </w:r>
      <w:r>
        <w:t xml:space="preserve">2.9–9.4%). Because each</w:t>
      </w:r>
      <w:r>
        <w:t xml:space="preserve"> </w:t>
      </w:r>
      <w:r>
        <w:t xml:space="preserve">cohort’s IBS is integrated over its own event-time horizon, this pooled value is a</w:t>
      </w:r>
      <w:r>
        <w:t xml:space="preserve"> </w:t>
      </w:r>
      <w:r>
        <w:t xml:space="preserve">descriptive event-weighted summary rather than a single common-horizon proper score,</w:t>
      </w:r>
      <w:r>
        <w:t xml:space="preserve"> </w:t>
      </w:r>
      <w:r>
        <w:t xml:space="preserve">and the per-cohort IPA range is the more directly interpretable quantity. Two caveats bound how this analysis should be read. First, the recalibration</w:t>
      </w:r>
      <w:r>
        <w:t xml:space="preserve"> </w:t>
      </w:r>
      <w:r>
        <w:t xml:space="preserve">step estimates both the scalar slope and the baseline hazard from each cohort’s</w:t>
      </w:r>
      <w:r>
        <w:t xml:space="preserve"> </w:t>
      </w:r>
      <w:r>
        <w:t xml:space="preserve">own outcomes, so unlike the C-index and hazard-ratio analyses, which use a fully</w:t>
      </w:r>
      <w:r>
        <w:t xml:space="preserve"> </w:t>
      </w:r>
      <w:r>
        <w:t xml:space="preserve">frozen predictor, this sensitivity evaluates the transported score direction</w:t>
      </w:r>
      <w:r>
        <w:t xml:space="preserve"> </w:t>
      </w:r>
      <w:r>
        <w:t xml:space="preserve">under local recalibration rather than a frozen absolute-risk model. Second, the</w:t>
      </w:r>
      <w:r>
        <w:t xml:space="preserve"> </w:t>
      </w:r>
      <w:r>
        <w:t xml:space="preserve">scores are computed on the same data used to fit that recalibration, with no</w:t>
      </w:r>
      <w:r>
        <w:t xml:space="preserve"> </w:t>
      </w:r>
      <w:r>
        <w:t xml:space="preserve">cross-validation or resampling, so the reported IBS and IPA are apparent</w:t>
      </w:r>
      <w:r>
        <w:t xml:space="preserve"> </w:t>
      </w:r>
      <w:r>
        <w:t xml:space="preserve">in-sample values and are optimistic. Both points cut against the reported</w:t>
      </w:r>
      <w:r>
        <w:t xml:space="preserve"> </w:t>
      </w:r>
      <w:r>
        <w:t xml:space="preserve">improvement rather than for it, and the improvement is already small. This</w:t>
      </w:r>
      <w:r>
        <w:t xml:space="preserve"> </w:t>
      </w:r>
      <w:r>
        <w:t xml:space="preserve">modest proper-score improvement over the null is consistent with the moderate</w:t>
      </w:r>
      <w:r>
        <w:t xml:space="preserve"> </w:t>
      </w:r>
      <w:r>
        <w:t xml:space="preserve">discrimination (C</w:t>
      </w:r>
      <w:r>
        <w:t xml:space="preserve"> </w:t>
      </w:r>
      <m:oMath>
        <m:r>
          <m:rPr>
            <m:sty m:val="p"/>
          </m:rPr>
          <m:t>=</m:t>
        </m:r>
        <m:r>
          <m:t>0.61</m:t>
        </m:r>
      </m:oMath>
      <w:r>
        <w:t xml:space="preserve">) and with DeSurv’s</w:t>
      </w:r>
      <w:r>
        <w:t xml:space="preserve"> </w:t>
      </w:r>
      <w:r>
        <w:t xml:space="preserve">contribution being a separately resolved tumour- and stroma-associated decomposition</w:t>
      </w:r>
      <w:r>
        <w:t xml:space="preserve"> </w:t>
      </w:r>
      <w:r>
        <w:t xml:space="preserve">rather than higher predictive accuracy.</w:t>
      </w:r>
    </w:p>
    <w:p>
      <w:pPr>
        <w:pStyle w:val="BodyText"/>
      </w:pPr>
      <w:r>
        <w:t xml:space="preserve">\subsection*{Proportional-hazards diagnostic}</w:t>
      </w:r>
    </w:p>
    <w:p>
      <w:pPr>
        <w:pStyle w:val="BodyText"/>
      </w:pPr>
      <w:r>
        <w:t xml:space="preserve">Because the pooled hazard ratio assumes proportional hazards, we tested the scaled Schoenfeld residuals of the stratified validation model (</w:t>
      </w:r>
      <m:oMath>
        <m:r>
          <m:rPr>
            <m:sty m:val="p"/>
          </m:rPr>
          <m:t>S</m:t>
        </m:r>
        <m:r>
          <m:rPr>
            <m:sty m:val="p"/>
          </m:rPr>
          <m:t>u</m:t>
        </m:r>
        <m:r>
          <m:rPr>
            <m:sty m:val="p"/>
          </m:rPr>
          <m:t>r</m:t>
        </m:r>
        <m:r>
          <m:rPr>
            <m:sty m:val="p"/>
          </m:rPr>
          <m:t>v</m:t>
        </m:r>
        <m:d>
          <m:dPr>
            <m:begChr m:val="("/>
            <m:endChr m:val=")"/>
            <m:sepChr m:val=""/>
            <m:grow/>
          </m:dPr>
          <m:e>
            <m:r>
              <m:t>t</m:t>
            </m:r>
            <m:r>
              <m:rPr>
                <m:sty m:val="p"/>
              </m:rPr>
              <m:t>,</m:t>
            </m:r>
            <m:r>
              <m:t>δ</m:t>
            </m:r>
          </m:e>
        </m:d>
        <m:r>
          <m:rPr>
            <m:sty m:val="p"/>
          </m:rPr>
          <m:t>∼</m:t>
        </m:r>
        <m:r>
          <m:rPr>
            <m:nor/>
            <m:sty m:val="p"/>
          </m:rPr>
          <m:t>risk_z</m:t>
        </m:r>
        <m:r>
          <m:rPr>
            <m:sty m:val="p"/>
          </m:rPr>
          <m:t>+</m:t>
        </m:r>
        <m:r>
          <m:rPr>
            <m:sty m:val="p"/>
          </m:rPr>
          <m:t>s</m:t>
        </m:r>
        <m:r>
          <m:rPr>
            <m:sty m:val="p"/>
          </m:rPr>
          <m:t>t</m:t>
        </m:r>
        <m:r>
          <m:rPr>
            <m:sty m:val="p"/>
          </m:rPr>
          <m:t>r</m:t>
        </m:r>
        <m:r>
          <m:rPr>
            <m:sty m:val="p"/>
          </m:rPr>
          <m:t>a</m:t>
        </m:r>
        <m:r>
          <m:rPr>
            <m:sty m:val="p"/>
          </m:rPr>
          <m:t>t</m:t>
        </m:r>
        <m:r>
          <m:rPr>
            <m:sty m:val="p"/>
          </m:rPr>
          <m:t>a</m:t>
        </m:r>
        <m:d>
          <m:dPr>
            <m:begChr m:val="("/>
            <m:endChr m:val=")"/>
            <m:sepChr m:val=""/>
            <m:grow/>
          </m:dPr>
          <m:e>
            <m:r>
              <m:rPr>
                <m:nor/>
                <m:sty m:val="p"/>
              </m:rPr>
              <m:t>dataset</m:t>
            </m:r>
          </m:e>
        </m:d>
      </m:oMath>
      <w:r>
        <w:t xml:space="preserve">) with \texttt{survival::cox.zph}. The proportional-hazards assumption was not supported for the standardized DeSurv linear predictor (</w:t>
      </w:r>
      <m:oMath>
        <m:sSup>
          <m:e>
            <m:r>
              <m:t>χ</m:t>
            </m:r>
          </m:e>
          <m:sup>
            <m:r>
              <m:t>2</m:t>
            </m:r>
          </m:sup>
        </m:sSup>
        <m:r>
          <m:rPr>
            <m:sty m:val="p"/>
          </m:rPr>
          <m:t>=</m:t>
        </m:r>
        <m:r>
          <m:t>14.7</m:t>
        </m:r>
      </m:oMath>
      <w:r>
        <w:t xml:space="preserve">,</w:t>
      </w:r>
      <w:r>
        <w:t xml:space="preserve"> </w:t>
      </w:r>
      <m:oMath>
        <m:r>
          <m:rPr>
            <m:sty m:val="p"/>
          </m:rPr>
          <m:t>d</m:t>
        </m:r>
        <m:r>
          <m:rPr>
            <m:sty m:val="p"/>
          </m:rPr>
          <m:t>f</m:t>
        </m:r>
        <m:r>
          <m:rPr>
            <m:sty m:val="p"/>
          </m:rPr>
          <m:t>=</m:t>
        </m:r>
        <m:r>
          <m:t>1</m:t>
        </m:r>
      </m:oMath>
      <w:r>
        <w:t xml:space="preserve">,</w:t>
      </w:r>
      <w:r>
        <w:t xml:space="preserve"> </w:t>
      </w:r>
      <m:oMath>
        <m:r>
          <m:t>P</m:t>
        </m:r>
        <m:r>
          <m:rPr>
            <m:sty m:val="p"/>
          </m:rPr>
          <m:t>=</m:t>
        </m:r>
        <m:r>
          <m:t>1.3</m:t>
        </m:r>
        <m:r>
          <m:t>e</m:t>
        </m:r>
        <m:r>
          <m:rPr>
            <m:sty m:val="p"/>
          </m:rPr>
          <m:t>−</m:t>
        </m:r>
        <m:r>
          <m:t>04</m:t>
        </m:r>
      </m:oMath>
      <w:r>
        <w:t xml:space="preserve">), with the score’s effect attenuating over follow-up rather than reversing. The reported pooled hazard ratio should therefore be read as a time-averaged summary of a consistently prognostic score rather than a constant multiplicative effect; this time-varying behavior is precisely why we additionally report the horizon-integrated proper-scoring (IBS/IPA) sensitivity above, which integrates prediction accuracy over each cohort’s event-time horizon (to the 80th percentile of event times) rather than through a single hazard-ratio summary.</w:t>
      </w:r>
    </w:p>
    <w:p>
      <w:pPr>
        <w:pStyle w:val="BodyText"/>
      </w:pPr>
      <w:r>
        <w:t xml:space="preserve">\subsection*{Independence of discovery and validation}</w:t>
      </w:r>
    </w:p>
    <w:p>
      <w:pPr>
        <w:pStyle w:val="BodyText"/>
      </w:pPr>
      <w:r>
        <w:t xml:space="preserve">To make the separation between discovery, adjustment, and validation unambiguous: DeSurv</w:t>
      </w:r>
      <w:r>
        <w:t xml:space="preserve"> </w:t>
      </w:r>
      <w:r>
        <w:t xml:space="preserve">is trained with survival supervision only; it never uses PurIST, DeCAF, or any molecular</w:t>
      </w:r>
      <w:r>
        <w:t xml:space="preserve"> </w:t>
      </w:r>
      <w:r>
        <w:t xml:space="preserve">subtype label during factorization or hyperparameter selection. The PurIST and DeCAF</w:t>
      </w:r>
      <w:r>
        <w:t xml:space="preserve"> </w:t>
      </w:r>
      <w:r>
        <w:t xml:space="preserve">subtype calls were fixed before the DeSurv analysis (loaded as precomputed per-cohort</w:t>
      </w:r>
      <w:r>
        <w:t xml:space="preserve"> </w:t>
      </w:r>
      <w:r>
        <w:t xml:space="preserve">annotations) and enter only as covariates in the adjusted Cox models, not as inputs to</w:t>
      </w:r>
      <w:r>
        <w:t xml:space="preserve"> </w:t>
      </w:r>
      <w:r>
        <w:t xml:space="preserve">DeSurv. All rank and hyperparameter selection (including the one-standard-error rule) was</w:t>
      </w:r>
      <w:r>
        <w:t xml:space="preserve"> </w:t>
      </w:r>
      <w:r>
        <w:t xml:space="preserve">performed by cross-validation entirely within the TCGA and CPTAC training data;</w:t>
      </w:r>
      <w:r>
        <w:t xml:space="preserve"> </w:t>
      </w:r>
      <w:r>
        <w:t xml:space="preserve">no external validation cohort was used for training or tuning.</w:t>
      </w:r>
      <w:r>
        <w:t xml:space="preserve"> </w:t>
      </w:r>
      <w:r>
        <w:t xml:space="preserve">Validation-cohort expression enters only at scoring, a fixed-basis projection</w:t>
      </w:r>
      <w:r>
        <w:t xml:space="preserve"> </w:t>
      </w:r>
      <w:r>
        <w:t xml:space="preserve">(</w:t>
      </w:r>
      <m:oMath>
        <m:r>
          <m:t>Z</m:t>
        </m:r>
        <m:r>
          <m:rPr>
            <m:sty m:val="p"/>
          </m:rPr>
          <m:t>=</m:t>
        </m:r>
        <m:sSup>
          <m:e>
            <m:acc>
              <m:accPr>
                <m:chr m:val="̃"/>
              </m:accPr>
              <m:e>
                <m:r>
                  <m:t>W</m:t>
                </m:r>
              </m:e>
            </m:acc>
          </m:e>
          <m:sup>
            <m:r>
              <m:rPr>
                <m:sty m:val="p"/>
              </m:rPr>
              <m:t>⊤</m:t>
            </m:r>
          </m:sup>
        </m:sSup>
        <m:sSub>
          <m:e>
            <m:r>
              <m:t>X</m:t>
            </m:r>
          </m:e>
          <m:sub>
            <m:r>
              <m:rPr>
                <m:nor/>
                <m:sty m:val="p"/>
              </m:rPr>
              <m:t>new</m:t>
            </m:r>
          </m:sub>
        </m:sSub>
      </m:oMath>
      <w:r>
        <w:t xml:space="preserve">) that uses no validation outcome, and</w:t>
      </w:r>
      <w:r>
        <w:t xml:space="preserve"> </w:t>
      </w:r>
      <w:r>
        <w:t xml:space="preserve">validation-cohort survival outcomes were used only for the final, out-of-sample</w:t>
      </w:r>
      <w:r>
        <w:t xml:space="preserve"> </w:t>
      </w:r>
      <w:r>
        <w:t xml:space="preserve">performance evaluation.</w:t>
      </w:r>
    </w:p>
    <w:p>
      <w:pPr>
        <w:pStyle w:val="BodyText"/>
      </w:pPr>
      <w:r>
        <w:t xml:space="preserve">\subsection*{Variance partition of the D1 score}</w:t>
      </w:r>
    </w:p>
    <w:p>
      <w:pPr>
        <w:pStyle w:val="BodyText"/>
      </w:pPr>
      <w:r>
        <w:t xml:space="preserve">The main text reports the fraction of the D1 score’s variance explained by the</w:t>
      </w:r>
      <w:r>
        <w:t xml:space="preserve"> </w:t>
      </w:r>
      <w:r>
        <w:t xml:space="preserve">binary PurIST and DeCAF classifications (\texttt{code/14}). D1 scores are first</w:t>
      </w:r>
      <w:r>
        <w:t xml:space="preserve"> </w:t>
      </w:r>
      <w:r>
        <w:t xml:space="preserve">standardized within cohort, and an ordinary least-squares model is then fitted</w:t>
      </w:r>
      <w:r>
        <w:t xml:space="preserve"> </w:t>
      </w:r>
      <w:r>
        <w:t xml:space="preserve">with cohort as a fixed effect together with PurIST, DeCAF and their interaction.</w:t>
      </w:r>
      <w:r>
        <w:t xml:space="preserve"> </w:t>
      </w:r>
      <w:r>
        <w:t xml:space="preserve">The quantity reported is the ordinary</w:t>
      </w:r>
      <w:r>
        <w:t xml:space="preserve"> </w:t>
      </w:r>
      <m:oMath>
        <m:sSup>
          <m:e>
            <m:r>
              <m:t>R</m:t>
            </m:r>
          </m:e>
          <m:sup>
            <m:r>
              <m:t>2</m:t>
            </m:r>
          </m:sup>
        </m:sSup>
      </m:oMath>
      <w:r>
        <w:t xml:space="preserve"> </w:t>
      </w:r>
      <w:r>
        <w:t xml:space="preserve">of that model, not the adjusted</w:t>
      </w:r>
      <w:r>
        <w:t xml:space="preserve"> </w:t>
      </w:r>
      <m:oMath>
        <m:sSup>
          <m:e>
            <m:r>
              <m:t>R</m:t>
            </m:r>
          </m:e>
          <m:sup>
            <m:r>
              <m:t>2</m:t>
            </m:r>
          </m:sup>
        </m:sSup>
      </m:oMath>
      <w:r>
        <w:t xml:space="preserve">; on</w:t>
      </w:r>
      <w:r>
        <w:t xml:space="preserve"> </w:t>
      </w:r>
      <m:oMath>
        <m:r>
          <m:t>n</m:t>
        </m:r>
        <m:r>
          <m:rPr>
            <m:sty m:val="p"/>
          </m:rPr>
          <m:t>=</m:t>
        </m:r>
        <m:r>
          <m:t>570</m:t>
        </m:r>
      </m:oMath>
      <w:r>
        <w:t xml:space="preserve"> </w:t>
      </w:r>
      <w:r>
        <w:t xml:space="preserve">with eight estimated parameters the adjusted value is about</w:t>
      </w:r>
      <w:r>
        <w:t xml:space="preserve"> </w:t>
      </w:r>
      <w:r>
        <w:t xml:space="preserve">one percentage point lower. Because the scores are standardized within cohort</w:t>
      </w:r>
      <w:r>
        <w:t xml:space="preserve"> </w:t>
      </w:r>
      <w:r>
        <w:t xml:space="preserve">before fitting, the cohort main effect absorbs essentially no variance, so the</w:t>
      </w:r>
      <w:r>
        <w:t xml:space="preserve"> </w:t>
      </w:r>
      <w:r>
        <w:t xml:space="preserve">within-cohort normalization of the reported statistic is a formality rather than</w:t>
      </w:r>
      <w:r>
        <w:t xml:space="preserve"> </w:t>
      </w:r>
      <w:r>
        <w:t xml:space="preserve">a correction. The interaction term contributes negligibly, so the additive and</w:t>
      </w:r>
      <w:r>
        <w:t xml:space="preserve"> </w:t>
      </w:r>
      <w:r>
        <w:t xml:space="preserve">interaction models give the same figure to the reported precision. Prognostic</w:t>
      </w:r>
      <w:r>
        <w:t xml:space="preserve"> </w:t>
      </w:r>
      <w:r>
        <w:t xml:space="preserve">increments over the classifiers are assessed separately, by a partial</w:t>
      </w:r>
      <w:r>
        <w:t xml:space="preserve"> </w:t>
      </w:r>
      <w:r>
        <w:t xml:space="preserve">likelihood-ratio test and the change in concordance from adding D1 to a</w:t>
      </w:r>
      <w:r>
        <w:t xml:space="preserve"> </w:t>
      </w:r>
      <w:r>
        <w:t xml:space="preserve">cohort-stratified Cox model containing both classifiers.</w:t>
      </w:r>
    </w:p>
    <w:p>
      <w:pPr>
        <w:pStyle w:val="BodyText"/>
      </w:pPr>
      <w:r>
        <w:t xml:space="preserve">A stronger version of the same question is whether D1 is merely a smoothed</w:t>
      </w:r>
      <w:r>
        <w:t xml:space="preserve"> </w:t>
      </w:r>
      <w:r>
        <w:t xml:space="preserve">coding of the four joint PurIST-by-DeCAF subtype cells, so that the classical</w:t>
      </w:r>
      <w:r>
        <w:t xml:space="preserve"> </w:t>
      </w:r>
      <w:r>
        <w:t xml:space="preserve">and restCAF-like arms of D1 would simply re-express one cell of a two-by-two.</w:t>
      </w:r>
      <w:r>
        <w:t xml:space="preserve"> </w:t>
      </w:r>
      <w:r>
        <w:t xml:space="preserve">We tested this directly by adding D1 to a cohort-stratified Cox model that</w:t>
      </w:r>
      <w:r>
        <w:t xml:space="preserve"> </w:t>
      </w:r>
      <w:r>
        <w:t xml:space="preserve">already contains the PurIST-by-DeCAF interaction</w:t>
      </w:r>
      <w:r>
        <w:t xml:space="preserve"> </w:t>
      </w:r>
      <w:r>
        <w:t xml:space="preserve">(\texttt{code/14}). The interaction term itself is not prognostic</w:t>
      </w:r>
      <w:r>
        <w:t xml:space="preserve"> </w:t>
      </w:r>
      <w:r>
        <w:t xml:space="preserve">(HR</w:t>
      </w:r>
      <w:r>
        <w:t xml:space="preserve"> </w:t>
      </w:r>
      <m:oMath>
        <m:r>
          <m:t>1.42</m:t>
        </m:r>
      </m:oMath>
      <w:r>
        <w:t xml:space="preserve">,</w:t>
      </w:r>
      <w:r>
        <w:t xml:space="preserve"> </w:t>
      </w:r>
      <m:oMath>
        <m:r>
          <m:t>P</m:t>
        </m:r>
        <m:r>
          <m:rPr>
            <m:sty m:val="p"/>
          </m:rPr>
          <m:t>=</m:t>
        </m:r>
        <m:r>
          <m:t>0.28</m:t>
        </m:r>
      </m:oMath>
      <w:r>
        <w:t xml:space="preserve">),</w:t>
      </w:r>
      <w:r>
        <w:t xml:space="preserve"> </w:t>
      </w:r>
      <w:r>
        <w:t xml:space="preserve">so the joint classification adds nothing over the additive one. D1 does:</w:t>
      </w:r>
      <w:r>
        <w:t xml:space="preserve"> </w:t>
      </w:r>
      <w:r>
        <w:t xml:space="preserve">adding it gives a partial likelihood-ratio statistic of</w:t>
      </w:r>
      <w:r>
        <w:t xml:space="preserve"> </w:t>
      </w:r>
      <m:oMath>
        <m:r>
          <m:t>10.44</m:t>
        </m:r>
      </m:oMath>
      <w:r>
        <w:t xml:space="preserve"> </w:t>
      </w:r>
      <w:r>
        <w:t xml:space="preserve">on 1 degree of freedom</w:t>
      </w:r>
      <w:r>
        <w:t xml:space="preserve"> </w:t>
      </w:r>
      <w:r>
        <w:t xml:space="preserve">(</w:t>
      </w:r>
      <m:oMath>
        <m:r>
          <m:t>P</m:t>
        </m:r>
        <m:r>
          <m:rPr>
            <m:sty m:val="p"/>
          </m:rPr>
          <m:t>=</m:t>
        </m:r>
        <m:r>
          <m:t>0.0012</m:t>
        </m:r>
      </m:oMath>
      <w:r>
        <w:t xml:space="preserve">), an adjusted hazard ratio per standard</w:t>
      </w:r>
      <w:r>
        <w:t xml:space="preserve"> </w:t>
      </w:r>
      <w:r>
        <w:t xml:space="preserve">deviation of</w:t>
      </w:r>
      <w:r>
        <w:t xml:space="preserve"> </w:t>
      </w:r>
      <m:oMath>
        <m:r>
          <m:t>0.82</m:t>
        </m:r>
      </m:oMath>
      <w:r>
        <w:t xml:space="preserve"> </w:t>
      </w:r>
      <w:r>
        <w:t xml:space="preserve">(</w:t>
      </w:r>
      <m:oMath>
        <m:r>
          <m:t>0.73</m:t>
        </m:r>
      </m:oMath>
      <w:r>
        <w:t xml:space="preserve">–</w:t>
      </w:r>
      <m:oMath>
        <m:r>
          <m:t>0.92</m:t>
        </m:r>
      </m:oMath>
      <w:r>
        <w:t xml:space="preserve">), and a</w:t>
      </w:r>
      <w:r>
        <w:t xml:space="preserve"> </w:t>
      </w:r>
      <w:r>
        <w:t xml:space="preserve">concordance increase from</w:t>
      </w:r>
      <w:r>
        <w:t xml:space="preserve"> </w:t>
      </w:r>
      <m:oMath>
        <m:r>
          <m:t>0.592</m:t>
        </m:r>
      </m:oMath>
      <w:r>
        <w:t xml:space="preserve"> </w:t>
      </w:r>
      <w:r>
        <w:t xml:space="preserve">to</w:t>
      </w:r>
      <w:r>
        <w:t xml:space="preserve"> </w:t>
      </w:r>
      <m:oMath>
        <m:r>
          <m:t>0.621</m:t>
        </m:r>
      </m:oMath>
      <w:r>
        <w:t xml:space="preserve">. Re-coding the two classifiers as a single</w:t>
      </w:r>
      <w:r>
        <w:t xml:space="preserve"> </w:t>
      </w:r>
      <w:r>
        <w:t xml:space="preserve">saturated four-level categorical variable is the same model reparameterized and</w:t>
      </w:r>
      <w:r>
        <w:t xml:space="preserve"> </w:t>
      </w:r>
      <w:r>
        <w:t xml:space="preserve">returns the identical statistic</w:t>
      </w:r>
      <w:r>
        <w:t xml:space="preserve"> </w:t>
      </w:r>
      <w:r>
        <w:t xml:space="preserve">(</w:t>
      </w:r>
      <m:oMath>
        <m:sSup>
          <m:e>
            <m:r>
              <m:t>χ</m:t>
            </m:r>
          </m:e>
          <m:sup>
            <m:r>
              <m:t>2</m:t>
            </m:r>
          </m:sup>
        </m:sSup>
        <m:r>
          <m:rPr>
            <m:sty m:val="p"/>
          </m:rPr>
          <m:t>=</m:t>
        </m:r>
        <m:r>
          <m:t>10.44</m:t>
        </m:r>
      </m:oMath>
      <w:r>
        <w:t xml:space="preserve">). D1 is therefore not a</w:t>
      </w:r>
      <w:r>
        <w:t xml:space="preserve"> </w:t>
      </w:r>
      <w:r>
        <w:t xml:space="preserve">relabeling of the joint subtype classification.</w:t>
      </w:r>
    </w:p>
    <w:p>
      <w:pPr>
        <w:pStyle w:val="BodyText"/>
      </w:pPr>
      <w:r>
        <w:t xml:space="preserve">\subsection*{Adjustment for clinical covariates and tumor purity}</w:t>
      </w:r>
    </w:p>
    <w:p>
      <w:pPr>
        <w:pStyle w:val="BodyText"/>
      </w:pPr>
      <w:r>
        <w:t xml:space="preserve">The DeSurv linear predictor was refitted in each cohort before and after adjustment for the clinical covariates that cohort annotates and, where available, for tumor purity (Table [tab:clinical-adjustment]). Purity annotation is present in only a subset of cohorts and is derived by different estimators across them, so it is used here solely as an adjustment covariate; wherever purity could be measured on a full cohort the adjusted hazard ratio was essentially unchanged from the unadjusted one, which argues against the association being driven by tumor purity or composition.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Cohort</w:t>
            </w:r>
          </w:p>
        </w:tc>
        <w:tc>
          <w:tcPr/>
          <w:p>
            <w:pPr>
              <w:pStyle w:val="Compact"/>
              <w:jc w:val="left"/>
            </w:pPr>
            <w:r>
              <w:t xml:space="preserve">Covariates</w:t>
            </w:r>
          </w:p>
        </w:tc>
        <w:tc>
          <w:tcPr/>
          <w:p>
            <w:pPr>
              <w:pStyle w:val="Compact"/>
              <w:jc w:val="left"/>
            </w:pPr>
            <w:r>
              <w:t xml:space="preserve">Unadjusted</w:t>
            </w:r>
          </w:p>
        </w:tc>
        <w:tc>
          <w:tcPr/>
          <w:p>
            <w:pPr>
              <w:pStyle w:val="Compact"/>
              <w:jc w:val="left"/>
            </w:pPr>
            <w:r>
              <w:t xml:space="preserve">Clinical-adjusted</w:t>
            </w:r>
          </w:p>
        </w:tc>
        <w:tc>
          <w:tcPr/>
          <w:p>
            <w:pPr>
              <w:pStyle w:val="Compact"/>
              <w:jc w:val="left"/>
            </w:pPr>
            <w:r>
              <w:t xml:space="preserve">Purity-adjusted</w:t>
            </w:r>
          </w:p>
        </w:tc>
      </w:tr>
      <w:tr>
        <w:tc>
          <w:tcPr/>
          <w:p>
            <w:pPr>
              <w:pStyle w:val="Compact"/>
              <w:jc w:val="left"/>
            </w:pPr>
            <w:r>
              <w:t xml:space="preserve">PACA-AU array</w:t>
            </w:r>
          </w:p>
        </w:tc>
        <w:tc>
          <w:tcPr/>
          <w:p>
            <w:pPr>
              <w:pStyle w:val="Compact"/>
              <w:jc w:val="left"/>
            </w:pPr>
            <w:r>
              <w:t xml:space="preserve">stage, grade, age, sex</w:t>
            </w:r>
          </w:p>
        </w:tc>
        <w:tc>
          <w:tcPr/>
          <w:p>
            <w:pPr>
              <w:pStyle w:val="Compact"/>
              <w:jc w:val="left"/>
            </w:pPr>
            <w:r>
              <w:t xml:space="preserve">1.44 (1.07–1.93),</w:t>
            </w:r>
            <w:r>
              <w:t xml:space="preserve"> </w:t>
            </w:r>
            <m:oMath>
              <m:r>
                <m:t>0.016</m:t>
              </m:r>
            </m:oMath>
            <w:r>
              <w:t xml:space="preserve"> </w:t>
            </w:r>
            <w:r>
              <w:t xml:space="preserve">(</w:t>
            </w:r>
            <m:oMath>
              <m:r>
                <m:t>n</m:t>
              </m:r>
            </m:oMath>
            <w:r>
              <w:t xml:space="preserve">=63, 38 ev)</w:t>
            </w:r>
          </w:p>
        </w:tc>
        <w:tc>
          <w:tcPr/>
          <w:p>
            <w:pPr>
              <w:pStyle w:val="Compact"/>
              <w:jc w:val="left"/>
            </w:pPr>
            <w:r>
              <w:t xml:space="preserve">1.58 (1.06–2.35),</w:t>
            </w:r>
            <w:r>
              <w:t xml:space="preserve"> </w:t>
            </w:r>
            <m:oMath>
              <m:r>
                <m:t>0.025</m:t>
              </m:r>
            </m:oMath>
            <w:r>
              <w:t xml:space="preserve"> </w:t>
            </w:r>
            <w:r>
              <w:t xml:space="preserve">(</w:t>
            </w:r>
            <m:oMath>
              <m:r>
                <m:t>n</m:t>
              </m:r>
            </m:oMath>
            <w:r>
              <w:t xml:space="preserve">=62, 37 ev)</w:t>
            </w:r>
          </w:p>
        </w:tc>
        <w:tc>
          <w:tcPr/>
          <w:p>
            <w:pPr>
              <w:pStyle w:val="Compact"/>
              <w:jc w:val="left"/>
            </w:pPr>
            <w:r>
              <w:t xml:space="preserve">1.45 (1.08–1.96),</w:t>
            </w:r>
            <w:r>
              <w:t xml:space="preserve"> </w:t>
            </w:r>
            <m:oMath>
              <m:r>
                <m:t>0.014</m:t>
              </m:r>
            </m:oMath>
            <w:r>
              <w:t xml:space="preserve"> </w:t>
            </w:r>
            <w:r>
              <w:t xml:space="preserve">(</w:t>
            </w:r>
            <m:oMath>
              <m:r>
                <m:t>n</m:t>
              </m:r>
            </m:oMath>
            <w:r>
              <w:t xml:space="preserve">=63, 38 ev)</w:t>
            </w:r>
          </w:p>
        </w:tc>
      </w:tr>
      <w:tr>
        <w:tc>
          <w:tcPr/>
          <w:p>
            <w:pPr>
              <w:pStyle w:val="Compact"/>
              <w:jc w:val="left"/>
            </w:pPr>
            <w:r>
              <w:t xml:space="preserve">PACA-AU RNA-seq</w:t>
            </w:r>
          </w:p>
        </w:tc>
        <w:tc>
          <w:tcPr/>
          <w:p>
            <w:pPr>
              <w:pStyle w:val="Compact"/>
              <w:jc w:val="left"/>
            </w:pPr>
            <w:r>
              <w:t xml:space="preserve">stage, grade, age, sex</w:t>
            </w:r>
          </w:p>
        </w:tc>
        <w:tc>
          <w:tcPr/>
          <w:p>
            <w:pPr>
              <w:pStyle w:val="Compact"/>
              <w:jc w:val="left"/>
            </w:pPr>
            <w:r>
              <w:t xml:space="preserve">1.66 (1.15–2.38),</w:t>
            </w:r>
            <w:r>
              <w:t xml:space="preserve"> </w:t>
            </w:r>
            <m:oMath>
              <m:r>
                <m:t>0.006</m:t>
              </m:r>
            </m:oMath>
            <w:r>
              <w:t xml:space="preserve"> </w:t>
            </w:r>
            <w:r>
              <w:t xml:space="preserve">(</w:t>
            </w:r>
            <m:oMath>
              <m:r>
                <m:t>n</m:t>
              </m:r>
            </m:oMath>
            <w:r>
              <w:t xml:space="preserve">=52, 31 ev)</w:t>
            </w:r>
          </w:p>
        </w:tc>
        <w:tc>
          <w:tcPr/>
          <w:p>
            <w:pPr>
              <w:pStyle w:val="Compact"/>
              <w:jc w:val="left"/>
            </w:pPr>
            <w:r>
              <w:t xml:space="preserve">1.56 (0.95–2.55),</w:t>
            </w:r>
            <w:r>
              <w:t xml:space="preserve"> </w:t>
            </w:r>
            <m:oMath>
              <m:r>
                <m:t>0.077</m:t>
              </m:r>
            </m:oMath>
            <w:r>
              <w:t xml:space="preserve"> </w:t>
            </w:r>
            <w:r>
              <w:t xml:space="preserve">(</w:t>
            </w:r>
            <m:oMath>
              <m:r>
                <m:t>n</m:t>
              </m:r>
            </m:oMath>
            <w:r>
              <w:t xml:space="preserve">=51, 30 ev)</w:t>
            </w:r>
          </w:p>
        </w:tc>
        <w:tc>
          <w:tcPr/>
          <w:p>
            <w:pPr>
              <w:pStyle w:val="Compact"/>
              <w:jc w:val="left"/>
            </w:pPr>
            <w:r>
              <w:t xml:space="preserve">1.65 (1.15–2.36),</w:t>
            </w:r>
            <w:r>
              <w:t xml:space="preserve"> </w:t>
            </w:r>
            <m:oMath>
              <m:r>
                <m:t>0.006</m:t>
              </m:r>
            </m:oMath>
            <w:r>
              <w:t xml:space="preserve"> </w:t>
            </w:r>
            <w:r>
              <w:t xml:space="preserve">(</w:t>
            </w:r>
            <m:oMath>
              <m:r>
                <m:t>n</m:t>
              </m:r>
            </m:oMath>
            <w:r>
              <w:t xml:space="preserve">=52, 31 ev)</w:t>
            </w:r>
          </w:p>
        </w:tc>
      </w:tr>
      <w:tr>
        <w:tc>
          <w:tcPr/>
          <w:p>
            <w:pPr>
              <w:pStyle w:val="Compact"/>
              <w:jc w:val="left"/>
            </w:pPr>
            <w:r>
              <w:t xml:space="preserve">Puleo</w:t>
            </w:r>
          </w:p>
        </w:tc>
        <w:tc>
          <w:tcPr/>
          <w:p>
            <w:pPr>
              <w:pStyle w:val="Compact"/>
              <w:jc w:val="left"/>
            </w:pPr>
            <w:r>
              <w:t xml:space="preserve">sex, margin</w:t>
            </w:r>
          </w:p>
        </w:tc>
        <w:tc>
          <w:tcPr/>
          <w:p>
            <w:pPr>
              <w:pStyle w:val="Compact"/>
              <w:jc w:val="left"/>
            </w:pPr>
            <w:r>
              <w:t xml:space="preserve">1.37 (1.18–1.59),</w:t>
            </w:r>
            <w:r>
              <w:t xml:space="preserve"> </w:t>
            </w:r>
            <m:oMath>
              <m:r>
                <m:rPr>
                  <m:sty m:val="p"/>
                </m:rPr>
                <m:t>&lt;</m:t>
              </m:r>
              <m:r>
                <m:t>0.001</m:t>
              </m:r>
            </m:oMath>
            <w:r>
              <w:t xml:space="preserve"> </w:t>
            </w:r>
            <w:r>
              <w:t xml:space="preserve">(</w:t>
            </w:r>
            <m:oMath>
              <m:r>
                <m:t>n</m:t>
              </m:r>
            </m:oMath>
            <w:r>
              <w:t xml:space="preserve">=288, 181 ev)</w:t>
            </w:r>
          </w:p>
        </w:tc>
        <w:tc>
          <w:tcPr/>
          <w:p>
            <w:pPr>
              <w:pStyle w:val="Compact"/>
              <w:jc w:val="left"/>
            </w:pPr>
            <w:r>
              <w:t xml:space="preserve">1.33 (1.14–1.55),</w:t>
            </w:r>
            <w:r>
              <w:t xml:space="preserve"> </w:t>
            </w:r>
            <m:oMath>
              <m:r>
                <m:rPr>
                  <m:sty m:val="p"/>
                </m:rPr>
                <m:t>&lt;</m:t>
              </m:r>
              <m:r>
                <m:t>0.001</m:t>
              </m:r>
            </m:oMath>
            <w:r>
              <w:t xml:space="preserve"> </w:t>
            </w:r>
            <w:r>
              <w:t xml:space="preserve">(</w:t>
            </w:r>
            <m:oMath>
              <m:r>
                <m:t>n</m:t>
              </m:r>
            </m:oMath>
            <w:r>
              <w:t xml:space="preserve">=284, 177 ev)</w:t>
            </w:r>
          </w:p>
        </w:tc>
        <w:tc>
          <w:tcPr/>
          <w:p>
            <w:pPr>
              <w:pStyle w:val="Compact"/>
              <w:jc w:val="left"/>
            </w:pPr>
            <w:r>
              <w:t xml:space="preserve">—</w:t>
            </w:r>
          </w:p>
        </w:tc>
      </w:tr>
      <w:tr>
        <w:tc>
          <w:tcPr/>
          <w:p>
            <w:pPr>
              <w:pStyle w:val="Compact"/>
              <w:jc w:val="left"/>
            </w:pPr>
            <w:r>
              <w:t xml:space="preserve">Dijk</w:t>
            </w:r>
          </w:p>
        </w:tc>
        <w:tc>
          <w:tcPr/>
          <w:p>
            <w:pPr>
              <w:pStyle w:val="Compact"/>
              <w:jc w:val="left"/>
            </w:pPr>
            <w:r>
              <w:t xml:space="preserve">grade, age, sex, nodal</w:t>
            </w:r>
          </w:p>
        </w:tc>
        <w:tc>
          <w:tcPr/>
          <w:p>
            <w:pPr>
              <w:pStyle w:val="Compact"/>
              <w:jc w:val="left"/>
            </w:pPr>
            <w:r>
              <w:t xml:space="preserve">1.32 (1.06–1.66),</w:t>
            </w:r>
            <w:r>
              <w:t xml:space="preserve"> </w:t>
            </w:r>
            <m:oMath>
              <m:r>
                <m:t>0.015</m:t>
              </m:r>
            </m:oMath>
            <w:r>
              <w:t xml:space="preserve"> </w:t>
            </w:r>
            <w:r>
              <w:t xml:space="preserve">(</w:t>
            </w:r>
            <m:oMath>
              <m:r>
                <m:t>n</m:t>
              </m:r>
            </m:oMath>
            <w:r>
              <w:t xml:space="preserve">=90, 81 ev)</w:t>
            </w:r>
          </w:p>
        </w:tc>
        <w:tc>
          <w:tcPr/>
          <w:p>
            <w:pPr>
              <w:pStyle w:val="Compact"/>
              <w:jc w:val="left"/>
            </w:pPr>
            <w:r>
              <w:t xml:space="preserve">1.18 (0.92–1.50),</w:t>
            </w:r>
            <w:r>
              <w:t xml:space="preserve"> </w:t>
            </w:r>
            <m:oMath>
              <m:r>
                <m:t>0.189</m:t>
              </m:r>
            </m:oMath>
            <w:r>
              <w:t xml:space="preserve"> </w:t>
            </w:r>
            <w:r>
              <w:t xml:space="preserve">(</w:t>
            </w:r>
            <m:oMath>
              <m:r>
                <m:t>n</m:t>
              </m:r>
            </m:oMath>
            <w:r>
              <w:t xml:space="preserve">=85, 77 ev)</w:t>
            </w:r>
          </w:p>
        </w:tc>
        <w:tc>
          <w:tcPr/>
          <w:p>
            <w:pPr>
              <w:pStyle w:val="Compact"/>
              <w:jc w:val="left"/>
            </w:pPr>
            <w:r>
              <w:t xml:space="preserve">—</w:t>
            </w:r>
          </w:p>
        </w:tc>
      </w:tr>
      <w:tr>
        <w:tc>
          <w:tcPr/>
          <w:p>
            <w:pPr>
              <w:pStyle w:val="Compact"/>
              <w:jc w:val="left"/>
            </w:pPr>
            <w:r>
              <w:t xml:space="preserve">Moffitt</w:t>
            </w:r>
          </w:p>
        </w:tc>
        <w:tc>
          <w:tcPr/>
          <w:p>
            <w:pPr>
              <w:pStyle w:val="Compact"/>
              <w:jc w:val="left"/>
            </w:pPr>
            <w:r>
              <w:t xml:space="preserve">sex, margin</w:t>
            </w:r>
          </w:p>
        </w:tc>
        <w:tc>
          <w:tcPr/>
          <w:p>
            <w:pPr>
              <w:pStyle w:val="Compact"/>
              <w:jc w:val="left"/>
            </w:pPr>
            <w:r>
              <w:t xml:space="preserve">1.20 (0.98–1.48),</w:t>
            </w:r>
            <w:r>
              <w:t xml:space="preserve"> </w:t>
            </w:r>
            <m:oMath>
              <m:r>
                <m:t>0.076</m:t>
              </m:r>
            </m:oMath>
            <w:r>
              <w:t xml:space="preserve"> </w:t>
            </w:r>
            <w:r>
              <w:t xml:space="preserve">(</w:t>
            </w:r>
            <m:oMath>
              <m:r>
                <m:t>n</m:t>
              </m:r>
            </m:oMath>
            <w:r>
              <w:t xml:space="preserve">=123, 83 ev)</w:t>
            </w:r>
          </w:p>
        </w:tc>
        <w:tc>
          <w:tcPr/>
          <w:p>
            <w:pPr>
              <w:pStyle w:val="Compact"/>
              <w:jc w:val="left"/>
            </w:pPr>
            <w:r>
              <w:t xml:space="preserve">1.20 (0.94–1.53),</w:t>
            </w:r>
            <w:r>
              <w:t xml:space="preserve"> </w:t>
            </w:r>
            <m:oMath>
              <m:r>
                <m:t>0.154</m:t>
              </m:r>
            </m:oMath>
            <w:r>
              <w:t xml:space="preserve"> </w:t>
            </w:r>
            <w:r>
              <w:t xml:space="preserve">(</w:t>
            </w:r>
            <m:oMath>
              <m:r>
                <m:t>n</m:t>
              </m:r>
            </m:oMath>
            <w:r>
              <w:t xml:space="preserve">=98, 67 ev)</w:t>
            </w:r>
          </w:p>
        </w:tc>
        <w:tc>
          <w:tcPr/>
          <w:p>
            <w:pPr>
              <w:pStyle w:val="Compact"/>
              <w:jc w:val="left"/>
            </w:pPr>
            <w:r>
              <w:t xml:space="preserve">0.87 (0.50–1.54),</w:t>
            </w:r>
            <w:r>
              <w:t xml:space="preserve"> </w:t>
            </w:r>
            <m:oMath>
              <m:r>
                <m:t>0.639</m:t>
              </m:r>
            </m:oMath>
            <w:r>
              <w:t xml:space="preserve"> </w:t>
            </w:r>
            <w:r>
              <w:t xml:space="preserve">(</w:t>
            </w:r>
            <m:oMath>
              <m:r>
                <m:t>n</m:t>
              </m:r>
            </m:oMath>
            <w:r>
              <w:t xml:space="preserve">=29, 18 ev)</w:t>
            </w:r>
          </w:p>
        </w:tc>
      </w:tr>
      <w:tr>
        <w:tc>
          <w:tcPr/>
          <w:p>
            <w:pPr>
              <w:pStyle w:val="Compact"/>
              <w:jc w:val="left"/>
            </w:pPr>
            <w:r>
              <w:t xml:space="preserve">TCGA (train)</w:t>
            </w:r>
          </w:p>
        </w:tc>
        <w:tc>
          <w:tcPr/>
          <w:p>
            <w:pPr>
              <w:pStyle w:val="Compact"/>
              <w:jc w:val="left"/>
            </w:pPr>
            <w:r>
              <w:t xml:space="preserve">stage, grade, age, sex, nodal</w:t>
            </w:r>
          </w:p>
        </w:tc>
        <w:tc>
          <w:tcPr/>
          <w:p>
            <w:pPr>
              <w:pStyle w:val="Compact"/>
              <w:jc w:val="left"/>
            </w:pPr>
            <w:r>
              <w:t xml:space="preserve">3.50 (2.63–4.66),</w:t>
            </w:r>
            <w:r>
              <w:t xml:space="preserve"> </w:t>
            </w:r>
            <m:oMath>
              <m:r>
                <m:rPr>
                  <m:sty m:val="p"/>
                </m:rPr>
                <m:t>&lt;</m:t>
              </m:r>
              <m:r>
                <m:t>0.001</m:t>
              </m:r>
            </m:oMath>
            <w:r>
              <w:t xml:space="preserve"> </w:t>
            </w:r>
            <w:r>
              <w:t xml:space="preserve">(</w:t>
            </w:r>
            <m:oMath>
              <m:r>
                <m:t>n</m:t>
              </m:r>
            </m:oMath>
            <w:r>
              <w:t xml:space="preserve">=144, 75 ev)</w:t>
            </w:r>
          </w:p>
        </w:tc>
        <w:tc>
          <w:tcPr/>
          <w:p>
            <w:pPr>
              <w:pStyle w:val="Compact"/>
              <w:jc w:val="left"/>
            </w:pPr>
            <w:r>
              <w:t xml:space="preserve">3.32 (2.40–4.59),</w:t>
            </w:r>
            <w:r>
              <w:t xml:space="preserve"> </w:t>
            </w:r>
            <m:oMath>
              <m:r>
                <m:rPr>
                  <m:sty m:val="p"/>
                </m:rPr>
                <m:t>&lt;</m:t>
              </m:r>
              <m:r>
                <m:t>0.001</m:t>
              </m:r>
            </m:oMath>
            <w:r>
              <w:t xml:space="preserve"> </w:t>
            </w:r>
            <w:r>
              <w:t xml:space="preserve">(</w:t>
            </w:r>
            <m:oMath>
              <m:r>
                <m:t>n</m:t>
              </m:r>
            </m:oMath>
            <w:r>
              <w:t xml:space="preserve">=142, 74 ev)</w:t>
            </w:r>
          </w:p>
        </w:tc>
        <w:tc>
          <w:tcPr/>
          <w:p>
            <w:pPr>
              <w:pStyle w:val="Compact"/>
              <w:jc w:val="left"/>
            </w:pPr>
            <w:r>
              <w:t xml:space="preserve">3.60 (2.68–4.84),</w:t>
            </w:r>
            <w:r>
              <w:t xml:space="preserve"> </w:t>
            </w:r>
            <m:oMath>
              <m:r>
                <m:rPr>
                  <m:sty m:val="p"/>
                </m:rPr>
                <m:t>&lt;</m:t>
              </m:r>
              <m:r>
                <m:t>0.001</m:t>
              </m:r>
            </m:oMath>
            <w:r>
              <w:t xml:space="preserve"> </w:t>
            </w:r>
            <w:r>
              <w:t xml:space="preserve">(</w:t>
            </w:r>
            <m:oMath>
              <m:r>
                <m:t>n</m:t>
              </m:r>
            </m:oMath>
            <w:r>
              <w:t xml:space="preserve">=143, 74 ev)</w:t>
            </w:r>
          </w:p>
        </w:tc>
      </w:tr>
      <w:tr>
        <w:tc>
          <w:tcPr/>
          <w:p>
            <w:pPr>
              <w:pStyle w:val="Compact"/>
              <w:jc w:val="left"/>
            </w:pPr>
            <w:r>
              <w:t xml:space="preserve">CPTAC (train)</w:t>
            </w:r>
          </w:p>
        </w:tc>
        <w:tc>
          <w:tcPr/>
          <w:p>
            <w:pPr>
              <w:pStyle w:val="Compact"/>
              <w:jc w:val="left"/>
            </w:pPr>
            <w:r>
              <w:t xml:space="preserve">stage, age, sex, nodal</w:t>
            </w:r>
          </w:p>
        </w:tc>
        <w:tc>
          <w:tcPr/>
          <w:p>
            <w:pPr>
              <w:pStyle w:val="Compact"/>
              <w:jc w:val="left"/>
            </w:pPr>
            <w:r>
              <w:t xml:space="preserve">3.72 (2.73–5.08),</w:t>
            </w:r>
            <w:r>
              <w:t xml:space="preserve"> </w:t>
            </w:r>
            <m:oMath>
              <m:r>
                <m:rPr>
                  <m:sty m:val="p"/>
                </m:rPr>
                <m:t>&lt;</m:t>
              </m:r>
              <m:r>
                <m:t>0.001</m:t>
              </m:r>
            </m:oMath>
            <w:r>
              <w:t xml:space="preserve"> </w:t>
            </w:r>
            <w:r>
              <w:t xml:space="preserve">(</w:t>
            </w:r>
            <m:oMath>
              <m:r>
                <m:t>n</m:t>
              </m:r>
            </m:oMath>
            <w:r>
              <w:t xml:space="preserve">=129, 64 ev)</w:t>
            </w:r>
          </w:p>
        </w:tc>
        <w:tc>
          <w:tcPr/>
          <w:p>
            <w:pPr>
              <w:pStyle w:val="Compact"/>
              <w:jc w:val="left"/>
            </w:pPr>
            <w:r>
              <w:t xml:space="preserve">3.59 (2.59–4.97),</w:t>
            </w:r>
            <w:r>
              <w:t xml:space="preserve"> </w:t>
            </w:r>
            <m:oMath>
              <m:r>
                <m:rPr>
                  <m:sty m:val="p"/>
                </m:rPr>
                <m:t>&lt;</m:t>
              </m:r>
              <m:r>
                <m:t>0.001</m:t>
              </m:r>
            </m:oMath>
            <w:r>
              <w:t xml:space="preserve"> </w:t>
            </w:r>
            <w:r>
              <w:t xml:space="preserve">(</w:t>
            </w:r>
            <m:oMath>
              <m:r>
                <m:t>n</m:t>
              </m:r>
            </m:oMath>
            <w:r>
              <w:t xml:space="preserve">=123, 61 ev)</w:t>
            </w:r>
          </w:p>
        </w:tc>
        <w:tc>
          <w:tcPr/>
          <w:p>
            <w:pPr>
              <w:pStyle w:val="Compact"/>
              <w:jc w:val="left"/>
            </w:pPr>
            <w:r>
              <w:t xml:space="preserve">—</w:t>
            </w:r>
          </w:p>
        </w:tc>
      </w:tr>
    </w:tbl>
    <w:p>
      <w:pPr>
        <w:pStyle w:val="BodyText"/>
      </w:pPr>
      <w:r>
        <w:rPr>
          <w:iCs/>
          <w:i/>
        </w:rPr>
        <w:t xml:space="preserve">Adjusted hazard ratios (per SD of the DeSurv linear predictor) for overall survival, before and after adjustment for standard clinical covariates and, where annotated, tumor purity, fitted separately in each cohort by complete-case analysis (per-cell</w:t>
      </w:r>
      <w:r>
        <w:rPr>
          <w:iCs/>
          <w:i/>
        </w:rPr>
        <w:t xml:space="preserve"> </w:t>
      </w:r>
      <m:oMath>
        <m:r>
          <m:t>n</m:t>
        </m:r>
      </m:oMath>
      <w:r>
        <w:rPr>
          <w:iCs/>
          <w:i/>
        </w:rPr>
        <w:t xml:space="preserve"> </w:t>
      </w:r>
      <w:r>
        <w:rPr>
          <w:iCs/>
          <w:i/>
        </w:rPr>
        <w:t xml:space="preserve">and events shown). The Covariates column lists the clinical variables entered (stage, grade, age, sex, nodal status, or resection margin, as available). After clinical adjustment the DeSurv score remains independently prognostic in Puleo, PACA-AU array and both training cohorts, and is attenuated to non-significance in PACA-AU RNA-seq, Dijk and Moffitt, the three smallest complete-case sets. Where tumor-purity annotation was available, purity adjustment left the estimate essentially unchanged wherever it could be measured on the full cohort (PACA-AU array 1.44 unadjusted versus 1.45 adjusted, PACA-AU RNA-seq 1.66 versus 1.65, TCGA 3.50 versus 3.60), which argues against the association being driven by tumor purity or composition. The exception, Moffitt, has purity for only 29 of its 123 patients. The smaller Dijk and Moffitt cohorts are individually underpowered, and their estimates are correspondingly unstable: Moffitt is non-significant both unadjusted and after adjustment, and its purity-adjusted model rests on only</w:t>
      </w:r>
      <w:r>
        <w:rPr>
          <w:iCs/>
          <w:i/>
        </w:rPr>
        <w:t xml:space="preserve"> </w:t>
      </w:r>
      <m:oMath>
        <m:r>
          <m:t>n</m:t>
        </m:r>
        <m:r>
          <m:rPr>
            <m:sty m:val="p"/>
          </m:rPr>
          <m:t>=</m:t>
        </m:r>
        <m:r>
          <m:t>29</m:t>
        </m:r>
      </m:oMath>
      <w:r>
        <w:rPr>
          <w:iCs/>
          <w:i/>
        </w:rPr>
        <w:t xml:space="preserve"> </w:t>
      </w:r>
      <w:r>
        <w:rPr>
          <w:iCs/>
          <w:i/>
        </w:rPr>
        <w:t xml:space="preserve">of its 123 patients. Training-cohort (TCGA, CPTAC) hazard ratios are in-sample.</w:t>
      </w:r>
    </w:p>
    <w:p>
      <w:pPr>
        <w:pStyle w:val="BodyText"/>
      </w:pPr>
      <w:r>
        <w:t xml:space="preserve">\clearpage</w:t>
      </w:r>
    </w:p>
    <w:p>
      <w:pPr>
        <w:pStyle w:val="BodyText"/>
      </w:pPr>
      <w:r>
        <w:t xml:space="preserve">\newpage</w:t>
      </w:r>
    </w:p>
    <w:p>
      <w:pPr>
        <w:pStyle w:val="BodyText"/>
      </w:pPr>
      <w:r>
        <w:t xml:space="preserve">\part{Supplementary Results}</w:t>
      </w:r>
    </w:p>
    <w:bookmarkStart w:id="26" w:name="X8cbc407d541f9b11d40711e80c4433cb4b305b3"/>
    <w:p>
      <w:pPr>
        <w:pStyle w:val="Heading1"/>
      </w:pPr>
      <w:r>
        <w:t xml:space="preserve">Empirical optimization stability across random initializations</w:t>
      </w:r>
    </w:p>
    <w:p>
      <w:pPr>
        <w:pStyle w:val="FirstParagraph"/>
      </w:pPr>
      <w:r>
        <w:t xml:space="preserve">The idealized alternating scheme is not accompanied by a formal convergence guarantee for the fitted models, both because the reported analyses set the loadings ridge penalty to zero (</w:t>
      </w:r>
      <m:oMath>
        <m:sSub>
          <m:e>
            <m:r>
              <m:t>λ</m:t>
            </m:r>
          </m:e>
          <m:sub>
            <m:r>
              <m:t>H</m:t>
            </m:r>
          </m:sub>
        </m:sSub>
        <m:r>
          <m:rPr>
            <m:sty m:val="p"/>
          </m:rPr>
          <m:t>=</m:t>
        </m:r>
        <m:r>
          <m:t>0</m:t>
        </m:r>
      </m:oMath>
      <w:r>
        <w:t xml:space="preserve">) and because the implemented algorithm combines column normalization, gradient balancing between the reconstruction and Cox terms, and a Coxnet approximation of the</w:t>
      </w:r>
      <w:r>
        <w:t xml:space="preserve"> </w:t>
      </w:r>
      <m:oMath>
        <m:r>
          <m:t>β</m:t>
        </m:r>
      </m:oMath>
      <w:r>
        <w:t xml:space="preserve"> </w:t>
      </w:r>
      <w:r>
        <w:t xml:space="preserve">update. We therefore assessed optimization behavior empirically across</w:t>
      </w:r>
      <w:r>
        <w:t xml:space="preserve"> </w:t>
      </w:r>
      <m:oMath>
        <m:r>
          <m:t>R</m:t>
        </m:r>
        <m:r>
          <m:rPr>
            <m:sty m:val="p"/>
          </m:rPr>
          <m:t>=</m:t>
        </m:r>
        <m:r>
          <m:t>100</m:t>
        </m:r>
      </m:oMath>
      <w:r>
        <w:t xml:space="preserve"> </w:t>
      </w:r>
      <w:r>
        <w:t xml:space="preserve">independent random initializations of the selected PDAC model, with a stopping tolerance of</w:t>
      </w:r>
      <w:r>
        <w:t xml:space="preserve"> </w:t>
      </w:r>
      <m:oMath>
        <m:sSup>
          <m:e>
            <m:r>
              <m:t>10</m:t>
            </m:r>
          </m:e>
          <m:sup>
            <m:r>
              <m:rPr>
                <m:sty m:val="p"/>
              </m:rPr>
              <m:t>−</m:t>
            </m:r>
            <m:r>
              <m:t>7</m:t>
            </m:r>
          </m:sup>
        </m:sSup>
      </m:oMath>
      <w:r>
        <w:t xml:space="preserve"> </w:t>
      </w:r>
      <w:r>
        <w:t xml:space="preserve">and a maximum of 4,000 iterations. All 100 runs terminated on the stopping criterion rather than the iteration cap, none failed numerically, and in every run the recorded penalized objective decreased monotonically to a numerically stable value; the median number of iterations was 38 (range 17–233). The size of the decrease from a random start varies widely between initializations, but that quantity reflects how far a given random start sat from a local optimum rather than whether the runs agree at the end. The question that matters for this paper, whether independent runs of the reported procedure recover the same gene programs, is addressed directly in Stability of the recovered gene programs below. These analyses document empirical optimization behavior for the reported application rather than providing a formal convergence guarantee.</w:t>
      </w:r>
    </w:p>
    <w:bookmarkEnd w:id="26"/>
    <w:bookmarkStart w:id="27" w:name="stability-of-the-recovered-gene-programs"/>
    <w:p>
      <w:pPr>
        <w:pStyle w:val="Heading1"/>
      </w:pPr>
      <w:r>
        <w:t xml:space="preserve">Stability of the recovered gene programs</w:t>
      </w:r>
    </w:p>
    <w:p>
      <w:pPr>
        <w:pStyle w:val="FirstParagraph"/>
      </w:pPr>
      <w:r>
        <w:t xml:space="preserve">The previous section documents that the optimizer converges. It does not</w:t>
      </w:r>
      <w:r>
        <w:t xml:space="preserve"> </w:t>
      </w:r>
      <w:r>
        <w:t xml:space="preserve">establish that the programs it converges to are the same ones each time, and</w:t>
      </w:r>
      <w:r>
        <w:t xml:space="preserve"> </w:t>
      </w:r>
      <w:r>
        <w:t xml:space="preserve">that is the property the manuscript relies on when it applies a frozen</w:t>
      </w:r>
      <w:r>
        <w:t xml:space="preserve"> </w:t>
      </w:r>
      <w:r>
        <w:t xml:space="preserve">decomposition across cohorts. Because we raise the non-identifiability of</w:t>
      </w:r>
      <w:r>
        <w:t xml:space="preserve"> </w:t>
      </w:r>
      <w:r>
        <w:t xml:space="preserve">reconstruction-based factorization as a limitation of unsupervised approaches,</w:t>
      </w:r>
      <w:r>
        <w:t xml:space="preserve"> </w:t>
      </w:r>
      <w:r>
        <w:t xml:space="preserve">the same standard should be applied here. We therefore measured stability at the</w:t>
      </w:r>
      <w:r>
        <w:t xml:space="preserve"> </w:t>
      </w:r>
      <w:r>
        <w:t xml:space="preserve">level of the recovered programs rather than the objective, using the same</w:t>
      </w:r>
      <w:r>
        <w:t xml:space="preserve"> </w:t>
      </w:r>
      <m:oMath>
        <m:r>
          <m:t>R</m:t>
        </m:r>
        <m:r>
          <m:rPr>
            <m:sty m:val="p"/>
          </m:rPr>
          <m:t>=</m:t>
        </m:r>
        <m:r>
          <m:t>100</m:t>
        </m:r>
      </m:oMath>
      <w:r>
        <w:t xml:space="preserve"> </w:t>
      </w:r>
      <w:r>
        <w:t xml:space="preserve">cached initializations (\texttt{code/20},</w:t>
      </w:r>
      <w:r>
        <w:t xml:space="preserve"> </w:t>
      </w:r>
      <w:r>
        <w:t xml:space="preserve">\texttt{code/21}). No model was refitted for the restart analysis.</w:t>
      </w:r>
    </w:p>
    <w:p>
      <w:pPr>
        <w:pStyle w:val="BodyText"/>
      </w:pPr>
      <w:r>
        <w:rPr>
          <w:bCs/>
          <w:b/>
        </w:rPr>
        <w:t xml:space="preserve">Individual restarts are highly dispersed.</w:t>
      </w:r>
      <w:r>
        <w:t xml:space="preserve"> </w:t>
      </w:r>
      <w:r>
        <w:t xml:space="preserve">Comparing pairs of independent</w:t>
      </w:r>
      <w:r>
        <w:t xml:space="preserve"> </w:t>
      </w:r>
      <w:r>
        <w:t xml:space="preserve">random restarts, and matching their columns one to one by absolute Spearman</w:t>
      </w:r>
      <w:r>
        <w:t xml:space="preserve"> </w:t>
      </w:r>
      <w:r>
        <w:t xml:space="preserve">correlation of gene loadings, the median overlap between the top</w:t>
      </w:r>
      <w:r>
        <w:t xml:space="preserve"> </w:t>
      </w:r>
      <m:oMath>
        <m:r>
          <m:t>270</m:t>
        </m:r>
      </m:oMath>
      <w:r>
        <w:t xml:space="preserve"> </w:t>
      </w:r>
      <w:r>
        <w:t xml:space="preserve">genes of matched programs was</w:t>
      </w:r>
      <w:r>
        <w:t xml:space="preserve"> </w:t>
      </w:r>
      <m:oMath>
        <m:r>
          <m:t>0.13</m:t>
        </m:r>
      </m:oMath>
      <w:r>
        <w:t xml:space="preserve"> </w:t>
      </w:r>
      <w:r>
        <w:t xml:space="preserve">by Jaccard index, against a chance baseline of</w:t>
      </w:r>
      <w:r>
        <w:t xml:space="preserve"> </w:t>
      </w:r>
      <m:oMath>
        <m:r>
          <m:t>0.074</m:t>
        </m:r>
      </m:oMath>
      <w:r>
        <w:t xml:space="preserve"> </w:t>
      </w:r>
      <w:r>
        <w:t xml:space="preserve">for two independent draws of that</w:t>
      </w:r>
      <w:r>
        <w:t xml:space="preserve"> </w:t>
      </w:r>
      <w:r>
        <w:t xml:space="preserve">size from 1,970 genes. Matched gene-loading</w:t>
      </w:r>
      <w:r>
        <w:t xml:space="preserve"> </w:t>
      </w:r>
      <w:r>
        <w:t xml:space="preserve">correlations were moderate (0.59–0.60 across the three programs). Over the</w:t>
      </w:r>
      <w:r>
        <w:t xml:space="preserve"> </w:t>
      </w:r>
      <w:r>
        <w:t xml:space="preserve">same runs, training concordance was nearly constant (median</w:t>
      </w:r>
      <w:r>
        <w:t xml:space="preserve"> </w:t>
      </w:r>
      <m:oMath>
        <m:r>
          <m:t>0.704</m:t>
        </m:r>
      </m:oMath>
      <w:r>
        <w:t xml:space="preserve">, standard deviation</w:t>
      </w:r>
      <w:r>
        <w:t xml:space="preserve"> </w:t>
      </w:r>
      <m:oMath>
        <m:r>
          <m:t>0.010</m:t>
        </m:r>
      </m:oMath>
      <w:r>
        <w:t xml:space="preserve">). Near-identical predictive performance from</w:t>
      </w:r>
      <w:r>
        <w:t xml:space="preserve"> </w:t>
      </w:r>
      <w:r>
        <w:t xml:space="preserve">bases that share little gene membership is the signature of a non-identifiable</w:t>
      </w:r>
      <w:r>
        <w:t xml:space="preserve"> </w:t>
      </w:r>
      <w:r>
        <w:t xml:space="preserve">objective, and it is precisely why the reported model is not a single run.</w:t>
      </w:r>
    </w:p>
    <w:p>
      <w:pPr>
        <w:pStyle w:val="BodyText"/>
      </w:pPr>
      <w:r>
        <w:rPr>
          <w:bCs/>
          <w:b/>
        </w:rPr>
        <w:t xml:space="preserve">The reported procedure is reproducible.</w:t>
      </w:r>
      <w:r>
        <w:t xml:space="preserve"> </w:t>
      </w:r>
      <w:r>
        <w:t xml:space="preserve">The reported basis is obtained by</w:t>
      </w:r>
      <w:r>
        <w:t xml:space="preserve"> </w:t>
      </w:r>
      <w:r>
        <w:t xml:space="preserve">aggregating restarts into a consensus initialization and then fitting from it.</w:t>
      </w:r>
      <w:r>
        <w:t xml:space="preserve"> </w:t>
      </w:r>
      <w:r>
        <w:t xml:space="preserve">To test whether that procedure returns the same programs, we partitioned the</w:t>
      </w:r>
      <w:r>
        <w:t xml:space="preserve"> </w:t>
      </w:r>
      <w:r>
        <w:t xml:space="preserve">cached restarts into two disjoint halves, built a consensus initialization from</w:t>
      </w:r>
      <w:r>
        <w:t xml:space="preserve"> </w:t>
      </w:r>
      <w:r>
        <w:t xml:space="preserve">each half independently, fitted from each at the production settings, and</w:t>
      </w:r>
      <w:r>
        <w:t xml:space="preserve"> </w:t>
      </w:r>
      <w:r>
        <w:t xml:space="preserve">compared the results (8 random splits). Two independently</w:t>
      </w:r>
      <w:r>
        <w:t xml:space="preserve"> </w:t>
      </w:r>
      <w:r>
        <w:t xml:space="preserve">seeded consensus fits agreed closely with each other (gene-loading correlation</w:t>
      </w:r>
      <w:r>
        <w:t xml:space="preserve"> </w:t>
      </w:r>
      <w:r>
        <w:t xml:space="preserve">0.93–0.95, patient-score correlation 0.97–0.99), and each agreed still</w:t>
      </w:r>
      <w:r>
        <w:t xml:space="preserve"> </w:t>
      </w:r>
      <w:r>
        <w:t xml:space="preserve">more closely with the reported basis (gene-loading correlation 0.97–0.99,</w:t>
      </w:r>
      <w:r>
        <w:t xml:space="preserve"> </w:t>
      </w:r>
      <w:r>
        <w:t xml:space="preserve">top-</w:t>
      </w:r>
      <m:oMath>
        <m:r>
          <m:t>270</m:t>
        </m:r>
      </m:oMath>
      <w:r>
        <w:t xml:space="preserve"> </w:t>
      </w:r>
      <w:r>
        <w:t xml:space="preserve">Jaccard 0.73–0.88). Splitting the restarts halves the</w:t>
      </w:r>
      <w:r>
        <w:t xml:space="preserve"> </w:t>
      </w:r>
      <w:r>
        <w:t xml:space="preserve">number aggregated relative to the reported procedure, so these figures are</w:t>
      </w:r>
      <w:r>
        <w:t xml:space="preserve"> </w:t>
      </w:r>
      <w:r>
        <w:t xml:space="preserve">conservative.</w:t>
      </w:r>
    </w:p>
    <w:p>
      <w:pPr>
        <w:pStyle w:val="BodyText"/>
      </w:pPr>
      <w:r>
        <w:t xml:space="preserve">The two results should be read together. The optimizer alone is not</w:t>
      </w:r>
      <w:r>
        <w:t xml:space="preserve"> </w:t>
      </w:r>
      <w:r>
        <w:t xml:space="preserve">identifiable, and the consensus step is what makes the reported decomposition a</w:t>
      </w:r>
      <w:r>
        <w:t xml:space="preserve"> </w:t>
      </w:r>
      <w:r>
        <w:t xml:space="preserve">stable object rather than one draw from a wide distribution. Reproducibility</w:t>
      </w:r>
      <w:r>
        <w:t xml:space="preserve"> </w:t>
      </w:r>
      <w:r>
        <w:t xml:space="preserve">claims in this manuscript refer to that end-to-end procedure.</w:t>
      </w:r>
    </w:p>
    <w:p>
      <w:pPr>
        <w:pStyle w:val="BodyText"/>
      </w:pPr>
      <w:r>
        <w:rPr>
          <w:bCs/>
          <w:b/>
        </w:rPr>
        <w:t xml:space="preserve">Stability under data perturbation is a separate and weaker property.</w:t>
      </w:r>
      <w:r>
        <w:t xml:space="preserve"> </w:t>
      </w:r>
      <w:r>
        <w:t xml:space="preserve">The</w:t>
      </w:r>
      <w:r>
        <w:t xml:space="preserve"> </w:t>
      </w:r>
      <w:r>
        <w:t xml:space="preserve">analyses above vary the initialization while holding the data fixed. Refitting</w:t>
      </w:r>
      <w:r>
        <w:t xml:space="preserve"> </w:t>
      </w:r>
      <w:r>
        <w:t xml:space="preserve">on repeated 80% subsamples of the training cohort and comparing top-100 gene</w:t>
      </w:r>
      <w:r>
        <w:t xml:space="preserve"> </w:t>
      </w:r>
      <w:r>
        <w:t xml:space="preserve">sets instead gives a mean pairwise Jaccard of</w:t>
      </w:r>
      <w:r>
        <w:t xml:space="preserve"> </w:t>
      </w:r>
      <m:oMath>
        <m:r>
          <m:t>0.34</m:t>
        </m:r>
      </m:oMath>
      <w:r>
        <w:t xml:space="preserve"> </w:t>
      </w:r>
      <w:r>
        <w:t xml:space="preserve">for DeSurv, against</w:t>
      </w:r>
      <w:r>
        <w:t xml:space="preserve"> </w:t>
      </w:r>
      <m:oMath>
        <m:r>
          <m:t>0.49</m:t>
        </m:r>
      </m:oMath>
      <w:r>
        <w:t xml:space="preserve"> </w:t>
      </w:r>
      <w:r>
        <w:t xml:space="preserve">for Cox partial least squares,</w:t>
      </w:r>
      <w:r>
        <w:t xml:space="preserve"> </w:t>
      </w:r>
      <m:oMath>
        <m:r>
          <m:t>0.38</m:t>
        </m:r>
      </m:oMath>
      <w:r>
        <w:t xml:space="preserve"> </w:t>
      </w:r>
      <w:r>
        <w:t xml:space="preserve">for supervised principal components and</w:t>
      </w:r>
      <w:r>
        <w:t xml:space="preserve"> </w:t>
      </w:r>
      <m:oMath>
        <m:r>
          <m:t>0.22</m:t>
        </m:r>
      </m:oMath>
      <w:r>
        <w:t xml:space="preserve"> </w:t>
      </w:r>
      <w:r>
        <w:t xml:space="preserve">for sparse Cox. DeSurv is mid-range. This comparison favours dense methods by</w:t>
      </w:r>
      <w:r>
        <w:t xml:space="preserve"> </w:t>
      </w:r>
      <w:r>
        <w:t xml:space="preserve">construction, because a score that spreads weight across many genes has a more</w:t>
      </w:r>
      <w:r>
        <w:t xml:space="preserve"> </w:t>
      </w:r>
      <w:r>
        <w:t xml:space="preserve">stable top-100 list than one built from a selective basis, as the sparse Cox</w:t>
      </w:r>
      <w:r>
        <w:t xml:space="preserve"> </w:t>
      </w:r>
      <w:r>
        <w:t xml:space="preserve">value illustrates. We report it because gene-level resampling stability is a</w:t>
      </w:r>
      <w:r>
        <w:t xml:space="preserve"> </w:t>
      </w:r>
      <w:r>
        <w:t xml:space="preserve">reasonable thing for a reader to ask about, not because it is the property the</w:t>
      </w:r>
      <w:r>
        <w:t xml:space="preserve"> </w:t>
      </w:r>
      <w:r>
        <w:t xml:space="preserve">frozen-program argument rests on.</w:t>
      </w:r>
    </w:p>
    <w:bookmarkEnd w:id="27"/>
    <w:bookmarkStart w:id="31" w:name="Xa656e561b251301228bdad7d1c71d379544158a"/>
    <w:p>
      <w:pPr>
        <w:pStyle w:val="Heading1"/>
      </w:pPr>
      <w:r>
        <w:t xml:space="preserve">Simulation results under null and mixed scenarios</w:t>
      </w:r>
    </w:p>
    <w:p>
      <w:pPr>
        <w:pStyle w:val="FirstParagraph"/>
      </w:pPr>
      <w:r>
        <w:t xml:space="preserve">To characterize the operating characteristics of DeSurv across different signal regimes, we evaluated performance under three simulation scenarios. In the prognostic scenario (main text Fig. [fig:sim]), prognostic programs explained low variance relative to outcome-neutral background signals, and survival depended on 150 factor-specific marker genes (</w:t>
      </w:r>
      <m:oMath>
        <m:sSub>
          <m:e>
            <m:r>
              <m:t>β</m:t>
            </m:r>
          </m:e>
          <m:sub>
            <m:r>
              <m:t>1</m:t>
            </m:r>
          </m:sub>
        </m:sSub>
        <m:r>
          <m:rPr>
            <m:sty m:val="p"/>
          </m:rPr>
          <m:t>=</m:t>
        </m:r>
        <m:r>
          <m:t>2</m:t>
        </m:r>
      </m:oMath>
      <w:r>
        <w:t xml:space="preserve">,</w:t>
      </w:r>
      <w:r>
        <w:t xml:space="preserve"> </w:t>
      </w:r>
      <m:oMath>
        <m:sSub>
          <m:e>
            <m:r>
              <m:t>β</m:t>
            </m:r>
          </m:e>
          <m:sub>
            <m:r>
              <m:t>2</m:t>
            </m:r>
          </m:sub>
        </m:sSub>
        <m:r>
          <m:rPr>
            <m:sty m:val="p"/>
          </m:rPr>
          <m:t>=</m:t>
        </m:r>
        <m:sSub>
          <m:e>
            <m:r>
              <m:t>β</m:t>
            </m:r>
          </m:e>
          <m:sub>
            <m:r>
              <m:t>3</m:t>
            </m:r>
          </m:sub>
        </m:sSub>
        <m:r>
          <m:rPr>
            <m:sty m:val="p"/>
          </m:rPr>
          <m:t>=</m:t>
        </m:r>
        <m:r>
          <m:t>0</m:t>
        </m:r>
      </m:oMath>
      <w:r>
        <w:t xml:space="preserve">). In the null scenario, survival times were generated independently of gene expression (</w:t>
      </w:r>
      <m:oMath>
        <m:r>
          <m:t>β</m:t>
        </m:r>
        <m:r>
          <m:rPr>
            <m:sty m:val="p"/>
          </m:rPr>
          <m:t>=</m:t>
        </m:r>
        <m:r>
          <m:t>0</m:t>
        </m:r>
      </m:oMath>
      <w:r>
        <w:t xml:space="preserve">), so no prognostic structure existed. In the mixed scenario, survival depended on 300 genes per lethal factor, of which 50% were factor-specific markers and 50% were background genes with loadings shared across all factors. All scenarios used</w:t>
      </w:r>
      <w:r>
        <w:t xml:space="preserve"> </w:t>
      </w:r>
      <m:oMath>
        <m:r>
          <m:t>G</m:t>
        </m:r>
        <m:r>
          <m:rPr>
            <m:sty m:val="p"/>
          </m:rPr>
          <m:t>=</m:t>
        </m:r>
        <m:r>
          <m:t>3</m:t>
        </m:r>
        <m:r>
          <m:rPr>
            <m:sty m:val="p"/>
          </m:rPr>
          <m:t>,</m:t>
        </m:r>
        <m:r>
          <m:t>000</m:t>
        </m:r>
      </m:oMath>
      <w:r>
        <w:t xml:space="preserve"> </w:t>
      </w:r>
      <w:r>
        <w:t xml:space="preserve">genes,</w:t>
      </w:r>
      <w:r>
        <w:t xml:space="preserve"> </w:t>
      </w:r>
      <m:oMath>
        <m:r>
          <m:t>N</m:t>
        </m:r>
        <m:r>
          <m:rPr>
            <m:sty m:val="p"/>
          </m:rPr>
          <m:t>=</m:t>
        </m:r>
        <m:r>
          <m:t>200</m:t>
        </m:r>
      </m:oMath>
      <w:r>
        <w:t xml:space="preserve"> </w:t>
      </w:r>
      <w:r>
        <w:t xml:space="preserve">samples,</w:t>
      </w:r>
      <w:r>
        <w:t xml:space="preserve"> </w:t>
      </w:r>
      <m:oMath>
        <m:r>
          <m:t>K</m:t>
        </m:r>
        <m:r>
          <m:rPr>
            <m:sty m:val="p"/>
          </m:rPr>
          <m:t>=</m:t>
        </m:r>
        <m:r>
          <m:t>3</m:t>
        </m:r>
      </m:oMath>
      <w:r>
        <w:t xml:space="preserve"> </w:t>
      </w:r>
      <w:r>
        <w:t xml:space="preserve">true factors, and identical gamma distribution parameters for the gene loading matrix</w:t>
      </w:r>
      <w:r>
        <w:t xml:space="preserve"> </w:t>
      </w:r>
      <m:oMath>
        <m:r>
          <m:t>W</m:t>
        </m:r>
      </m:oMath>
      <w:r>
        <w:t xml:space="preserve"> </w:t>
      </w:r>
      <w:r>
        <w:t xml:space="preserve">(see Methods). Performance was evaluated using cross-validated concordance index (C-index), precision of recovered prognostic gene sets, and the distribution of selected ranks across simulation replicates.</w:t>
      </w:r>
    </w:p>
    <w:p>
      <w:pPr>
        <w:pStyle w:val="BodyText"/>
      </w:pPr>
      <w:r>
        <w:t xml:space="preserve">Under the null scenario (Fig. [fig:sim-null-mixed]a–b), DeSurv showed no advantage over unsupervised NMF (</w:t>
      </w:r>
      <m:oMath>
        <m:r>
          <m:t>α</m:t>
        </m:r>
        <m:r>
          <m:rPr>
            <m:sty m:val="p"/>
          </m:rPr>
          <m:t>=</m:t>
        </m:r>
        <m:r>
          <m:t>0</m:t>
        </m:r>
      </m:oMath>
      <w:r>
        <w:t xml:space="preserve">): both methods yielded C-index values near 0.5, and selected ranks concentrated at low values (NMF favoring</w:t>
      </w:r>
      <w:r>
        <w:t xml:space="preserve"> </w:t>
      </w:r>
      <m:oMath>
        <m:r>
          <m:t>k</m:t>
        </m:r>
        <m:r>
          <m:rPr>
            <m:sty m:val="p"/>
          </m:rPr>
          <m:t>=</m:t>
        </m:r>
        <m:r>
          <m:t>2</m:t>
        </m:r>
      </m:oMath>
      <w:r>
        <w:t xml:space="preserve">), consistent with the absence of survival signal. DeSurv therefore did not recover spurious prognostic structure when none existed. Because the survival objective is uninformative under the null, the cross-validated concordance is essentially flat in</w:t>
      </w:r>
      <w:r>
        <w:t xml:space="preserve"> </w:t>
      </w:r>
      <m:oMath>
        <m:r>
          <m:t>α</m:t>
        </m:r>
      </m:oMath>
      <w:r>
        <w:t xml:space="preserve"> </w:t>
      </w:r>
      <w:r>
        <w:t xml:space="preserve">and the Bayesian-optimized supervision strength is unidentified, dispersing across its admissible range rather than concentrating near zero (median</w:t>
      </w:r>
      <w:r>
        <w:t xml:space="preserve"> </w:t>
      </w:r>
      <m:oMath>
        <m:r>
          <m:t>α</m:t>
        </m:r>
        <m:r>
          <m:rPr>
            <m:sty m:val="p"/>
          </m:rPr>
          <m:t>=</m:t>
        </m:r>
        <m:r>
          <m:t>0.59</m:t>
        </m:r>
      </m:oMath>
      <w:r>
        <w:t xml:space="preserve">, IQR</w:t>
      </w:r>
      <w:r>
        <w:t xml:space="preserve"> </w:t>
      </w:r>
      <m:oMath>
        <m:r>
          <m:t>0.19</m:t>
        </m:r>
      </m:oMath>
      <w:r>
        <w:t xml:space="preserve">–</w:t>
      </w:r>
      <m:oMath>
        <m:r>
          <m:t>0.82</m:t>
        </m:r>
      </m:oMath>
      <w:r>
        <w:t xml:space="preserve">; range</w:t>
      </w:r>
      <w:r>
        <w:t xml:space="preserve"> </w:t>
      </w:r>
      <m:oMath>
        <m:r>
          <m:t>0</m:t>
        </m:r>
      </m:oMath>
      <w:r>
        <w:t xml:space="preserve">–</w:t>
      </w:r>
      <m:oMath>
        <m:r>
          <m:t>0.94</m:t>
        </m:r>
      </m:oMath>
      <w:r>
        <w:t xml:space="preserve"> </w:t>
      </w:r>
      <w:r>
        <w:t xml:space="preserve">across 100 replicates). The null-scenario specificity thus reflects the flat concordance surface itself, not the optimizer driving</w:t>
      </w:r>
      <w:r>
        <w:t xml:space="preserve"> </w:t>
      </w:r>
      <m:oMath>
        <m:r>
          <m:t>α</m:t>
        </m:r>
      </m:oMath>
      <w:r>
        <w:t xml:space="preserve"> </w:t>
      </w:r>
      <w:r>
        <w:t xml:space="preserve">to zero.</w:t>
      </w:r>
    </w:p>
    <w:p>
      <w:pPr>
        <w:pStyle w:val="BodyText"/>
      </w:pPr>
      <w:r>
        <w:t xml:space="preserve">Under the mixed scenario (Fig. [fig:sim-null-mixed]c–f), DeSurv’s advantage was concentrated in marker-gene recovery. Precision against the factor-specific marker genes alone (150 genes; Fig. [fig:sim-null-mixed]d left) substantially favored DeSurv, whereas precision against the full 300-gene survival set including background genes (Fig. [fig:sim-null-mixed]d right) was more modestly improved, indicating similar background-gene recovery between methods. The learned factor aligned with the true marker program also received a larger Cox coefficient (</w:t>
      </w:r>
      <m:oMath>
        <m:d>
          <m:dPr>
            <m:begChr m:val="|"/>
            <m:endChr m:val="|"/>
            <m:sepChr m:val=""/>
            <m:grow/>
          </m:dPr>
          <m:e>
            <m:r>
              <m:t>β</m:t>
            </m:r>
          </m:e>
        </m:d>
      </m:oMath>
      <w:r>
        <w:t xml:space="preserve">) under DeSurv (Fig. [fig:sim-null-mixed]e), and C-index was modestly higher (Fig. [fig:sim-null-mixed]c). Across the three scenarios the pattern was graded: DeSurv’s advantage was greatest when variance and prognosis diverged (prognostic), attenuated when they partially overlapped (mixed, as background-gene dilution reduced the discrimination gain), and absent when no survival signal existed (null). DeSurv is therefore most useful when the dominant transcriptional axes are expected to be prognostically neutral, as in cancers with high tumor-purity variation or dominant tissue-composition signals.</w:t>
      </w:r>
    </w:p>
    <w:p>
      <w:pPr>
        <w:pStyle w:val="BodyText"/>
      </w:pPr>
      <w:r>
        <w:drawing>
          <wp:inline>
            <wp:extent cx="5334000" cy="5719186"/>
            <wp:effectExtent b="0" l="0" r="0" t="0"/>
            <wp:docPr descr="" title="" id="29" name="Picture"/>
            <a:graphic>
              <a:graphicData uri="http://schemas.openxmlformats.org/drawingml/2006/picture">
                <pic:pic>
                  <pic:nvPicPr>
                    <pic:cNvPr descr=".docx_media/figures_fig_sim_null_mixed_1.png" id="30" name="Picture"/>
                    <pic:cNvPicPr>
                      <a:picLocks noChangeArrowheads="1" noChangeAspect="1"/>
                    </pic:cNvPicPr>
                  </pic:nvPicPr>
                  <pic:blipFill>
                    <a:blip r:embed="rId28"/>
                    <a:stretch>
                      <a:fillRect/>
                    </a:stretch>
                  </pic:blipFill>
                  <pic:spPr bwMode="auto">
                    <a:xfrm>
                      <a:off x="0" y="0"/>
                      <a:ext cx="5334000" cy="5719186"/>
                    </a:xfrm>
                    <a:prstGeom prst="rect">
                      <a:avLst/>
                    </a:prstGeom>
                    <a:noFill/>
                    <a:ln w="9525">
                      <a:noFill/>
                      <a:headEnd/>
                      <a:tailEnd/>
                    </a:ln>
                  </pic:spPr>
                </pic:pic>
              </a:graphicData>
            </a:graphic>
          </wp:inline>
        </w:drawing>
      </w:r>
    </w:p>
    <w:p>
      <w:pPr>
        <w:pStyle w:val="BodyText"/>
      </w:pPr>
      <w:r>
        <w:rPr>
          <w:iCs/>
          <w:i/>
        </w:rPr>
        <w:t xml:space="preserve">DeSurv performance under null and mixed simulation scenarios. (a–b) Null scenario (</w:t>
      </w:r>
      <m:oMath>
        <m:r>
          <m:t>β</m:t>
        </m:r>
        <m:r>
          <m:rPr>
            <m:sty m:val="p"/>
          </m:rPr>
          <m:t>=</m:t>
        </m:r>
        <m:r>
          <m:t>0</m:t>
        </m:r>
      </m:oMath>
      <w:r>
        <w:rPr>
          <w:iCs/>
          <w:i/>
        </w:rPr>
        <w:t xml:space="preserve">): both methods yield C-index</w:t>
      </w:r>
      <w:r>
        <w:rPr>
          <w:iCs/>
          <w:i/>
        </w:rPr>
        <w:t xml:space="preserve"> </w:t>
      </w:r>
      <m:oMath>
        <m:r>
          <m:rPr>
            <m:sty m:val="p"/>
          </m:rPr>
          <m:t>≈</m:t>
        </m:r>
        <m:r>
          <m:t>0.5</m:t>
        </m:r>
      </m:oMath>
      <w:r>
        <w:rPr>
          <w:iCs/>
          <w:i/>
        </w:rPr>
        <w:t xml:space="preserve"> </w:t>
      </w:r>
      <w:r>
        <w:rPr>
          <w:iCs/>
          <w:i/>
        </w:rPr>
        <w:t xml:space="preserve">(a) and comparable rank distributions (b), confirming DeSurv does not recover spurious prognostic structure; precision is omitted as no true survival genes exist. (c–f) Mixed scenario: survival depends on factor-specific marker genes (50%) and shared background genes (50%). (c) C-index is modestly higher for DeSurv. (d) Precision by gene-set definition: marker-only precision (150 genes; left facet) substantially favors DeSurv; full 300-gene survival-set precision (right facet) shows a more modest improvement. (e) The matched factor receives a substantially larger Cox coefficient</w:t>
      </w:r>
      <w:r>
        <w:rPr>
          <w:iCs/>
          <w:i/>
        </w:rPr>
        <w:t xml:space="preserve"> </w:t>
      </w:r>
      <m:oMath>
        <m:d>
          <m:dPr>
            <m:begChr m:val="|"/>
            <m:endChr m:val="|"/>
            <m:sepChr m:val=""/>
            <m:grow/>
          </m:dPr>
          <m:e>
            <m:r>
              <m:t>β</m:t>
            </m:r>
          </m:e>
        </m:d>
      </m:oMath>
      <w:r>
        <w:rPr>
          <w:iCs/>
          <w:i/>
        </w:rPr>
        <w:t xml:space="preserve"> </w:t>
      </w:r>
      <w:r>
        <w:rPr>
          <w:iCs/>
          <w:i/>
        </w:rPr>
        <w:t xml:space="preserve">under DeSurv, confirming preferential amplification of marker-specific signal. (f) Selected-rank distributions. DeSurv (blue); NMF (red,</w:t>
      </w:r>
      <w:r>
        <w:rPr>
          <w:iCs/>
          <w:i/>
        </w:rPr>
        <w:t xml:space="preserve"> </w:t>
      </w:r>
      <m:oMath>
        <m:r>
          <m:t>α</m:t>
        </m:r>
        <m:r>
          <m:rPr>
            <m:sty m:val="p"/>
          </m:rPr>
          <m:t>=</m:t>
        </m:r>
        <m:r>
          <m:t>0</m:t>
        </m:r>
      </m:oMath>
      <w:r>
        <w:rPr>
          <w:iCs/>
          <w:i/>
        </w:rPr>
        <w:t xml:space="preserve">); both Bayesian-optimized.</w:t>
      </w:r>
    </w:p>
    <w:bookmarkEnd w:id="31"/>
    <w:bookmarkStart w:id="35" w:name="X680e376122d014d3f7c1287c73305ede05e677a"/>
    <w:p>
      <w:pPr>
        <w:pStyle w:val="Heading1"/>
      </w:pPr>
      <w:r>
        <w:t xml:space="preserve">Cross-validated C-index across factorization rank</w:t>
      </w:r>
    </w:p>
    <w:p>
      <w:pPr>
        <w:pStyle w:val="FirstParagraph"/>
      </w:pPr>
      <w:r>
        <w:t xml:space="preserve">To evaluate how the number of latent factors</w:t>
      </w:r>
      <w:r>
        <w:t xml:space="preserve"> </w:t>
      </w:r>
      <m:oMath>
        <m:r>
          <m:t>k</m:t>
        </m:r>
      </m:oMath>
      <w:r>
        <w:t xml:space="preserve"> </w:t>
      </w:r>
      <w:r>
        <w:t xml:space="preserve">affects prognostic performance, as a sensitivity analysis we performed an exhaustive grid search over</w:t>
      </w:r>
      <w:r>
        <w:t xml:space="preserve"> </w:t>
      </w:r>
      <m:oMath>
        <m:r>
          <m:t>k</m:t>
        </m:r>
        <m:r>
          <m:rPr>
            <m:sty m:val="p"/>
          </m:rPr>
          <m:t>∈</m:t>
        </m:r>
        <m:r>
          <m:rPr>
            <m:sty m:val="p"/>
          </m:rPr>
          <m:t>{</m:t>
        </m:r>
        <m:r>
          <m:t>2</m:t>
        </m:r>
        <m:r>
          <m:rPr>
            <m:sty m:val="p"/>
          </m:rPr>
          <m:t>,</m:t>
        </m:r>
        <m:r>
          <m:t>3</m:t>
        </m:r>
        <m:r>
          <m:rPr>
            <m:sty m:val="p"/>
          </m:rPr>
          <m:t>,</m:t>
        </m:r>
        <m:r>
          <m:rPr>
            <m:sty m:val="p"/>
          </m:rPr>
          <m:t>…</m:t>
        </m:r>
        <m:r>
          <m:rPr>
            <m:sty m:val="p"/>
          </m:rPr>
          <m:t>,</m:t>
        </m:r>
        <m:r>
          <m:t>12</m:t>
        </m:r>
        <m:r>
          <m:rPr>
            <m:sty m:val="p"/>
          </m:rPr>
          <m:t>}</m:t>
        </m:r>
      </m:oMath>
      <w:r>
        <w:t xml:space="preserve"> </w:t>
      </w:r>
      <w:r>
        <w:t xml:space="preserve">and supervision strength</w:t>
      </w:r>
      <w:r>
        <w:t xml:space="preserve"> </w:t>
      </w:r>
      <m:oMath>
        <m:r>
          <m:t>α</m:t>
        </m:r>
        <m:r>
          <m:rPr>
            <m:sty m:val="p"/>
          </m:rPr>
          <m:t>∈</m:t>
        </m:r>
        <m:r>
          <m:rPr>
            <m:sty m:val="p"/>
          </m:rPr>
          <m:t>{</m:t>
        </m:r>
        <m:r>
          <m:t>0</m:t>
        </m:r>
        <m:r>
          <m:rPr>
            <m:sty m:val="p"/>
          </m:rPr>
          <m:t>,</m:t>
        </m:r>
        <m:r>
          <m:t>0.05</m:t>
        </m:r>
        <m:r>
          <m:rPr>
            <m:sty m:val="p"/>
          </m:rPr>
          <m:t>,</m:t>
        </m:r>
        <m:r>
          <m:rPr>
            <m:sty m:val="p"/>
          </m:rPr>
          <m:t>…</m:t>
        </m:r>
        <m:r>
          <m:rPr>
            <m:sty m:val="p"/>
          </m:rPr>
          <m:t>,</m:t>
        </m:r>
        <m:r>
          <m:t>0.95</m:t>
        </m:r>
        <m:r>
          <m:rPr>
            <m:sty m:val="p"/>
          </m:rPr>
          <m:t>}</m:t>
        </m:r>
      </m:oMath>
      <w:r>
        <w:t xml:space="preserve"> </w:t>
      </w:r>
      <w:r>
        <w:t xml:space="preserve">using 5-fold cross-validation on the TCGA+CPTAC training cohort. For each</w:t>
      </w:r>
      <w:r>
        <w:t xml:space="preserve"> </w:t>
      </w:r>
      <m:oMath>
        <m:r>
          <m:t>k</m:t>
        </m:r>
      </m:oMath>
      <w:r>
        <w:t xml:space="preserve">, the best-performing</w:t>
      </w:r>
      <w:r>
        <w:t xml:space="preserve"> </w:t>
      </w:r>
      <m:oMath>
        <m:r>
          <m:t>α</m:t>
        </m:r>
      </m:oMath>
      <w:r>
        <w:t xml:space="preserve"> </w:t>
      </w:r>
      <w:r>
        <w:t xml:space="preserve">was selected by maximizing the mean CV C-index. The unsupervised NMF baseline (</w:t>
      </w:r>
      <m:oMath>
        <m:r>
          <m:t>α</m:t>
        </m:r>
        <m:r>
          <m:rPr>
            <m:sty m:val="p"/>
          </m:rPr>
          <m:t>=</m:t>
        </m:r>
        <m:r>
          <m:t>0</m:t>
        </m:r>
      </m:oMath>
      <w:r>
        <w:t xml:space="preserve">) was evaluated at the same</w:t>
      </w:r>
      <w:r>
        <w:t xml:space="preserve"> </w:t>
      </w:r>
      <m:oMath>
        <m:r>
          <m:t>k</m:t>
        </m:r>
      </m:oMath>
      <w:r>
        <w:t xml:space="preserve"> </w:t>
      </w:r>
      <w:r>
        <w:t xml:space="preserve">values for comparison. Results are shown for two gene-selection settings:</w:t>
      </w:r>
      <w:r>
        <w:t xml:space="preserve"> </w:t>
      </w:r>
      <m:oMath>
        <m:sSub>
          <m:e>
            <m:r>
              <m:t>n</m:t>
            </m:r>
          </m:e>
          <m:sub>
            <m:r>
              <m:rPr>
                <m:nor/>
                <m:sty m:val="p"/>
              </m:rPr>
              <m:t>top</m:t>
            </m:r>
          </m:sub>
        </m:sSub>
        <m:r>
          <m:rPr>
            <m:sty m:val="p"/>
          </m:rPr>
          <m:t>=</m:t>
        </m:r>
        <m:r>
          <m:t>270</m:t>
        </m:r>
      </m:oMath>
      <w:r>
        <w:t xml:space="preserve"> </w:t>
      </w:r>
      <w:r>
        <w:t xml:space="preserve">top genes per factor and</w:t>
      </w:r>
      <w:r>
        <w:t xml:space="preserve"> </w:t>
      </w:r>
      <m:oMath>
        <m:sSub>
          <m:e>
            <m:r>
              <m:t>n</m:t>
            </m:r>
          </m:e>
          <m:sub>
            <m:r>
              <m:rPr>
                <m:nor/>
                <m:sty m:val="p"/>
              </m:rPr>
              <m:t>top</m:t>
            </m:r>
          </m:sub>
        </m:sSub>
        <m:r>
          <m:rPr>
            <m:sty m:val="p"/>
          </m:rPr>
          <m:t>=</m:t>
        </m:r>
        <m:r>
          <m:rPr>
            <m:nor/>
            <m:sty m:val="p"/>
          </m:rPr>
          <m:t>ALL</m:t>
        </m:r>
      </m:oMath>
      <w:r>
        <w:t xml:space="preserve"> </w:t>
      </w:r>
      <w:r>
        <w:t xml:space="preserve">(all genes retained), both at</w:t>
      </w:r>
      <w:r>
        <w:t xml:space="preserve"> </w:t>
      </w:r>
      <m:oMath>
        <m:r>
          <m:t>λ</m:t>
        </m:r>
        <m:r>
          <m:rPr>
            <m:sty m:val="p"/>
          </m:rPr>
          <m:t>=</m:t>
        </m:r>
        <m:r>
          <m:t>0.349</m:t>
        </m:r>
      </m:oMath>
      <w:r>
        <w:t xml:space="preserve"> </w:t>
      </w:r>
      <w:r>
        <w:t xml:space="preserve">and</w:t>
      </w:r>
      <w:r>
        <w:t xml:space="preserve"> </w:t>
      </w:r>
      <m:oMath>
        <m:r>
          <m:t>ξ</m:t>
        </m:r>
        <m:r>
          <m:rPr>
            <m:sty m:val="p"/>
          </m:rPr>
          <m:t>=</m:t>
        </m:r>
        <m:r>
          <m:t>0.056</m:t>
        </m:r>
      </m:oMath>
      <w:r>
        <w:t xml:space="preserve">. External validation C-index is shown descriptively; validation outcomes were not used to select</w:t>
      </w:r>
      <w:r>
        <w:t xml:space="preserve"> </w:t>
      </w:r>
      <m:oMath>
        <m:r>
          <m:t>k</m:t>
        </m:r>
      </m:oMath>
      <w:r>
        <w:t xml:space="preserve">,</w:t>
      </w:r>
      <w:r>
        <w:t xml:space="preserve"> </w:t>
      </w:r>
      <m:oMath>
        <m:r>
          <m:t>α</m:t>
        </m:r>
      </m:oMath>
      <w:r>
        <w:t xml:space="preserve">,</w:t>
      </w:r>
      <w:r>
        <w:t xml:space="preserve"> </w:t>
      </w:r>
      <m:oMath>
        <m:r>
          <m:t>λ</m:t>
        </m:r>
      </m:oMath>
      <w:r>
        <w:t xml:space="preserve">,</w:t>
      </w:r>
      <w:r>
        <w:t xml:space="preserve"> </w:t>
      </w:r>
      <m:oMath>
        <m:r>
          <m:t>ξ</m:t>
        </m:r>
      </m:oMath>
      <w:r>
        <w:t xml:space="preserve">, or</w:t>
      </w:r>
      <w:r>
        <w:t xml:space="preserve"> </w:t>
      </w:r>
      <m:oMath>
        <m:sSub>
          <m:e>
            <m:r>
              <m:t>n</m:t>
            </m:r>
          </m:e>
          <m:sub>
            <m:r>
              <m:rPr>
                <m:nor/>
                <m:sty m:val="p"/>
              </m:rPr>
              <m:t>top</m:t>
            </m:r>
          </m:sub>
        </m:sSub>
      </m:oMath>
      <w:r>
        <w:t xml:space="preserve">.</w:t>
      </w:r>
    </w:p>
    <w:p>
      <w:pPr>
        <w:pStyle w:val="BodyText"/>
      </w:pPr>
      <w:r>
        <w:t xml:space="preserve">Fig. [fig:fig-cindex-by-k] shows the resulting C-index curves for both training (CV) and external validation (pooled across held-out cohorts), with shaded ribbons indicating</w:t>
      </w:r>
      <w:r>
        <w:t xml:space="preserve"> </w:t>
      </w:r>
      <m:oMath>
        <m:r>
          <m:rPr>
            <m:sty m:val="p"/>
          </m:rPr>
          <m:t>±</m:t>
        </m:r>
        <m:r>
          <m:t>1</m:t>
        </m:r>
      </m:oMath>
      <w:r>
        <w:t xml:space="preserve"> </w:t>
      </w:r>
      <w:r>
        <w:t xml:space="preserve">standard error. Rank was selected on the training cross-validated concordance: for DeSurv the curve is close to flat across the whole range examined, spanning about two standard errors from</w:t>
      </w:r>
      <w:r>
        <w:t xml:space="preserve"> </w:t>
      </w:r>
      <m:oMath>
        <m:r>
          <m:t>k</m:t>
        </m:r>
        <m:r>
          <m:rPr>
            <m:sty m:val="p"/>
          </m:rPr>
          <m:t>=</m:t>
        </m:r>
        <m:r>
          <m:t>2</m:t>
        </m:r>
      </m:oMath>
      <w:r>
        <w:t xml:space="preserve"> </w:t>
      </w:r>
      <w:r>
        <w:t xml:space="preserve">to</w:t>
      </w:r>
      <w:r>
        <w:t xml:space="preserve"> </w:t>
      </w:r>
      <m:oMath>
        <m:r>
          <m:t>k</m:t>
        </m:r>
        <m:r>
          <m:rPr>
            <m:sty m:val="p"/>
          </m:rPr>
          <m:t>=</m:t>
        </m:r>
        <m:r>
          <m:t>12</m:t>
        </m:r>
      </m:oMath>
      <w:r>
        <w:t xml:space="preserve"> </w:t>
      </w:r>
      <w:r>
        <w:t xml:space="preserve">with its nominal maximum at</w:t>
      </w:r>
      <w:r>
        <w:t xml:space="preserve"> </w:t>
      </w:r>
      <m:oMath>
        <m:r>
          <m:t>k</m:t>
        </m:r>
        <m:r>
          <m:rPr>
            <m:sty m:val="p"/>
          </m:rPr>
          <m:t>=</m:t>
        </m:r>
        <m:r>
          <m:t>9</m:t>
        </m:r>
      </m:oMath>
      <w:r>
        <w:t xml:space="preserve"> </w:t>
      </w:r>
      <w:r>
        <w:t xml:space="preserve">rather than at the selected rank, and the one-standard-error rule accordingly selected the parsimonious</w:t>
      </w:r>
      <w:r>
        <w:t xml:space="preserve"> </w:t>
      </w:r>
      <m:oMath>
        <m:r>
          <m:t>k</m:t>
        </m:r>
        <m:r>
          <m:rPr>
            <m:sty m:val="p"/>
          </m:rPr>
          <m:t>=</m:t>
        </m:r>
        <m:r>
          <m:t>3</m:t>
        </m:r>
      </m:oMath>
      <w:r>
        <w:t xml:space="preserve">. The selection depends on the gene-selection setting: under panel (b), with all genes retained, the same rule selects</w:t>
      </w:r>
      <w:r>
        <w:t xml:space="preserve"> </w:t>
      </w:r>
      <m:oMath>
        <m:r>
          <m:t>k</m:t>
        </m:r>
        <m:r>
          <m:rPr>
            <m:sty m:val="p"/>
          </m:rPr>
          <m:t>=</m:t>
        </m:r>
        <m:r>
          <m:t>2</m:t>
        </m:r>
      </m:oMath>
      <w:r>
        <w:t xml:space="preserve">. DeSurv exceeded unsupervised NMF at matched rank at every</w:t>
      </w:r>
      <w:r>
        <w:t xml:space="preserve"> </w:t>
      </w:r>
      <m:oMath>
        <m:r>
          <m:t>k</m:t>
        </m:r>
      </m:oMath>
      <w:r>
        <w:t xml:space="preserve"> </w:t>
      </w:r>
      <w:r>
        <w:t xml:space="preserve">examined. The external-validation curve is shown only descriptively (validation outcomes were used for no part of rank or hyperparameter selection) and is consistent with this training-based choice, with DeSurv at</w:t>
      </w:r>
      <w:r>
        <w:t xml:space="preserve"> </w:t>
      </w:r>
      <m:oMath>
        <m:r>
          <m:t>k</m:t>
        </m:r>
        <m:r>
          <m:rPr>
            <m:sty m:val="p"/>
          </m:rPr>
          <m:t>=</m:t>
        </m:r>
        <m:r>
          <m:t>3</m:t>
        </m:r>
      </m:oMath>
      <w:r>
        <w:t xml:space="preserve"> </w:t>
      </w:r>
      <w:r>
        <w:t xml:space="preserve">attaining concordance comparable to standard NMF at higher ranks (e.g.,</w:t>
      </w:r>
      <w:r>
        <w:t xml:space="preserve"> </w:t>
      </w:r>
      <m:oMath>
        <m:r>
          <m:t>k</m:t>
        </m:r>
        <m:r>
          <m:rPr>
            <m:sty m:val="p"/>
          </m:rPr>
          <m:t>=</m:t>
        </m:r>
        <m:r>
          <m:t>7</m:t>
        </m:r>
      </m:oMath>
      <w:r>
        <w:t xml:space="preserve">; Table [tab:tab-cindex-comparison]). We therefore read this as a training/cross-validation sensitivity analysis of rank, not as an external model-selection argument.</w:t>
      </w:r>
    </w:p>
    <w:p>
      <w:pPr>
        <w:pStyle w:val="BodyText"/>
      </w:pPr>
      <w:r>
        <w:drawing>
          <wp:inline>
            <wp:extent cx="5334000" cy="5244713"/>
            <wp:effectExtent b="0" l="0" r="0" t="0"/>
            <wp:docPr descr="" title="" id="33" name="Picture"/>
            <a:graphic>
              <a:graphicData uri="http://schemas.openxmlformats.org/drawingml/2006/picture">
                <pic:pic>
                  <pic:nvPicPr>
                    <pic:cNvPr descr=".docx_media/figures_fig_cindex_by_k_1.png" id="34" name="Picture"/>
                    <pic:cNvPicPr>
                      <a:picLocks noChangeArrowheads="1" noChangeAspect="1"/>
                    </pic:cNvPicPr>
                  </pic:nvPicPr>
                  <pic:blipFill>
                    <a:blip r:embed="rId32"/>
                    <a:stretch>
                      <a:fillRect/>
                    </a:stretch>
                  </pic:blipFill>
                  <pic:spPr bwMode="auto">
                    <a:xfrm>
                      <a:off x="0" y="0"/>
                      <a:ext cx="5334000" cy="5244713"/>
                    </a:xfrm>
                    <a:prstGeom prst="rect">
                      <a:avLst/>
                    </a:prstGeom>
                    <a:noFill/>
                    <a:ln w="9525">
                      <a:noFill/>
                      <a:headEnd/>
                      <a:tailEnd/>
                    </a:ln>
                  </pic:spPr>
                </pic:pic>
              </a:graphicData>
            </a:graphic>
          </wp:inline>
        </w:drawing>
      </w:r>
    </w:p>
    <w:p>
      <w:pPr>
        <w:pStyle w:val="BodyText"/>
      </w:pPr>
      <w:r>
        <w:rPr>
          <w:iCs/>
          <w:i/>
        </w:rPr>
        <w:t xml:space="preserve">Training (CV) and external validation C-index as a function of factorization rank</w:t>
      </w:r>
      <w:r>
        <w:rPr>
          <w:iCs/>
          <w:i/>
        </w:rPr>
        <w:t xml:space="preserve"> </w:t>
      </w:r>
      <m:oMath>
        <m:r>
          <m:t>k</m:t>
        </m:r>
      </m:oMath>
      <w:r>
        <w:rPr>
          <w:iCs/>
          <w:i/>
        </w:rPr>
        <w:t xml:space="preserve"> </w:t>
      </w:r>
      <w:r>
        <w:rPr>
          <w:iCs/>
          <w:i/>
        </w:rPr>
        <w:t xml:space="preserve">for DeSurv (blue) and standard NMF (red,</w:t>
      </w:r>
      <w:r>
        <w:rPr>
          <w:iCs/>
          <w:i/>
        </w:rPr>
        <w:t xml:space="preserve"> </w:t>
      </w:r>
      <m:oMath>
        <m:r>
          <m:t>α</m:t>
        </m:r>
        <m:r>
          <m:rPr>
            <m:sty m:val="p"/>
          </m:rPr>
          <m:t>=</m:t>
        </m:r>
        <m:r>
          <m:t>0</m:t>
        </m:r>
      </m:oMath>
      <w:r>
        <w:rPr>
          <w:iCs/>
          <w:i/>
        </w:rPr>
        <w:t xml:space="preserve">). Shaded ribbons show</w:t>
      </w:r>
      <w:r>
        <w:rPr>
          <w:iCs/>
          <w:i/>
        </w:rPr>
        <w:t xml:space="preserve"> </w:t>
      </w:r>
      <m:oMath>
        <m:r>
          <m:rPr>
            <m:sty m:val="p"/>
          </m:rPr>
          <m:t>±</m:t>
        </m:r>
        <m:r>
          <m:t>1</m:t>
        </m:r>
      </m:oMath>
      <w:r>
        <w:rPr>
          <w:iCs/>
          <w:i/>
        </w:rPr>
        <w:t xml:space="preserve"> </w:t>
      </w:r>
      <w:r>
        <w:rPr>
          <w:iCs/>
          <w:i/>
        </w:rPr>
        <w:t xml:space="preserve">SE. For each</w:t>
      </w:r>
      <w:r>
        <w:rPr>
          <w:iCs/>
          <w:i/>
        </w:rPr>
        <w:t xml:space="preserve"> </w:t>
      </w:r>
      <m:oMath>
        <m:r>
          <m:t>k</m:t>
        </m:r>
      </m:oMath>
      <w:r>
        <w:rPr>
          <w:iCs/>
          <w:i/>
        </w:rPr>
        <w:t xml:space="preserve">, the best</w:t>
      </w:r>
      <w:r>
        <w:rPr>
          <w:iCs/>
          <w:i/>
        </w:rPr>
        <w:t xml:space="preserve"> </w:t>
      </w:r>
      <m:oMath>
        <m:r>
          <m:t>α</m:t>
        </m:r>
      </m:oMath>
      <w:r>
        <w:rPr>
          <w:iCs/>
          <w:i/>
        </w:rPr>
        <w:t xml:space="preserve"> </w:t>
      </w:r>
      <w:r>
        <w:rPr>
          <w:iCs/>
          <w:i/>
        </w:rPr>
        <w:t xml:space="preserve">was selected by maximizing the mean CV C-index. Validation C-index is pooled across all external cohorts. (a) Results using</w:t>
      </w:r>
      <w:r>
        <w:rPr>
          <w:iCs/>
          <w:i/>
        </w:rPr>
        <w:t xml:space="preserve"> </w:t>
      </w:r>
      <m:oMath>
        <m:sSub>
          <m:e>
            <m:r>
              <m:t>n</m:t>
            </m:r>
          </m:e>
          <m:sub>
            <m:r>
              <m:rPr>
                <m:nor/>
                <m:sty m:val="p"/>
              </m:rPr>
              <m:t>top</m:t>
            </m:r>
          </m:sub>
        </m:sSub>
        <m:r>
          <m:rPr>
            <m:sty m:val="p"/>
          </m:rPr>
          <m:t>=</m:t>
        </m:r>
        <m:r>
          <m:t>270</m:t>
        </m:r>
      </m:oMath>
      <w:r>
        <w:rPr>
          <w:iCs/>
          <w:i/>
        </w:rPr>
        <w:t xml:space="preserve"> </w:t>
      </w:r>
      <w:r>
        <w:rPr>
          <w:iCs/>
          <w:i/>
        </w:rPr>
        <w:t xml:space="preserve">top genes per factor (</w:t>
      </w:r>
      <m:oMath>
        <m:r>
          <m:t>λ</m:t>
        </m:r>
        <m:r>
          <m:rPr>
            <m:sty m:val="p"/>
          </m:rPr>
          <m:t>=</m:t>
        </m:r>
        <m:r>
          <m:t>0.349</m:t>
        </m:r>
      </m:oMath>
      <w:r>
        <w:rPr>
          <w:iCs/>
          <w:i/>
        </w:rPr>
        <w:t xml:space="preserve">,</w:t>
      </w:r>
      <w:r>
        <w:rPr>
          <w:iCs/>
          <w:i/>
        </w:rPr>
        <w:t xml:space="preserve"> </w:t>
      </w:r>
      <m:oMath>
        <m:r>
          <m:t>ξ</m:t>
        </m:r>
        <m:r>
          <m:rPr>
            <m:sty m:val="p"/>
          </m:rPr>
          <m:t>=</m:t>
        </m:r>
        <m:r>
          <m:t>0.056</m:t>
        </m:r>
      </m:oMath>
      <w:r>
        <w:rPr>
          <w:iCs/>
          <w:i/>
        </w:rPr>
        <w:t xml:space="preserve">). (b) Results retaining all genes (</w:t>
      </w:r>
      <m:oMath>
        <m:sSub>
          <m:e>
            <m:r>
              <m:t>n</m:t>
            </m:r>
          </m:e>
          <m:sub>
            <m:r>
              <m:rPr>
                <m:nor/>
                <m:sty m:val="p"/>
              </m:rPr>
              <m:t>top</m:t>
            </m:r>
          </m:sub>
        </m:sSub>
        <m:r>
          <m:rPr>
            <m:sty m:val="p"/>
          </m:rPr>
          <m:t>=</m:t>
        </m:r>
        <m:r>
          <m:rPr>
            <m:nor/>
            <m:sty m:val="p"/>
          </m:rPr>
          <m:t>ALL</m:t>
        </m:r>
      </m:oMath>
      <w:r>
        <w:rPr>
          <w:iCs/>
          <w:i/>
        </w:rPr>
        <w:t xml:space="preserve">;</w:t>
      </w:r>
      <w:r>
        <w:rPr>
          <w:iCs/>
          <w:i/>
        </w:rPr>
        <w:t xml:space="preserve"> </w:t>
      </w:r>
      <m:oMath>
        <m:r>
          <m:t>λ</m:t>
        </m:r>
        <m:r>
          <m:rPr>
            <m:sty m:val="p"/>
          </m:rPr>
          <m:t>=</m:t>
        </m:r>
        <m:r>
          <m:t>0.349</m:t>
        </m:r>
      </m:oMath>
      <w:r>
        <w:rPr>
          <w:iCs/>
          <w:i/>
        </w:rPr>
        <w:t xml:space="preserve">,</w:t>
      </w:r>
      <w:r>
        <w:rPr>
          <w:iCs/>
          <w:i/>
        </w:rPr>
        <w:t xml:space="preserve"> </w:t>
      </w:r>
      <m:oMath>
        <m:r>
          <m:t>ξ</m:t>
        </m:r>
        <m:r>
          <m:rPr>
            <m:sty m:val="p"/>
          </m:rPr>
          <m:t>=</m:t>
        </m:r>
        <m:r>
          <m:t>0.056</m:t>
        </m:r>
      </m:oMath>
      <w:r>
        <w:rPr>
          <w:iCs/>
          <w:i/>
        </w:rPr>
        <w:t xml:space="preserve">).</w:t>
      </w:r>
    </w:p>
    <w:bookmarkEnd w:id="35"/>
    <w:bookmarkStart w:id="39" w:name="standard-nmf-rank-selection-heuristics"/>
    <w:p>
      <w:pPr>
        <w:pStyle w:val="Heading1"/>
      </w:pPr>
      <w:r>
        <w:t xml:space="preserve">Standard NMF rank selection heuristics</w:t>
      </w:r>
    </w:p>
    <w:p>
      <w:pPr>
        <w:pStyle w:val="FirstParagraph"/>
      </w:pPr>
      <w:r>
        <w:t xml:space="preserve">Standard unsupervised rank selection criteria (reconstruction residuals, cophenetic correlation coefficient, and mean silhouette width) yielded inconsistent guidance for selecting the factorization rank</w:t>
      </w:r>
      <w:r>
        <w:t xml:space="preserve"> </w:t>
      </w:r>
      <m:oMath>
        <m:r>
          <m:t>k</m:t>
        </m:r>
      </m:oMath>
      <w:r>
        <w:t xml:space="preserve"> </w:t>
      </w:r>
      <w:r>
        <w:t xml:space="preserve">in the PDAC training cohort (TCGA + CPTAC). Reconstruction residuals decreased smoothly without a clear elbow (Fig. [fig:nmf-diagnostics]a). Cophenetic correlation fluctuated without a distinct transition point (Fig. [fig:nmf-diagnostics]b). Mean silhouette width favored very low ranks that conflicted with other criteria (Fig. [fig:nmf-diagnostics]c). These contradictions motivated the survival-supervised rank selection approach described in the main text.</w:t>
      </w:r>
    </w:p>
    <w:p>
      <w:pPr>
        <w:pStyle w:val="BodyText"/>
      </w:pPr>
      <w:r>
        <w:drawing>
          <wp:inline>
            <wp:extent cx="5334000" cy="2979786"/>
            <wp:effectExtent b="0" l="0" r="0" t="0"/>
            <wp:docPr descr="" title="" id="37" name="Picture"/>
            <a:graphic>
              <a:graphicData uri="http://schemas.openxmlformats.org/drawingml/2006/picture">
                <pic:pic>
                  <pic:nvPicPr>
                    <pic:cNvPr descr=".docx_media/figures_fig_nmf_diagnostics_1.png" id="38" name="Picture"/>
                    <pic:cNvPicPr>
                      <a:picLocks noChangeArrowheads="1" noChangeAspect="1"/>
                    </pic:cNvPicPr>
                  </pic:nvPicPr>
                  <pic:blipFill>
                    <a:blip r:embed="rId36"/>
                    <a:stretch>
                      <a:fillRect/>
                    </a:stretch>
                  </pic:blipFill>
                  <pic:spPr bwMode="auto">
                    <a:xfrm>
                      <a:off x="0" y="0"/>
                      <a:ext cx="5334000" cy="2979786"/>
                    </a:xfrm>
                    <a:prstGeom prst="rect">
                      <a:avLst/>
                    </a:prstGeom>
                    <a:noFill/>
                    <a:ln w="9525">
                      <a:noFill/>
                      <a:headEnd/>
                      <a:tailEnd/>
                    </a:ln>
                  </pic:spPr>
                </pic:pic>
              </a:graphicData>
            </a:graphic>
          </wp:inline>
        </w:drawing>
      </w:r>
    </w:p>
    <w:p>
      <w:pPr>
        <w:pStyle w:val="BodyText"/>
      </w:pPr>
      <w:r>
        <w:rPr>
          <w:iCs/>
          <w:i/>
        </w:rPr>
        <w:t xml:space="preserve">Standard unsupervised NMF rank selection heuristics for the PDAC training cohort (TCGA + CPTAC). (a) Reconstruction residuals as a function of factorization rank</w:t>
      </w:r>
      <w:r>
        <w:rPr>
          <w:iCs/>
          <w:i/>
        </w:rPr>
        <w:t xml:space="preserve"> </w:t>
      </w:r>
      <m:oMath>
        <m:r>
          <m:t>k</m:t>
        </m:r>
      </m:oMath>
      <w:r>
        <w:rPr>
          <w:iCs/>
          <w:i/>
        </w:rPr>
        <w:t xml:space="preserve">. (b) Cophenetic correlation coefficient as a function of</w:t>
      </w:r>
      <w:r>
        <w:rPr>
          <w:iCs/>
          <w:i/>
        </w:rPr>
        <w:t xml:space="preserve"> </w:t>
      </w:r>
      <m:oMath>
        <m:r>
          <m:t>k</m:t>
        </m:r>
      </m:oMath>
      <w:r>
        <w:rPr>
          <w:iCs/>
          <w:i/>
        </w:rPr>
        <w:t xml:space="preserve">. (c) Mean silhouette width across multiple distance metrics as a function of</w:t>
      </w:r>
      <w:r>
        <w:rPr>
          <w:iCs/>
          <w:i/>
        </w:rPr>
        <w:t xml:space="preserve"> </w:t>
      </w:r>
      <m:oMath>
        <m:r>
          <m:t>k</m:t>
        </m:r>
      </m:oMath>
      <w:r>
        <w:rPr>
          <w:iCs/>
          <w:i/>
        </w:rPr>
        <w:t xml:space="preserve">. These criteria yield inconsistent guidance, motivating the survival-supervised model-selection approach described in the main text.</w:t>
      </w:r>
    </w:p>
    <w:bookmarkEnd w:id="39"/>
    <w:bookmarkStart w:id="43" w:name="Xc4c5baeff7306f1dabd993fa94a8d627a23f6be"/>
    <w:p>
      <w:pPr>
        <w:pStyle w:val="Heading1"/>
      </w:pPr>
      <w:r>
        <w:t xml:space="preserve">Standard NMF factor structure at independently selected rank</w:t>
      </w:r>
    </w:p>
    <w:p>
      <w:pPr>
        <w:pStyle w:val="FirstParagraph"/>
      </w:pPr>
      <w:r>
        <w:t xml:space="preserve">Throughout the main text, both DeSurv and standard NMF were fit at the same rank (</w:t>
      </w:r>
      <m:oMath>
        <m:r>
          <m:t>k</m:t>
        </m:r>
        <m:r>
          <m:rPr>
            <m:sty m:val="p"/>
          </m:rPr>
          <m:t>=</m:t>
        </m:r>
        <m:r>
          <m:t>3</m:t>
        </m:r>
      </m:oMath>
      <w:r>
        <w:t xml:space="preserve">), enabling a controlled comparison of the effect of survival supervision on factor structure. When standard NMF selects its own rank independently, Bayesian optimization of the unsupervised (</w:t>
      </w:r>
      <m:oMath>
        <m:r>
          <m:t>α</m:t>
        </m:r>
        <m:r>
          <m:rPr>
            <m:sty m:val="p"/>
          </m:rPr>
          <m:t>=</m:t>
        </m:r>
        <m:r>
          <m:t>0</m:t>
        </m:r>
      </m:oMath>
      <w:r>
        <w:t xml:space="preserve">) baseline selects</w:t>
      </w:r>
      <w:r>
        <w:t xml:space="preserve"> </w:t>
      </w:r>
      <m:oMath>
        <m:r>
          <m:t>k</m:t>
        </m:r>
        <m:r>
          <m:rPr>
            <m:sty m:val="p"/>
          </m:rPr>
          <m:t>=</m:t>
        </m:r>
        <m:r>
          <m:t>7</m:t>
        </m:r>
      </m:oMath>
      <w:r>
        <w:t xml:space="preserve">, whereas supervised DeSurv BO selects</w:t>
      </w:r>
      <w:r>
        <w:t xml:space="preserve"> </w:t>
      </w:r>
      <m:oMath>
        <m:r>
          <m:t>k</m:t>
        </m:r>
        <m:r>
          <m:rPr>
            <m:sty m:val="p"/>
          </m:rPr>
          <m:t>=</m:t>
        </m:r>
        <m:r>
          <m:t>3</m:t>
        </m:r>
      </m:oMath>
      <w:r>
        <w:t xml:space="preserve">. We examine here the NMF factor structure at this independently selected</w:t>
      </w:r>
      <w:r>
        <w:t xml:space="preserve"> </w:t>
      </w:r>
      <m:oMath>
        <m:r>
          <m:t>k</m:t>
        </m:r>
        <m:r>
          <m:rPr>
            <m:sty m:val="p"/>
          </m:rPr>
          <m:t>=</m:t>
        </m:r>
        <m:r>
          <m:t>7</m:t>
        </m:r>
      </m:oMath>
      <w:r>
        <w:t xml:space="preserve"> </w:t>
      </w:r>
      <w:r>
        <w:t xml:space="preserve">to illustrate the additional fragmentation that arises when supervision is absent (Fig. [fig:fig-nmf-k7-heatmap]).</w:t>
      </w:r>
    </w:p>
    <w:p>
      <w:pPr>
        <w:pStyle w:val="BodyText"/>
      </w:pPr>
      <w:r>
        <w:t xml:space="preserve">At BO-selected</w:t>
      </w:r>
      <w:r>
        <w:t xml:space="preserve"> </w:t>
      </w:r>
      <m:oMath>
        <m:r>
          <m:t>k</m:t>
        </m:r>
        <m:r>
          <m:rPr>
            <m:sty m:val="p"/>
          </m:rPr>
          <m:t>=</m:t>
        </m:r>
        <m:r>
          <m:t>7</m:t>
        </m:r>
      </m:oMath>
      <w:r>
        <w:t xml:space="preserve"> </w:t>
      </w:r>
      <w:r>
        <w:t xml:space="preserve">under</w:t>
      </w:r>
      <w:r>
        <w:t xml:space="preserve"> </w:t>
      </w:r>
      <m:oMath>
        <m:r>
          <m:t>α</m:t>
        </m:r>
        <m:r>
          <m:rPr>
            <m:sty m:val="p"/>
          </m:rPr>
          <m:t>=</m:t>
        </m:r>
        <m:r>
          <m:t>0</m:t>
        </m:r>
      </m:oMath>
      <w:r>
        <w:t xml:space="preserve"> </w:t>
      </w:r>
      <w:r>
        <w:t xml:space="preserve">(Fig. [fig:fig-nmf-k7-heatmap]), standard NMF shows increased fragmentation relative to the matched-rank</w:t>
      </w:r>
      <w:r>
        <w:t xml:space="preserve"> </w:t>
      </w:r>
      <m:oMath>
        <m:r>
          <m:t>k</m:t>
        </m:r>
        <m:r>
          <m:rPr>
            <m:sty m:val="p"/>
          </m:rPr>
          <m:t>=</m:t>
        </m:r>
        <m:r>
          <m:t>3</m:t>
        </m:r>
      </m:oMath>
      <w:r>
        <w:t xml:space="preserve"> </w:t>
      </w:r>
      <w:r>
        <w:t xml:space="preserve">solution: multiple factors partially overlap the same PDAC gene signatures, and no additional factor maps cleanly onto a distinct established PDAC program; the added factors fragment existing signatures rather than resolving new biology.</w:t>
      </w:r>
    </w:p>
    <w:p>
      <w:pPr>
        <w:pStyle w:val="CaptionedFigure"/>
      </w:pPr>
      <w:r>
        <w:drawing>
          <wp:inline>
            <wp:extent cx="5070485" cy="4214191"/>
            <wp:effectExtent b="0" l="0" r="0" t="0"/>
            <wp:docPr descr="Gene-program correspondence for standard NMF at k = 7 (BO-selected rank with \alpha = 0), computed with the same Spearman-correlation analysis and reference programs as main-text Fig. 2a,b (top 50 genes per factor; reference programs with r &gt; 0.2 for at least one factor are shown). Compared with the matched-rank k = 3 solution, the 7-factor solution shows increased fragmentation: multiple factors correlate with the same established PDAC signatures and no additional factor maps cleanly onto a distinct program." title="" id="41" name="Picture"/>
            <a:graphic>
              <a:graphicData uri="http://schemas.openxmlformats.org/drawingml/2006/picture">
                <pic:pic>
                  <pic:nvPicPr>
                    <pic:cNvPr descr="figures/fig-nmf-k7-heatmap-1.png" id="42" name="Picture"/>
                    <pic:cNvPicPr>
                      <a:picLocks noChangeArrowheads="1" noChangeAspect="1"/>
                    </pic:cNvPicPr>
                  </pic:nvPicPr>
                  <pic:blipFill>
                    <a:blip r:embed="rId40"/>
                    <a:stretch>
                      <a:fillRect/>
                    </a:stretch>
                  </pic:blipFill>
                  <pic:spPr bwMode="auto">
                    <a:xfrm>
                      <a:off x="0" y="0"/>
                      <a:ext cx="5070485" cy="4214191"/>
                    </a:xfrm>
                    <a:prstGeom prst="rect">
                      <a:avLst/>
                    </a:prstGeom>
                    <a:noFill/>
                    <a:ln w="9525">
                      <a:noFill/>
                      <a:headEnd/>
                      <a:tailEnd/>
                    </a:ln>
                  </pic:spPr>
                </pic:pic>
              </a:graphicData>
            </a:graphic>
          </wp:inline>
        </w:drawing>
      </w:r>
    </w:p>
    <w:p>
      <w:pPr>
        <w:pStyle w:val="ImageCaption"/>
      </w:pPr>
      <w:r>
        <w:t xml:space="preserve">Gene-program correspondence for standard NMF at</w:t>
      </w:r>
      <w:r>
        <w:t xml:space="preserve"> </w:t>
      </w:r>
      <m:oMath>
        <m:r>
          <m:t>k</m:t>
        </m:r>
        <m:r>
          <m:rPr>
            <m:sty m:val="p"/>
          </m:rPr>
          <m:t>=</m:t>
        </m:r>
        <m:r>
          <m:t>7</m:t>
        </m:r>
      </m:oMath>
      <w:r>
        <w:t xml:space="preserve"> </w:t>
      </w:r>
      <w:r>
        <w:t xml:space="preserve">(BO-selected rank with</w:t>
      </w:r>
      <w:r>
        <w:t xml:space="preserve"> </w:t>
      </w:r>
      <m:oMath>
        <m:r>
          <m:t>α</m:t>
        </m:r>
        <m:r>
          <m:rPr>
            <m:sty m:val="p"/>
          </m:rPr>
          <m:t>=</m:t>
        </m:r>
        <m:r>
          <m:t>0</m:t>
        </m:r>
      </m:oMath>
      <w:r>
        <w:t xml:space="preserve">), computed with the same Spearman-correlation analysis and reference programs as main-text Fig. 2a,b (top 50 genes per factor; reference programs with</w:t>
      </w:r>
      <w:r>
        <w:t xml:space="preserve"> </w:t>
      </w:r>
      <m:oMath>
        <m:r>
          <m:t>r</m:t>
        </m:r>
        <m:r>
          <m:rPr>
            <m:sty m:val="p"/>
          </m:rPr>
          <m:t>&gt;</m:t>
        </m:r>
        <m:r>
          <m:t>0.2</m:t>
        </m:r>
      </m:oMath>
      <w:r>
        <w:t xml:space="preserve"> </w:t>
      </w:r>
      <w:r>
        <w:t xml:space="preserve">for at least one factor are shown). Compared with the matched-rank</w:t>
      </w:r>
      <w:r>
        <w:t xml:space="preserve"> </w:t>
      </w:r>
      <m:oMath>
        <m:r>
          <m:t>k</m:t>
        </m:r>
        <m:r>
          <m:rPr>
            <m:sty m:val="p"/>
          </m:rPr>
          <m:t>=</m:t>
        </m:r>
        <m:r>
          <m:t>3</m:t>
        </m:r>
      </m:oMath>
      <w:r>
        <w:t xml:space="preserve"> </w:t>
      </w:r>
      <w:r>
        <w:t xml:space="preserve">solution, the 7-factor solution shows increased fragmentation: multiple factors correlate with the same established PDAC signatures and no additional factor maps cleanly onto a distinct program.</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Cohort</w:t>
            </w:r>
          </w:p>
        </w:tc>
        <w:tc>
          <w:tcPr/>
          <w:p>
            <w:pPr>
              <w:pStyle w:val="Compact"/>
              <w:jc w:val="left"/>
            </w:pPr>
            <w:r>
              <w:t xml:space="preserve">DeSurv (K=3)</w:t>
            </w:r>
          </w:p>
        </w:tc>
        <w:tc>
          <w:tcPr/>
          <w:p>
            <w:pPr>
              <w:pStyle w:val="Compact"/>
              <w:jc w:val="left"/>
            </w:pPr>
            <w:r>
              <w:t xml:space="preserve">Std NMF (K=3)</w:t>
            </w:r>
          </w:p>
        </w:tc>
        <w:tc>
          <w:tcPr/>
          <w:p>
            <w:pPr>
              <w:pStyle w:val="Compact"/>
              <w:jc w:val="left"/>
            </w:pPr>
            <w:r>
              <w:t xml:space="preserve">Matched-budget (K=3,</w:t>
            </w:r>
            <w:r>
              <w:t xml:space="preserve"> </w:t>
            </w:r>
            <m:oMath>
              <m:r>
                <m:t>α</m:t>
              </m:r>
            </m:oMath>
            <w:r>
              <w:t xml:space="preserve">=0)</w:t>
            </w:r>
          </w:p>
        </w:tc>
        <w:tc>
          <w:tcPr/>
          <w:p>
            <w:pPr>
              <w:pStyle w:val="Compact"/>
              <w:jc w:val="left"/>
            </w:pPr>
            <w:r>
              <w:t xml:space="preserve">Std NMF (K=5, elbow)</w:t>
            </w:r>
          </w:p>
        </w:tc>
        <w:tc>
          <w:tcPr/>
          <w:p>
            <w:pPr>
              <w:pStyle w:val="Compact"/>
              <w:jc w:val="left"/>
            </w:pPr>
            <w:r>
              <w:t xml:space="preserve">Std NMF (K=7, BO</w:t>
            </w:r>
            <w:r>
              <w:t xml:space="preserve"> </w:t>
            </w:r>
            <m:oMath>
              <m:r>
                <m:t>α</m:t>
              </m:r>
            </m:oMath>
            <w:r>
              <w:t xml:space="preserve">=0)</w:t>
            </w:r>
          </w:p>
        </w:tc>
      </w:tr>
      <w:tr>
        <w:tc>
          <w:tcPr/>
          <w:p>
            <w:pPr>
              <w:pStyle w:val="Compact"/>
              <w:jc w:val="left"/>
            </w:pPr>
            <w:r>
              <w:t xml:space="preserve">Dijk</w:t>
            </w:r>
          </w:p>
        </w:tc>
        <w:tc>
          <w:tcPr/>
          <w:p>
            <w:pPr>
              <w:pStyle w:val="Compact"/>
              <w:jc w:val="left"/>
            </w:pPr>
            <w:r>
              <w:t xml:space="preserve">0.607</w:t>
            </w:r>
          </w:p>
        </w:tc>
        <w:tc>
          <w:tcPr/>
          <w:p>
            <w:pPr>
              <w:pStyle w:val="Compact"/>
              <w:jc w:val="left"/>
            </w:pPr>
            <w:r>
              <w:t xml:space="preserve">0.542</w:t>
            </w:r>
          </w:p>
        </w:tc>
        <w:tc>
          <w:tcPr/>
          <w:p>
            <w:pPr>
              <w:pStyle w:val="Compact"/>
              <w:jc w:val="left"/>
            </w:pPr>
            <w:r>
              <w:t xml:space="preserve">0.516</w:t>
            </w:r>
          </w:p>
        </w:tc>
        <w:tc>
          <w:tcPr/>
          <w:p>
            <w:pPr>
              <w:pStyle w:val="Compact"/>
              <w:jc w:val="left"/>
            </w:pPr>
            <w:r>
              <w:t xml:space="preserve">0.633</w:t>
            </w:r>
          </w:p>
        </w:tc>
        <w:tc>
          <w:tcPr/>
          <w:p>
            <w:pPr>
              <w:pStyle w:val="Compact"/>
              <w:jc w:val="left"/>
            </w:pPr>
            <w:r>
              <w:t xml:space="preserve">0.631</w:t>
            </w:r>
          </w:p>
        </w:tc>
      </w:tr>
      <w:tr>
        <w:tc>
          <w:tcPr/>
          <w:p>
            <w:pPr>
              <w:pStyle w:val="Compact"/>
              <w:jc w:val="left"/>
            </w:pPr>
            <w:r>
              <w:t xml:space="preserve">Moffitt_GEO_array</w:t>
            </w:r>
          </w:p>
        </w:tc>
        <w:tc>
          <w:tcPr/>
          <w:p>
            <w:pPr>
              <w:pStyle w:val="Compact"/>
              <w:jc w:val="left"/>
            </w:pPr>
            <w:r>
              <w:t xml:space="preserve">0.562</w:t>
            </w:r>
          </w:p>
        </w:tc>
        <w:tc>
          <w:tcPr/>
          <w:p>
            <w:pPr>
              <w:pStyle w:val="Compact"/>
              <w:jc w:val="left"/>
            </w:pPr>
            <w:r>
              <w:t xml:space="preserve">0.521</w:t>
            </w:r>
          </w:p>
        </w:tc>
        <w:tc>
          <w:tcPr/>
          <w:p>
            <w:pPr>
              <w:pStyle w:val="Compact"/>
              <w:jc w:val="left"/>
            </w:pPr>
            <w:r>
              <w:t xml:space="preserve">0.516</w:t>
            </w:r>
          </w:p>
        </w:tc>
        <w:tc>
          <w:tcPr/>
          <w:p>
            <w:pPr>
              <w:pStyle w:val="Compact"/>
              <w:jc w:val="left"/>
            </w:pPr>
            <w:r>
              <w:t xml:space="preserve">0.552</w:t>
            </w:r>
          </w:p>
        </w:tc>
        <w:tc>
          <w:tcPr/>
          <w:p>
            <w:pPr>
              <w:pStyle w:val="Compact"/>
              <w:jc w:val="left"/>
            </w:pPr>
            <w:r>
              <w:t xml:space="preserve">0.578</w:t>
            </w:r>
          </w:p>
        </w:tc>
      </w:tr>
      <w:tr>
        <w:tc>
          <w:tcPr/>
          <w:p>
            <w:pPr>
              <w:pStyle w:val="Compact"/>
              <w:jc w:val="left"/>
            </w:pPr>
            <w:r>
              <w:t xml:space="preserve">PACA_AU_array</w:t>
            </w:r>
          </w:p>
        </w:tc>
        <w:tc>
          <w:tcPr/>
          <w:p>
            <w:pPr>
              <w:pStyle w:val="Compact"/>
              <w:jc w:val="left"/>
            </w:pPr>
            <w:r>
              <w:t xml:space="preserve">0.649</w:t>
            </w:r>
          </w:p>
        </w:tc>
        <w:tc>
          <w:tcPr/>
          <w:p>
            <w:pPr>
              <w:pStyle w:val="Compact"/>
              <w:jc w:val="left"/>
            </w:pPr>
            <w:r>
              <w:t xml:space="preserve">0.470</w:t>
            </w:r>
          </w:p>
        </w:tc>
        <w:tc>
          <w:tcPr/>
          <w:p>
            <w:pPr>
              <w:pStyle w:val="Compact"/>
              <w:jc w:val="left"/>
            </w:pPr>
            <w:r>
              <w:t xml:space="preserve">0.462</w:t>
            </w:r>
          </w:p>
        </w:tc>
        <w:tc>
          <w:tcPr/>
          <w:p>
            <w:pPr>
              <w:pStyle w:val="Compact"/>
              <w:jc w:val="left"/>
            </w:pPr>
            <w:r>
              <w:t xml:space="preserve">0.657</w:t>
            </w:r>
          </w:p>
        </w:tc>
        <w:tc>
          <w:tcPr/>
          <w:p>
            <w:pPr>
              <w:pStyle w:val="Compact"/>
              <w:jc w:val="left"/>
            </w:pPr>
            <w:r>
              <w:t xml:space="preserve">0.669</w:t>
            </w:r>
          </w:p>
        </w:tc>
      </w:tr>
      <w:tr>
        <w:tc>
          <w:tcPr/>
          <w:p>
            <w:pPr>
              <w:pStyle w:val="Compact"/>
              <w:jc w:val="left"/>
            </w:pPr>
            <w:r>
              <w:t xml:space="preserve">PACA_AU_seq</w:t>
            </w:r>
          </w:p>
        </w:tc>
        <w:tc>
          <w:tcPr/>
          <w:p>
            <w:pPr>
              <w:pStyle w:val="Compact"/>
              <w:jc w:val="left"/>
            </w:pPr>
            <w:r>
              <w:t xml:space="preserve">0.634</w:t>
            </w:r>
          </w:p>
        </w:tc>
        <w:tc>
          <w:tcPr/>
          <w:p>
            <w:pPr>
              <w:pStyle w:val="Compact"/>
              <w:jc w:val="left"/>
            </w:pPr>
            <w:r>
              <w:t xml:space="preserve">0.430</w:t>
            </w:r>
          </w:p>
        </w:tc>
        <w:tc>
          <w:tcPr/>
          <w:p>
            <w:pPr>
              <w:pStyle w:val="Compact"/>
              <w:jc w:val="left"/>
            </w:pPr>
            <w:r>
              <w:t xml:space="preserve">0.412</w:t>
            </w:r>
          </w:p>
        </w:tc>
        <w:tc>
          <w:tcPr/>
          <w:p>
            <w:pPr>
              <w:pStyle w:val="Compact"/>
              <w:jc w:val="left"/>
            </w:pPr>
            <w:r>
              <w:t xml:space="preserve">0.679</w:t>
            </w:r>
          </w:p>
        </w:tc>
        <w:tc>
          <w:tcPr/>
          <w:p>
            <w:pPr>
              <w:pStyle w:val="Compact"/>
              <w:jc w:val="left"/>
            </w:pPr>
            <w:r>
              <w:t xml:space="preserve">0.702</w:t>
            </w:r>
          </w:p>
        </w:tc>
      </w:tr>
      <w:tr>
        <w:tc>
          <w:tcPr/>
          <w:p>
            <w:pPr>
              <w:pStyle w:val="Compact"/>
              <w:jc w:val="left"/>
            </w:pPr>
            <w:r>
              <w:t xml:space="preserve">Puleo_array</w:t>
            </w:r>
          </w:p>
        </w:tc>
        <w:tc>
          <w:tcPr/>
          <w:p>
            <w:pPr>
              <w:pStyle w:val="Compact"/>
              <w:jc w:val="left"/>
            </w:pPr>
            <w:r>
              <w:t xml:space="preserve">0.636</w:t>
            </w:r>
          </w:p>
        </w:tc>
        <w:tc>
          <w:tcPr/>
          <w:p>
            <w:pPr>
              <w:pStyle w:val="Compact"/>
              <w:jc w:val="left"/>
            </w:pPr>
            <w:r>
              <w:t xml:space="preserve">0.534</w:t>
            </w:r>
          </w:p>
        </w:tc>
        <w:tc>
          <w:tcPr/>
          <w:p>
            <w:pPr>
              <w:pStyle w:val="Compact"/>
              <w:jc w:val="left"/>
            </w:pPr>
            <w:r>
              <w:t xml:space="preserve">0.533</w:t>
            </w:r>
          </w:p>
        </w:tc>
        <w:tc>
          <w:tcPr/>
          <w:p>
            <w:pPr>
              <w:pStyle w:val="Compact"/>
              <w:jc w:val="left"/>
            </w:pPr>
            <w:r>
              <w:t xml:space="preserve">0.642</w:t>
            </w:r>
          </w:p>
        </w:tc>
        <w:tc>
          <w:tcPr/>
          <w:p>
            <w:pPr>
              <w:pStyle w:val="Compact"/>
              <w:jc w:val="left"/>
            </w:pPr>
            <w:r>
              <w:t xml:space="preserve">0.651</w:t>
            </w:r>
          </w:p>
        </w:tc>
      </w:tr>
    </w:tbl>
    <w:p>
      <w:pPr>
        <w:pStyle w:val="BodyText"/>
      </w:pPr>
      <w:r>
        <w:rPr>
          <w:iCs/>
          <w:i/>
        </w:rPr>
        <w:t xml:space="preserve">External validation C-index by method and cohort. DeSurv at BO-selected rank (</w:t>
      </w:r>
      <m:oMath>
        <m:r>
          <m:t>k</m:t>
        </m:r>
        <m:r>
          <m:rPr>
            <m:sty m:val="p"/>
          </m:rPr>
          <m:t>=</m:t>
        </m:r>
        <m:r>
          <m:t>3</m:t>
        </m:r>
      </m:oMath>
      <w:r>
        <w:rPr>
          <w:iCs/>
          <w:i/>
        </w:rPr>
        <w:t xml:space="preserve">) is compared with standard NMF at matched rank (</w:t>
      </w:r>
      <m:oMath>
        <m:r>
          <m:t>k</m:t>
        </m:r>
        <m:r>
          <m:rPr>
            <m:sty m:val="p"/>
          </m:rPr>
          <m:t>=</m:t>
        </m:r>
        <m:r>
          <m:t>3</m:t>
        </m:r>
      </m:oMath>
      <w:r>
        <w:rPr>
          <w:iCs/>
          <w:i/>
        </w:rPr>
        <w:t xml:space="preserve">), elbow-selected rank (</w:t>
      </w:r>
      <m:oMath>
        <m:r>
          <m:t>k</m:t>
        </m:r>
        <m:r>
          <m:rPr>
            <m:sty m:val="p"/>
          </m:rPr>
          <m:t>=</m:t>
        </m:r>
        <m:r>
          <m:t>5</m:t>
        </m:r>
      </m:oMath>
      <w:r>
        <w:rPr>
          <w:iCs/>
          <w:i/>
        </w:rPr>
        <w:t xml:space="preserve">) and BO-selected rank (</w:t>
      </w:r>
      <m:oMath>
        <m:r>
          <m:t>k</m:t>
        </m:r>
        <m:r>
          <m:rPr>
            <m:sty m:val="p"/>
          </m:rPr>
          <m:t>=</m:t>
        </m:r>
        <m:r>
          <m:t>7</m:t>
        </m:r>
      </m:oMath>
      <w:r>
        <w:rPr>
          <w:iCs/>
          <w:i/>
        </w:rPr>
        <w:t xml:space="preserve">,</w:t>
      </w:r>
      <w:r>
        <w:rPr>
          <w:iCs/>
          <w:i/>
        </w:rPr>
        <w:t xml:space="preserve"> </w:t>
      </w:r>
      <m:oMath>
        <m:r>
          <m:t>α</m:t>
        </m:r>
        <m:r>
          <m:rPr>
            <m:sty m:val="p"/>
          </m:rPr>
          <m:t>=</m:t>
        </m:r>
        <m:r>
          <m:t>0</m:t>
        </m:r>
      </m:oMath>
      <w:r>
        <w:rPr>
          <w:iCs/>
          <w:i/>
        </w:rPr>
        <w:t xml:space="preserve">), and with a matched-budget unsupervised control at</w:t>
      </w:r>
      <w:r>
        <w:rPr>
          <w:iCs/>
          <w:i/>
        </w:rPr>
        <w:t xml:space="preserve"> </w:t>
      </w:r>
      <m:oMath>
        <m:r>
          <m:t>k</m:t>
        </m:r>
        <m:r>
          <m:rPr>
            <m:sty m:val="p"/>
          </m:rPr>
          <m:t>=</m:t>
        </m:r>
        <m:r>
          <m:t>3</m:t>
        </m:r>
      </m:oMath>
      <w:r>
        <w:rPr>
          <w:iCs/>
          <w:i/>
        </w:rPr>
        <w:t xml:space="preserve">. The unsupervised columns are not all produced by one implementation:</w:t>
      </w:r>
      <w:r>
        <w:rPr>
          <w:iCs/>
          <w:i/>
        </w:rPr>
        <w:t xml:space="preserve"> </w:t>
      </w:r>
      <m:oMath>
        <m:r>
          <m:t>k</m:t>
        </m:r>
        <m:r>
          <m:rPr>
            <m:sty m:val="p"/>
          </m:rPr>
          <m:t>=</m:t>
        </m:r>
        <m:r>
          <m:t>3</m:t>
        </m:r>
      </m:oMath>
      <w:r>
        <w:rPr>
          <w:iCs/>
          <w:i/>
        </w:rPr>
        <w:t xml:space="preserve"> </w:t>
      </w:r>
      <w:r>
        <w:rPr>
          <w:iCs/>
          <w:i/>
        </w:rPr>
        <w:t xml:space="preserve">(Std NMF) and</w:t>
      </w:r>
      <w:r>
        <w:rPr>
          <w:iCs/>
          <w:i/>
        </w:rPr>
        <w:t xml:space="preserve"> </w:t>
      </w:r>
      <m:oMath>
        <m:r>
          <m:t>k</m:t>
        </m:r>
        <m:r>
          <m:rPr>
            <m:sty m:val="p"/>
          </m:rPr>
          <m:t>=</m:t>
        </m:r>
        <m:r>
          <m:t>5</m:t>
        </m:r>
      </m:oMath>
      <w:r>
        <w:rPr>
          <w:iCs/>
          <w:i/>
        </w:rPr>
        <w:t xml:space="preserve"> </w:t>
      </w:r>
      <w:r>
        <w:rPr>
          <w:iCs/>
          <w:i/>
        </w:rPr>
        <w:t xml:space="preserve">are Lee multiplicative NMF (</w:t>
      </w:r>
      <w:r>
        <w:rPr>
          <w:rStyle w:val="VerbatimChar"/>
          <w:iCs/>
          <w:i/>
        </w:rPr>
        <w:t xml:space="preserve">NMF::nmf</w:t>
      </w:r>
      <w:r>
        <w:rPr>
          <w:iCs/>
          <w:i/>
        </w:rPr>
        <w:t xml:space="preserve">), whereas the matched-budget</w:t>
      </w:r>
      <w:r>
        <w:rPr>
          <w:iCs/>
          <w:i/>
        </w:rPr>
        <w:t xml:space="preserve"> </w:t>
      </w:r>
      <m:oMath>
        <m:r>
          <m:t>k</m:t>
        </m:r>
        <m:r>
          <m:rPr>
            <m:sty m:val="p"/>
          </m:rPr>
          <m:t>=</m:t>
        </m:r>
        <m:r>
          <m:t>3</m:t>
        </m:r>
      </m:oMath>
      <w:r>
        <w:rPr>
          <w:iCs/>
          <w:i/>
        </w:rPr>
        <w:t xml:space="preserve"> </w:t>
      </w:r>
      <w:r>
        <w:rPr>
          <w:iCs/>
          <w:i/>
        </w:rPr>
        <w:t xml:space="preserve">column and the</w:t>
      </w:r>
      <w:r>
        <w:rPr>
          <w:iCs/>
          <w:i/>
        </w:rPr>
        <w:t xml:space="preserve"> </w:t>
      </w:r>
      <m:oMath>
        <m:r>
          <m:t>k</m:t>
        </m:r>
        <m:r>
          <m:rPr>
            <m:sty m:val="p"/>
          </m:rPr>
          <m:t>=</m:t>
        </m:r>
        <m:r>
          <m:t>7</m:t>
        </m:r>
      </m:oMath>
      <w:r>
        <w:rPr>
          <w:iCs/>
          <w:i/>
        </w:rPr>
        <w:t xml:space="preserve"> </w:t>
      </w:r>
      <w:r>
        <w:rPr>
          <w:iCs/>
          <w:i/>
        </w:rPr>
        <w:t xml:space="preserve">column are the DeSurv optimizer run at</w:t>
      </w:r>
      <w:r>
        <w:rPr>
          <w:iCs/>
          <w:i/>
        </w:rPr>
        <w:t xml:space="preserve"> </w:t>
      </w:r>
      <m:oMath>
        <m:r>
          <m:t>α</m:t>
        </m:r>
        <m:r>
          <m:rPr>
            <m:sty m:val="p"/>
          </m:rPr>
          <m:t>=</m:t>
        </m:r>
        <m:r>
          <m:t>0</m:t>
        </m:r>
      </m:oMath>
      <w:r>
        <w:rPr>
          <w:iCs/>
          <w:i/>
        </w:rPr>
        <w:t xml:space="preserve"> </w:t>
      </w:r>
      <w:r>
        <w:rPr>
          <w:iCs/>
          <w:i/>
        </w:rPr>
        <w:t xml:space="preserve">with the same consensus initialization as the supervised model. The matched-budget column is the tuning-budget control: it holds rank, optimizer, consensus initialization and Bayesian-optimization budget fixed and varies only supervision, and it does not improve on</w:t>
      </w:r>
      <w:r>
        <w:rPr>
          <w:iCs/>
          <w:i/>
        </w:rPr>
        <w:t xml:space="preserve"> </w:t>
      </w:r>
      <w:r>
        <w:rPr>
          <w:rStyle w:val="VerbatimChar"/>
          <w:iCs/>
          <w:i/>
        </w:rPr>
        <w:t xml:space="preserve">NMF::nmf</w:t>
      </w:r>
      <w:r>
        <w:rPr>
          <w:iCs/>
          <w:i/>
        </w:rPr>
        <w:t xml:space="preserve"> </w:t>
      </w:r>
      <w:r>
        <w:rPr>
          <w:iCs/>
          <w:i/>
        </w:rPr>
        <w:t xml:space="preserve">at the same rank. Higher values indicate better discrimination. All columns are scored on the same union-of-top-genes support (</w:t>
      </w:r>
      <m:oMath>
        <m:sSub>
          <m:e>
            <m:r>
              <m:t>n</m:t>
            </m:r>
          </m:e>
          <m:sub>
            <m:r>
              <m:rPr>
                <m:nor/>
                <m:sty m:val="p"/>
              </m:rPr>
              <m:t>top</m:t>
            </m:r>
          </m:sub>
        </m:sSub>
        <m:r>
          <m:rPr>
            <m:sty m:val="p"/>
          </m:rPr>
          <m:t>=</m:t>
        </m:r>
        <m:r>
          <m:t>270</m:t>
        </m:r>
      </m:oMath>
      <w:r>
        <w:rPr>
          <w:iCs/>
          <w:i/>
        </w:rPr>
        <w:t xml:space="preserve">).</w:t>
      </w:r>
    </w:p>
    <w:p>
      <w:pPr>
        <w:pStyle w:val="BodyText"/>
      </w:pPr>
      <w:r>
        <w:t xml:space="preserve">\subsection*{Stromal resolution: which reference programs are recovered from bulk}</w:t>
      </w:r>
    </w:p>
    <w:p>
      <w:pPr>
        <w:pStyle w:val="BodyText"/>
      </w:pPr>
      <w:r>
        <w:t xml:space="preserve">Bulk deconvolution has conventionally separated activated from normal stroma,</w:t>
      </w:r>
      <w:r>
        <w:t xml:space="preserve"> </w:t>
      </w:r>
      <w:r>
        <w:t xml:space="preserve">whereas the finer cancer-associated fibroblast states, and the proCAF/restCAF</w:t>
      </w:r>
      <w:r>
        <w:t xml:space="preserve"> </w:t>
      </w:r>
      <w:r>
        <w:t xml:space="preserve">classification derived from them, were established in single-cell data. We</w:t>
      </w:r>
      <w:r>
        <w:t xml:space="preserve"> </w:t>
      </w:r>
      <w:r>
        <w:t xml:space="preserve">therefore asked which stromal reference programs each</w:t>
      </w:r>
      <w:r>
        <w:t xml:space="preserve"> </w:t>
      </w:r>
      <m:oMath>
        <m:r>
          <m:t>k</m:t>
        </m:r>
        <m:r>
          <m:rPr>
            <m:sty m:val="p"/>
          </m:rPr>
          <m:t>=</m:t>
        </m:r>
        <m:r>
          <m:t>3</m:t>
        </m:r>
      </m:oMath>
      <w:r>
        <w:t xml:space="preserve"> </w:t>
      </w:r>
      <w:r>
        <w:t xml:space="preserve">factorization</w:t>
      </w:r>
      <w:r>
        <w:t xml:space="preserve"> </w:t>
      </w:r>
      <w:r>
        <w:t xml:space="preserve">actually resolves (\texttt{code/23}). Two views are reported because they do not</w:t>
      </w:r>
      <w:r>
        <w:t xml:space="preserve"> </w:t>
      </w:r>
      <w:r>
        <w:t xml:space="preserve">agree, and the defensible claim depends on which question is asked.</w:t>
      </w:r>
    </w:p>
    <w:p>
      <w:pPr>
        <w:pStyle w:val="BodyText"/>
      </w:pPr>
      <w:r>
        <w:t xml:space="preserve">In the top-gene view shown in main-text Fig. 2a,b, which asks whether signature</w:t>
      </w:r>
      <w:r>
        <w:t xml:space="preserve"> </w:t>
      </w:r>
      <w:r>
        <w:t xml:space="preserve">genes are enriched among the 50 genes that define each factor, the</w:t>
      </w:r>
      <w:r>
        <w:t xml:space="preserve"> </w:t>
      </w:r>
      <w:r>
        <w:t xml:space="preserve">activated-stroma program is recovered comparably by all methods</w:t>
      </w:r>
      <w:r>
        <w:t xml:space="preserve"> </w:t>
      </w:r>
      <w:r>
        <w:t xml:space="preserve">(7, 6</w:t>
      </w:r>
      <w:r>
        <w:t xml:space="preserve"> </w:t>
      </w:r>
      <w:r>
        <w:t xml:space="preserve">and 10 of</w:t>
      </w:r>
      <w:r>
        <w:t xml:space="preserve"> </w:t>
      </w:r>
      <w:r>
        <w:t xml:space="preserve">206 genes for DeSurv, standard NMF and the</w:t>
      </w:r>
      <w:r>
        <w:t xml:space="preserve"> </w:t>
      </w:r>
      <w:r>
        <w:t xml:space="preserve">matched-budget control). The restraining-stroma programs behave differently:</w:t>
      </w:r>
      <w:r>
        <w:t xml:space="preserve"> </w:t>
      </w:r>
      <w:r>
        <w:t xml:space="preserve">2 of 25</w:t>
      </w:r>
      <w:r>
        <w:t xml:space="preserve"> </w:t>
      </w:r>
      <w:r>
        <w:t xml:space="preserve">restCAF genes and 2 of</w:t>
      </w:r>
      <w:r>
        <w:t xml:space="preserve"> </w:t>
      </w:r>
      <w:r>
        <w:t xml:space="preserve">35 iCAF genes appear among DeSurv’s defining genes,</w:t>
      </w:r>
      <w:r>
        <w:t xml:space="preserve"> </w:t>
      </w:r>
      <w:r>
        <w:t xml:space="preserve">against 0 and 0</w:t>
      </w:r>
      <w:r>
        <w:t xml:space="preserve"> </w:t>
      </w:r>
      <w:r>
        <w:t xml:space="preserve">for standard NMF. The proCAF programs, by contrast, are recovered comparably by</w:t>
      </w:r>
      <w:r>
        <w:t xml:space="preserve"> </w:t>
      </w:r>
      <w:r>
        <w:t xml:space="preserve">all methods (4 versus</w:t>
      </w:r>
      <w:r>
        <w:t xml:space="preserve"> </w:t>
      </w:r>
      <w:r>
        <w:t xml:space="preserve">3 of 25 genes).</w:t>
      </w:r>
    </w:p>
    <w:p>
      <w:pPr>
        <w:pStyle w:val="BodyText"/>
      </w:pPr>
      <w:r>
        <w:t xml:space="preserve">In the full-gene view, which correlates loadings across all 1,970 analysed genes</w:t>
      </w:r>
      <w:r>
        <w:t xml:space="preserve"> </w:t>
      </w:r>
      <w:r>
        <w:t xml:space="preserve">with signature membership,</w:t>
      </w:r>
      <w:r>
        <w:t xml:space="preserve"> </w:t>
      </w:r>
      <w:r>
        <w:rPr>
          <w:bCs/>
          <w:b/>
        </w:rPr>
        <w:t xml:space="preserve">no method separates restCAF from proCAF</w:t>
      </w:r>
      <w:r>
        <w:t xml:space="preserve">: every</w:t>
      </w:r>
      <w:r>
        <w:t xml:space="preserve"> </w:t>
      </w:r>
      <w:r>
        <w:t xml:space="preserve">correspondence lies between</w:t>
      </w:r>
      <w:r>
        <w:t xml:space="preserve"> </w:t>
      </w:r>
      <m:oMath>
        <m:r>
          <m:t>0.04</m:t>
        </m:r>
      </m:oMath>
      <w:r>
        <w:t xml:space="preserve"> </w:t>
      </w:r>
      <w:r>
        <w:t xml:space="preserve">and</w:t>
      </w:r>
      <w:r>
        <w:t xml:space="preserve"> </w:t>
      </w:r>
      <m:oMath>
        <m:r>
          <m:t>0.10</m:t>
        </m:r>
      </m:oMath>
      <w:r>
        <w:t xml:space="preserve">,</w:t>
      </w:r>
      <w:r>
        <w:t xml:space="preserve"> </w:t>
      </w:r>
      <w:r>
        <w:t xml:space="preserve">whereas the activated-stroma axis is recovered by all methods at</w:t>
      </w:r>
      <w:r>
        <w:t xml:space="preserve"> </w:t>
      </w:r>
      <m:oMath>
        <m:r>
          <m:t>0.19</m:t>
        </m:r>
      </m:oMath>
      <w:r>
        <w:t xml:space="preserve">. This view is far</w:t>
      </w:r>
      <w:r>
        <w:t xml:space="preserve"> </w:t>
      </w:r>
      <w:r>
        <w:t xml:space="preserve">more dilute for a 15–25 gene signature among 1,970 genes and correspondingly</w:t>
      </w:r>
      <w:r>
        <w:t xml:space="preserve"> </w:t>
      </w:r>
      <w:r>
        <w:t xml:space="preserve">low powered, but it bounds what can be claimed. We therefore report the</w:t>
      </w:r>
      <w:r>
        <w:t xml:space="preserve"> </w:t>
      </w:r>
      <w:r>
        <w:t xml:space="preserve">restraining-stroma difference as marker-gene presence among the defining genes</w:t>
      </w:r>
      <w:r>
        <w:t xml:space="preserve"> </w:t>
      </w:r>
      <w:r>
        <w:t xml:space="preserve">of each factorization, and do not claim to have resolved the single-cell CAF</w:t>
      </w:r>
      <w:r>
        <w:t xml:space="preserve"> </w:t>
      </w:r>
      <w:r>
        <w:t xml:space="preserve">states from bulk expression.</w:t>
      </w:r>
    </w:p>
    <w:p>
      <w:pPr>
        <w:pStyle w:val="BodyText"/>
      </w:pPr>
      <w:r>
        <w:t xml:space="preserve">Note also that the SCISSORS iCAF and myCAF reference signatures are displayed as</w:t>
      </w:r>
      <w:r>
        <w:t xml:space="preserve"> </w:t>
      </w:r>
      <w:r>
        <w:t xml:space="preserve">restCAF and proCAF in main-text Fig. 2, following the naming used by the DeCAF</w:t>
      </w:r>
      <w:r>
        <w:t xml:space="preserve"> </w:t>
      </w:r>
      <w:r>
        <w:t xml:space="preserve">classification; the underlying gene sets are the single-cell-derived ones.</w:t>
      </w:r>
    </w:p>
    <w:p>
      <w:pPr>
        <w:pStyle w:val="BodyText"/>
      </w:pPr>
      <w:r>
        <w:t xml:space="preserve">\subsection*{Matched-budget unsupervised control at the same rank}</w:t>
      </w:r>
    </w:p>
    <w:p>
      <w:pPr>
        <w:pStyle w:val="BodyText"/>
      </w:pPr>
      <w:r>
        <w:t xml:space="preserve">The matched-rank comparison in the main text uses Lee multiplicative NMF, which</w:t>
      </w:r>
      <w:r>
        <w:t xml:space="preserve"> </w:t>
      </w:r>
      <w:r>
        <w:t xml:space="preserve">receives neither DeSurv’s consensus initialization nor its hyperparameter</w:t>
      </w:r>
      <w:r>
        <w:t xml:space="preserve"> </w:t>
      </w:r>
      <w:r>
        <w:t xml:space="preserve">tuning. That asymmetry leaves open the reading that the difference in factor</w:t>
      </w:r>
      <w:r>
        <w:t xml:space="preserve"> </w:t>
      </w:r>
      <w:r>
        <w:t xml:space="preserve">structure reflects tuning effort rather than supervision. To close it, we fit a</w:t>
      </w:r>
      <w:r>
        <w:t xml:space="preserve"> </w:t>
      </w:r>
      <w:r>
        <w:t xml:space="preserve">second unsupervised model in which every element of the DeSurv procedure is held</w:t>
      </w:r>
      <w:r>
        <w:t xml:space="preserve"> </w:t>
      </w:r>
      <w:r>
        <w:t xml:space="preserve">fixed except supervision. Bayesian optimization was run with</w:t>
      </w:r>
      <w:r>
        <w:t xml:space="preserve"> </w:t>
      </w:r>
      <m:oMath>
        <m:r>
          <m:t>α</m:t>
        </m:r>
      </m:oMath>
      <w:r>
        <w:t xml:space="preserve"> </w:t>
      </w:r>
      <w:r>
        <w:t xml:space="preserve">pinned to</w:t>
      </w:r>
      <w:r>
        <w:t xml:space="preserve"> </w:t>
      </w:r>
      <m:oMath>
        <m:r>
          <m:t>0</m:t>
        </m:r>
      </m:oMath>
      <w:r>
        <w:t xml:space="preserve"> </w:t>
      </w:r>
      <w:r>
        <w:t xml:space="preserve">and the rank pinned to DeSurv’s selected</w:t>
      </w:r>
      <w:r>
        <w:t xml:space="preserve"> </w:t>
      </w:r>
      <m:oMath>
        <m:r>
          <m:t>k</m:t>
        </m:r>
        <m:r>
          <m:rPr>
            <m:sty m:val="p"/>
          </m:rPr>
          <m:t>=</m:t>
        </m:r>
        <m:r>
          <m:t>3</m:t>
        </m:r>
      </m:oMath>
      <w:r>
        <w:t xml:space="preserve">, using the same</w:t>
      </w:r>
      <w:r>
        <w:t xml:space="preserve"> </w:t>
      </w:r>
      <w:r>
        <w:t xml:space="preserve">optimizer (\texttt{desurv_cv_bayesopt_refine}), the same search budget, the</w:t>
      </w:r>
      <w:r>
        <w:t xml:space="preserve"> </w:t>
      </w:r>
      <w:r>
        <w:t xml:space="preserve">same gene filter and the same cross-validation folds; the resulting model was</w:t>
      </w:r>
      <w:r>
        <w:t xml:space="preserve"> </w:t>
      </w:r>
      <w:r>
        <w:t xml:space="preserve">then fit by the same 100-restart consensus procedure used for DeSurv</w:t>
      </w:r>
      <w:r>
        <w:t xml:space="preserve"> </w:t>
      </w:r>
      <w:r>
        <w:t xml:space="preserve">(\texttt{code/03} section 5, \texttt{code/04} sections 1d–1e). The control</w:t>
      </w:r>
      <w:r>
        <w:t xml:space="preserve"> </w:t>
      </w:r>
      <w:r>
        <w:t xml:space="preserve">selected</w:t>
      </w:r>
      <w:r>
        <w:t xml:space="preserve"> </w:t>
      </w:r>
      <m:oMath>
        <m:r>
          <m:t>λ</m:t>
        </m:r>
        <m:r>
          <m:rPr>
            <m:sty m:val="p"/>
          </m:rPr>
          <m:t>=</m:t>
        </m:r>
        <m:r>
          <m:t>0.0025</m:t>
        </m:r>
      </m:oMath>
      <w:r>
        <w:t xml:space="preserve">,</w:t>
      </w:r>
      <w:r>
        <w:t xml:space="preserve"> </w:t>
      </w:r>
      <m:oMath>
        <m:r>
          <m:t>ν</m:t>
        </m:r>
        <m:r>
          <m:rPr>
            <m:sty m:val="p"/>
          </m:rPr>
          <m:t>=</m:t>
        </m:r>
        <m:r>
          <m:t>0.0566</m:t>
        </m:r>
      </m:oMath>
      <w:r>
        <w:t xml:space="preserve"> </w:t>
      </w:r>
      <w:r>
        <w:t xml:space="preserve">and</w:t>
      </w:r>
      <w:r>
        <w:t xml:space="preserve"> </w:t>
      </w:r>
      <m:oMath>
        <m:sSub>
          <m:e>
            <m:r>
              <m:t>n</m:t>
            </m:r>
          </m:e>
          <m:sub>
            <m:r>
              <m:rPr>
                <m:nor/>
                <m:sty m:val="p"/>
              </m:rPr>
              <m:t>top</m:t>
            </m:r>
          </m:sub>
        </m:sSub>
        <m:r>
          <m:rPr>
            <m:sty m:val="p"/>
          </m:rPr>
          <m:t>=</m:t>
        </m:r>
        <m:r>
          <m:t>299</m:t>
        </m:r>
      </m:oMath>
      <w:r>
        <w:t xml:space="preserve">; note</w:t>
      </w:r>
      <w:r>
        <w:t xml:space="preserve"> </w:t>
      </w:r>
      <w:r>
        <w:t xml:space="preserve">that its gene support was selected at the upper bound of the search range</w:t>
      </w:r>
      <w:r>
        <w:t xml:space="preserve"> </w:t>
      </w:r>
      <w:r>
        <w:t xml:space="preserve">(</w:t>
      </w:r>
      <m:oMath>
        <m:r>
          <m:t>300</m:t>
        </m:r>
      </m:oMath>
      <w:r>
        <w:t xml:space="preserve">), whereas the supervised model settled at</w:t>
      </w:r>
      <w:r>
        <w:t xml:space="preserve"> </w:t>
      </w:r>
      <m:oMath>
        <m:sSub>
          <m:e>
            <m:r>
              <m:t>n</m:t>
            </m:r>
          </m:e>
          <m:sub>
            <m:r>
              <m:rPr>
                <m:nor/>
                <m:sty m:val="p"/>
              </m:rPr>
              <m:t>top</m:t>
            </m:r>
          </m:sub>
        </m:sSub>
        <m:r>
          <m:rPr>
            <m:sty m:val="p"/>
          </m:rPr>
          <m:t>=</m:t>
        </m:r>
        <m:r>
          <m:t>270</m:t>
        </m:r>
      </m:oMath>
      <w:r>
        <w:t xml:space="preserve"> </w:t>
      </w:r>
      <w:r>
        <w:t xml:space="preserve">well inside it. Because</w:t>
      </w:r>
      <w:r>
        <w:t xml:space="preserve"> </w:t>
      </w:r>
      <m:oMath>
        <m:r>
          <m:t>α</m:t>
        </m:r>
        <m:r>
          <m:rPr>
            <m:sty m:val="p"/>
          </m:rPr>
          <m:t>=</m:t>
        </m:r>
        <m:r>
          <m:t>0</m:t>
        </m:r>
      </m:oMath>
      <w:r>
        <w:t xml:space="preserve"> </w:t>
      </w:r>
      <w:r>
        <w:t xml:space="preserve">removes the</w:t>
      </w:r>
      <w:r>
        <w:t xml:space="preserve"> </w:t>
      </w:r>
      <w:r>
        <w:t xml:space="preserve">survival term, the selected</w:t>
      </w:r>
      <w:r>
        <w:t xml:space="preserve"> </w:t>
      </w:r>
      <m:oMath>
        <m:r>
          <m:t>λ</m:t>
        </m:r>
      </m:oMath>
      <w:r>
        <w:t xml:space="preserve"> </w:t>
      </w:r>
      <w:r>
        <w:t xml:space="preserve">is not comparable like-for-like with the</w:t>
      </w:r>
      <w:r>
        <w:t xml:space="preserve"> </w:t>
      </w:r>
      <w:r>
        <w:t xml:space="preserve">supervised model’s.</w:t>
      </w:r>
    </w:p>
    <w:p>
      <w:pPr>
        <w:pStyle w:val="BodyText"/>
      </w:pPr>
      <w:r>
        <w:t xml:space="preserve">The control does not recover D1. Its best-matching factor reaches Spearman</w:t>
      </w:r>
      <w:r>
        <w:t xml:space="preserve"> </w:t>
      </w:r>
      <m:oMath>
        <m:r>
          <m:t>ρ</m:t>
        </m:r>
        <m:r>
          <m:rPr>
            <m:sty m:val="p"/>
          </m:rPr>
          <m:t>=</m:t>
        </m:r>
        <m:r>
          <m:t>0.24</m:t>
        </m:r>
      </m:oMath>
      <w:r>
        <w:t xml:space="preserve"> </w:t>
      </w:r>
      <w:r>
        <w:t xml:space="preserve">against D1, slightly lower than the</w:t>
      </w:r>
      <w:r>
        <w:t xml:space="preserve"> </w:t>
      </w:r>
      <m:oMath>
        <m:r>
          <m:t>ρ</m:t>
        </m:r>
        <m:r>
          <m:rPr>
            <m:sty m:val="p"/>
          </m:rPr>
          <m:t>=</m:t>
        </m:r>
        <m:r>
          <m:t>0.36</m:t>
        </m:r>
      </m:oMath>
      <w:r>
        <w:t xml:space="preserve"> </w:t>
      </w:r>
      <w:r>
        <w:t xml:space="preserve">attained by \texttt{NMF::nmf} at the</w:t>
      </w:r>
      <w:r>
        <w:t xml:space="preserve"> </w:t>
      </w:r>
      <w:r>
        <w:t xml:space="preserve">same rank, while still recovering D2</w:t>
      </w:r>
      <w:r>
        <w:t xml:space="preserve"> </w:t>
      </w:r>
      <w:r>
        <w:t xml:space="preserve">(</w:t>
      </w:r>
      <m:oMath>
        <m:r>
          <m:t>ρ</m:t>
        </m:r>
        <m:r>
          <m:rPr>
            <m:sty m:val="p"/>
          </m:rPr>
          <m:t>=</m:t>
        </m:r>
        <m:r>
          <m:t>0.86</m:t>
        </m:r>
      </m:oMath>
      <w:r>
        <w:t xml:space="preserve">) and D3</w:t>
      </w:r>
      <w:r>
        <w:t xml:space="preserve"> </w:t>
      </w:r>
      <w:r>
        <w:t xml:space="preserve">(</w:t>
      </w:r>
      <m:oMath>
        <m:r>
          <m:t>ρ</m:t>
        </m:r>
        <m:r>
          <m:rPr>
            <m:sty m:val="p"/>
          </m:rPr>
          <m:t>=</m:t>
        </m:r>
        <m:r>
          <m:t>0.75</m:t>
        </m:r>
      </m:oMath>
      <w:r>
        <w:t xml:space="preserve">). Its external discrimination is</w:t>
      </w:r>
      <w:r>
        <w:t xml:space="preserve"> </w:t>
      </w:r>
      <w:r>
        <w:t xml:space="preserve">likewise no better than \texttt{NMF::nmf} at</w:t>
      </w:r>
      <w:r>
        <w:t xml:space="preserve"> </w:t>
      </w:r>
      <m:oMath>
        <m:r>
          <m:t>k</m:t>
        </m:r>
        <m:r>
          <m:rPr>
            <m:sty m:val="p"/>
          </m:rPr>
          <m:t>=</m:t>
        </m:r>
        <m:r>
          <m:t>3</m:t>
        </m:r>
      </m:oMath>
      <w:r>
        <w:t xml:space="preserve"> </w:t>
      </w:r>
      <w:r>
        <w:t xml:space="preserve">(Table [tab:tab-cindex-comparison]). A sensitivity analysis holding the</w:t>
      </w:r>
      <w:r>
        <w:t xml:space="preserve"> </w:t>
      </w:r>
      <w:r>
        <w:t xml:space="preserve">supervised model’s own</w:t>
      </w:r>
      <w:r>
        <w:t xml:space="preserve"> </w:t>
      </w:r>
      <m:oMath>
        <m:r>
          <m:t>λ</m:t>
        </m:r>
      </m:oMath>
      <w:r>
        <w:t xml:space="preserve">,</w:t>
      </w:r>
      <w:r>
        <w:t xml:space="preserve"> </w:t>
      </w:r>
      <m:oMath>
        <m:r>
          <m:t>ν</m:t>
        </m:r>
      </m:oMath>
      <w:r>
        <w:t xml:space="preserve"> </w:t>
      </w:r>
      <w:r>
        <w:t xml:space="preserve">and</w:t>
      </w:r>
      <w:r>
        <w:t xml:space="preserve"> </w:t>
      </w:r>
      <m:oMath>
        <m:sSub>
          <m:e>
            <m:r>
              <m:t>n</m:t>
            </m:r>
          </m:e>
          <m:sub>
            <m:r>
              <m:rPr>
                <m:nor/>
                <m:sty m:val="p"/>
              </m:rPr>
              <m:t>top</m:t>
            </m:r>
          </m:sub>
        </m:sSub>
      </m:oMath>
      <w:r>
        <w:t xml:space="preserve"> </w:t>
      </w:r>
      <w:r>
        <w:t xml:space="preserve">fixed and varying</w:t>
      </w:r>
      <w:r>
        <w:t xml:space="preserve"> </w:t>
      </w:r>
      <w:r>
        <w:t xml:space="preserve">only</w:t>
      </w:r>
      <w:r>
        <w:t xml:space="preserve"> </w:t>
      </w:r>
      <m:oMath>
        <m:r>
          <m:t>α</m:t>
        </m:r>
      </m:oMath>
      <w:r>
        <w:t xml:space="preserve"> </w:t>
      </w:r>
      <w:r>
        <w:t xml:space="preserve">gave the same conclusion. Matching the tuning budget therefore</w:t>
      </w:r>
      <w:r>
        <w:t xml:space="preserve"> </w:t>
      </w:r>
      <w:r>
        <w:t xml:space="preserve">does not close the representational gap, and the reorganization reported in the</w:t>
      </w:r>
      <w:r>
        <w:t xml:space="preserve"> </w:t>
      </w:r>
      <w:r>
        <w:t xml:space="preserve">main text is attributable to supervision rather than to computational effort.</w:t>
      </w:r>
    </w:p>
    <w:p>
      <w:pPr>
        <w:pStyle w:val="BodyText"/>
      </w:pPr>
      <w:r>
        <w:t xml:space="preserve">Standard NMF at elbow-selected</w:t>
      </w:r>
      <w:r>
        <w:t xml:space="preserve"> </w:t>
      </w:r>
      <m:oMath>
        <m:r>
          <m:t>k</m:t>
        </m:r>
        <m:r>
          <m:rPr>
            <m:sty m:val="p"/>
          </m:rPr>
          <m:t>=</m:t>
        </m:r>
        <m:r>
          <m:t>5</m:t>
        </m:r>
      </m:oMath>
      <w:r>
        <w:t xml:space="preserve"> </w:t>
      </w:r>
      <w:r>
        <w:t xml:space="preserve">and BO-selected</w:t>
      </w:r>
      <w:r>
        <w:t xml:space="preserve"> </w:t>
      </w:r>
      <m:oMath>
        <m:r>
          <m:t>k</m:t>
        </m:r>
        <m:r>
          <m:rPr>
            <m:sty m:val="p"/>
          </m:rPr>
          <m:t>=</m:t>
        </m:r>
        <m:r>
          <m:t>7</m:t>
        </m:r>
      </m:oMath>
      <w:r>
        <w:t xml:space="preserve"> </w:t>
      </w:r>
      <w:r>
        <w:t xml:space="preserve">both substantially improve over NMF at</w:t>
      </w:r>
      <w:r>
        <w:t xml:space="preserve"> </w:t>
      </w:r>
      <m:oMath>
        <m:r>
          <m:t>k</m:t>
        </m:r>
        <m:r>
          <m:rPr>
            <m:sty m:val="p"/>
          </m:rPr>
          <m:t>=</m:t>
        </m:r>
        <m:r>
          <m:t>3</m:t>
        </m:r>
      </m:oMath>
      <w:r>
        <w:t xml:space="preserve"> </w:t>
      </w:r>
      <w:r>
        <w:t xml:space="preserve">across all cohorts (Table [tab:tab-cindex-comparison]); additional unsupervised factors capture prognostically relevant variation missed at the matched rank. At</w:t>
      </w:r>
      <w:r>
        <w:t xml:space="preserve"> </w:t>
      </w:r>
      <m:oMath>
        <m:r>
          <m:t>k</m:t>
        </m:r>
        <m:r>
          <m:rPr>
            <m:sty m:val="p"/>
          </m:rPr>
          <m:t>=</m:t>
        </m:r>
        <m:r>
          <m:t>7</m:t>
        </m:r>
      </m:oMath>
      <w:r>
        <w:t xml:space="preserve">, NMF matches or exceeds DeSurv’s per-cohort C-index in most cohorts, indicating that unsupervised factorization can approach supervised concordance given enough factors. This comes at the cost of a less parsimonious and less interpretable factorization: the</w:t>
      </w:r>
      <w:r>
        <w:t xml:space="preserve"> </w:t>
      </w:r>
      <m:oMath>
        <m:r>
          <m:t>k</m:t>
        </m:r>
        <m:r>
          <m:rPr>
            <m:sty m:val="p"/>
          </m:rPr>
          <m:t>=</m:t>
        </m:r>
        <m:r>
          <m:t>7</m:t>
        </m:r>
      </m:oMath>
      <w:r>
        <w:t xml:space="preserve"> </w:t>
      </w:r>
      <w:r>
        <w:t xml:space="preserve">NMF solution shows increased fragmentation (Fig. [fig:fig-nmf-k7-heatmap]), distributing the same prognostic signal across a rank-sensitive set of overlapping factors rather than concentrating it. The DeSurv linear predictor, by contrast, retains significant prognostic value after adjustment for established classifiers with only three factors (main-text Table [tab:hr-adjusted]).</w:t>
      </w:r>
    </w:p>
    <w:p>
      <w:pPr>
        <w:pStyle w:val="BodyText"/>
      </w:pPr>
      <w:r>
        <w:t xml:space="preserve">\section*{Supplementary Data: factor-specific gene lists}</w:t>
      </w:r>
      <w:r>
        <w:t xml:space="preserve"> </w:t>
      </w:r>
      <w:r>
        <w:t xml:space="preserve">\addcontentsline{toc}{section}{Supplementary Data: factor-specific gene lists}</w:t>
      </w:r>
    </w:p>
    <w:p>
      <w:pPr>
        <w:pStyle w:val="BodyText"/>
      </w:pPr>
      <w:r>
        <w:t xml:space="preserve">As Supplementary Data, Tables [tab:gene-list-270-D1]–[tab:gene-list-270-D3] list the top 270 genes for each of the three DeSurv factors, ranked by the factor specificity score</w:t>
      </w:r>
      <w:r>
        <w:t xml:space="preserve"> </w:t>
      </w:r>
      <m:oMath>
        <m:sSub>
          <m:e>
            <m:r>
              <m:t>s</m:t>
            </m:r>
          </m:e>
          <m:sub>
            <m:r>
              <m:t>i</m:t>
            </m:r>
            <m:r>
              <m:t>j</m:t>
            </m:r>
          </m:sub>
        </m:sSub>
      </m:oMath>
      <w:r>
        <w:t xml:space="preserve"> </w:t>
      </w:r>
      <w:r>
        <w:t xml:space="preserve">defined in Supplementary Information, Section [sec:gene-program-correlation]. The 270-gene cutoff corresponds to the Bayesian optimization–selected projection dimension (</w:t>
      </w:r>
      <m:oMath>
        <m:sSub>
          <m:e>
            <m:r>
              <m:t>n</m:t>
            </m:r>
          </m:e>
          <m:sub>
            <m:r>
              <m:rPr>
                <m:nor/>
                <m:sty m:val="p"/>
              </m:rPr>
              <m:t>top</m:t>
            </m:r>
          </m:sub>
        </m:sSub>
        <m:r>
          <m:rPr>
            <m:sty m:val="p"/>
          </m:rPr>
          <m:t>=</m:t>
        </m:r>
        <m:r>
          <m:t>270</m:t>
        </m:r>
      </m:oMath>
      <w:r>
        <w:t xml:space="preserve">); these are the genes used to compute sample-level factor scores for survival prediction. Factor D1 is enriched for classical tumor and restCAF-like stromal genes, Factor D2 for proCAF-associated stromal genes, and Factor D3 for basal-like tumor genes.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rPr>
                <w:bCs/>
                <w:b/>
              </w:rPr>
              <w:t xml:space="preserve">Factor D1 (classical tumor + restCAF-like stroma)</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1–45</w:t>
            </w:r>
          </w:p>
        </w:tc>
        <w:tc>
          <w:tcPr/>
          <w:p>
            <w:pPr>
              <w:pStyle w:val="Compact"/>
              <w:jc w:val="left"/>
            </w:pPr>
            <w:r>
              <w:t xml:space="preserve">46–90</w:t>
            </w:r>
          </w:p>
        </w:tc>
        <w:tc>
          <w:tcPr/>
          <w:p>
            <w:pPr>
              <w:pStyle w:val="Compact"/>
              <w:jc w:val="left"/>
            </w:pPr>
            <w:r>
              <w:t xml:space="preserve">91–135</w:t>
            </w:r>
          </w:p>
        </w:tc>
        <w:tc>
          <w:tcPr/>
          <w:p>
            <w:pPr>
              <w:pStyle w:val="Compact"/>
              <w:jc w:val="left"/>
            </w:pPr>
            <w:r>
              <w:t xml:space="preserve">136–180</w:t>
            </w:r>
          </w:p>
        </w:tc>
        <w:tc>
          <w:tcPr/>
          <w:p>
            <w:pPr>
              <w:pStyle w:val="Compact"/>
              <w:jc w:val="left"/>
            </w:pPr>
            <w:r>
              <w:t xml:space="preserve">181–225</w:t>
            </w:r>
          </w:p>
        </w:tc>
        <w:tc>
          <w:tcPr/>
          <w:p>
            <w:pPr>
              <w:pStyle w:val="Compact"/>
              <w:jc w:val="left"/>
            </w:pPr>
            <w:r>
              <w:t xml:space="preserve">226–270</w:t>
            </w:r>
          </w:p>
        </w:tc>
      </w:tr>
      <w:tr>
        <w:tc>
          <w:tcPr/>
          <w:p>
            <w:pPr>
              <w:pStyle w:val="Compact"/>
              <w:jc w:val="left"/>
            </w:pPr>
            <w:r>
              <w:t xml:space="preserve">DMBT1</w:t>
            </w:r>
          </w:p>
        </w:tc>
        <w:tc>
          <w:tcPr/>
          <w:p>
            <w:pPr>
              <w:pStyle w:val="Compact"/>
              <w:jc w:val="left"/>
            </w:pPr>
            <w:r>
              <w:t xml:space="preserve">FGFR2</w:t>
            </w:r>
          </w:p>
        </w:tc>
        <w:tc>
          <w:tcPr/>
          <w:p>
            <w:pPr>
              <w:pStyle w:val="Compact"/>
              <w:jc w:val="left"/>
            </w:pPr>
            <w:r>
              <w:t xml:space="preserve">GOLGA8A</w:t>
            </w:r>
          </w:p>
        </w:tc>
        <w:tc>
          <w:tcPr/>
          <w:p>
            <w:pPr>
              <w:pStyle w:val="Compact"/>
              <w:jc w:val="left"/>
            </w:pPr>
            <w:r>
              <w:t xml:space="preserve">PTPRN2</w:t>
            </w:r>
          </w:p>
        </w:tc>
        <w:tc>
          <w:tcPr/>
          <w:p>
            <w:pPr>
              <w:pStyle w:val="Compact"/>
              <w:jc w:val="left"/>
            </w:pPr>
            <w:r>
              <w:t xml:space="preserve">RPL9</w:t>
            </w:r>
          </w:p>
        </w:tc>
        <w:tc>
          <w:tcPr/>
          <w:p>
            <w:pPr>
              <w:pStyle w:val="Compact"/>
              <w:jc w:val="left"/>
            </w:pPr>
            <w:r>
              <w:t xml:space="preserve">PPP1R12B</w:t>
            </w:r>
          </w:p>
        </w:tc>
      </w:tr>
      <w:tr>
        <w:tc>
          <w:tcPr/>
          <w:p>
            <w:pPr>
              <w:pStyle w:val="Compact"/>
              <w:jc w:val="left"/>
            </w:pPr>
            <w:r>
              <w:t xml:space="preserve">IGFBP2</w:t>
            </w:r>
          </w:p>
        </w:tc>
        <w:tc>
          <w:tcPr/>
          <w:p>
            <w:pPr>
              <w:pStyle w:val="Compact"/>
              <w:jc w:val="left"/>
            </w:pPr>
            <w:r>
              <w:t xml:space="preserve">COL9A2</w:t>
            </w:r>
          </w:p>
        </w:tc>
        <w:tc>
          <w:tcPr/>
          <w:p>
            <w:pPr>
              <w:pStyle w:val="Compact"/>
              <w:jc w:val="left"/>
            </w:pPr>
            <w:r>
              <w:t xml:space="preserve">IL2RG</w:t>
            </w:r>
          </w:p>
        </w:tc>
        <w:tc>
          <w:tcPr/>
          <w:p>
            <w:pPr>
              <w:pStyle w:val="Compact"/>
              <w:jc w:val="left"/>
            </w:pPr>
            <w:r>
              <w:t xml:space="preserve">FCGBP</w:t>
            </w:r>
          </w:p>
        </w:tc>
        <w:tc>
          <w:tcPr/>
          <w:p>
            <w:pPr>
              <w:pStyle w:val="Compact"/>
              <w:jc w:val="left"/>
            </w:pPr>
            <w:r>
              <w:t xml:space="preserve">CD79A</w:t>
            </w:r>
          </w:p>
        </w:tc>
        <w:tc>
          <w:tcPr/>
          <w:p>
            <w:pPr>
              <w:pStyle w:val="Compact"/>
              <w:jc w:val="left"/>
            </w:pPr>
            <w:r>
              <w:t xml:space="preserve">PIP5K1B</w:t>
            </w:r>
          </w:p>
        </w:tc>
      </w:tr>
      <w:tr>
        <w:tc>
          <w:tcPr/>
          <w:p>
            <w:pPr>
              <w:pStyle w:val="Compact"/>
              <w:jc w:val="left"/>
            </w:pPr>
            <w:r>
              <w:t xml:space="preserve">S100A4</w:t>
            </w:r>
          </w:p>
        </w:tc>
        <w:tc>
          <w:tcPr/>
          <w:p>
            <w:pPr>
              <w:pStyle w:val="Compact"/>
              <w:jc w:val="left"/>
            </w:pPr>
            <w:r>
              <w:t xml:space="preserve">COL22A1</w:t>
            </w:r>
          </w:p>
        </w:tc>
        <w:tc>
          <w:tcPr/>
          <w:p>
            <w:pPr>
              <w:pStyle w:val="Compact"/>
              <w:jc w:val="left"/>
            </w:pPr>
            <w:r>
              <w:t xml:space="preserve">KIAA1211</w:t>
            </w:r>
          </w:p>
        </w:tc>
        <w:tc>
          <w:tcPr/>
          <w:p>
            <w:pPr>
              <w:pStyle w:val="Compact"/>
              <w:jc w:val="left"/>
            </w:pPr>
            <w:r>
              <w:t xml:space="preserve">PLA2G2A</w:t>
            </w:r>
          </w:p>
        </w:tc>
        <w:tc>
          <w:tcPr/>
          <w:p>
            <w:pPr>
              <w:pStyle w:val="Compact"/>
              <w:jc w:val="left"/>
            </w:pPr>
            <w:r>
              <w:t xml:space="preserve">PROM1</w:t>
            </w:r>
          </w:p>
        </w:tc>
        <w:tc>
          <w:tcPr/>
          <w:p>
            <w:pPr>
              <w:pStyle w:val="Compact"/>
              <w:jc w:val="left"/>
            </w:pPr>
            <w:r>
              <w:t xml:space="preserve">AHCYL2</w:t>
            </w:r>
          </w:p>
        </w:tc>
      </w:tr>
      <w:tr>
        <w:tc>
          <w:tcPr/>
          <w:p>
            <w:pPr>
              <w:pStyle w:val="Compact"/>
              <w:jc w:val="left"/>
            </w:pPr>
            <w:r>
              <w:t xml:space="preserve">KRT23</w:t>
            </w:r>
          </w:p>
        </w:tc>
        <w:tc>
          <w:tcPr/>
          <w:p>
            <w:pPr>
              <w:pStyle w:val="Compact"/>
              <w:jc w:val="left"/>
            </w:pPr>
            <w:r>
              <w:t xml:space="preserve">IRF7</w:t>
            </w:r>
          </w:p>
        </w:tc>
        <w:tc>
          <w:tcPr/>
          <w:p>
            <w:pPr>
              <w:pStyle w:val="Compact"/>
              <w:jc w:val="left"/>
            </w:pPr>
            <w:r>
              <w:t xml:space="preserve">SFRP1</w:t>
            </w:r>
          </w:p>
        </w:tc>
        <w:tc>
          <w:tcPr/>
          <w:p>
            <w:pPr>
              <w:pStyle w:val="Compact"/>
              <w:jc w:val="left"/>
            </w:pPr>
            <w:r>
              <w:t xml:space="preserve">FABP4</w:t>
            </w:r>
          </w:p>
        </w:tc>
        <w:tc>
          <w:tcPr/>
          <w:p>
            <w:pPr>
              <w:pStyle w:val="Compact"/>
              <w:jc w:val="left"/>
            </w:pPr>
            <w:r>
              <w:t xml:space="preserve">SCD</w:t>
            </w:r>
          </w:p>
        </w:tc>
        <w:tc>
          <w:tcPr/>
          <w:p>
            <w:pPr>
              <w:pStyle w:val="Compact"/>
              <w:jc w:val="left"/>
            </w:pPr>
            <w:r>
              <w:t xml:space="preserve">SST</w:t>
            </w:r>
          </w:p>
        </w:tc>
      </w:tr>
      <w:tr>
        <w:tc>
          <w:tcPr/>
          <w:p>
            <w:pPr>
              <w:pStyle w:val="Compact"/>
              <w:jc w:val="left"/>
            </w:pPr>
            <w:r>
              <w:t xml:space="preserve">LIF</w:t>
            </w:r>
          </w:p>
        </w:tc>
        <w:tc>
          <w:tcPr/>
          <w:p>
            <w:pPr>
              <w:pStyle w:val="Compact"/>
              <w:jc w:val="left"/>
            </w:pPr>
            <w:r>
              <w:t xml:space="preserve">SBNO2</w:t>
            </w:r>
          </w:p>
        </w:tc>
        <w:tc>
          <w:tcPr/>
          <w:p>
            <w:pPr>
              <w:pStyle w:val="Compact"/>
              <w:jc w:val="left"/>
            </w:pPr>
            <w:r>
              <w:t xml:space="preserve">ADH1B</w:t>
            </w:r>
          </w:p>
        </w:tc>
        <w:tc>
          <w:tcPr/>
          <w:p>
            <w:pPr>
              <w:pStyle w:val="Compact"/>
              <w:jc w:val="left"/>
            </w:pPr>
            <w:r>
              <w:t xml:space="preserve">EPPK1</w:t>
            </w:r>
          </w:p>
        </w:tc>
        <w:tc>
          <w:tcPr/>
          <w:p>
            <w:pPr>
              <w:pStyle w:val="Compact"/>
              <w:jc w:val="left"/>
            </w:pPr>
            <w:r>
              <w:t xml:space="preserve">TMC5</w:t>
            </w:r>
          </w:p>
        </w:tc>
        <w:tc>
          <w:tcPr/>
          <w:p>
            <w:pPr>
              <w:pStyle w:val="Compact"/>
              <w:jc w:val="left"/>
            </w:pPr>
            <w:r>
              <w:t xml:space="preserve">CYP3A5</w:t>
            </w:r>
          </w:p>
        </w:tc>
      </w:tr>
      <w:tr>
        <w:tc>
          <w:tcPr/>
          <w:p>
            <w:pPr>
              <w:pStyle w:val="Compact"/>
              <w:jc w:val="left"/>
            </w:pPr>
            <w:r>
              <w:t xml:space="preserve">IFI6</w:t>
            </w:r>
          </w:p>
        </w:tc>
        <w:tc>
          <w:tcPr/>
          <w:p>
            <w:pPr>
              <w:pStyle w:val="Compact"/>
              <w:jc w:val="left"/>
            </w:pPr>
            <w:r>
              <w:t xml:space="preserve">MGAT3</w:t>
            </w:r>
          </w:p>
        </w:tc>
        <w:tc>
          <w:tcPr/>
          <w:p>
            <w:pPr>
              <w:pStyle w:val="Compact"/>
              <w:jc w:val="left"/>
            </w:pPr>
            <w:r>
              <w:t xml:space="preserve">MFSD2A</w:t>
            </w:r>
          </w:p>
        </w:tc>
        <w:tc>
          <w:tcPr/>
          <w:p>
            <w:pPr>
              <w:pStyle w:val="Compact"/>
              <w:jc w:val="left"/>
            </w:pPr>
            <w:r>
              <w:t xml:space="preserve">CPXM2</w:t>
            </w:r>
          </w:p>
        </w:tc>
        <w:tc>
          <w:tcPr/>
          <w:p>
            <w:pPr>
              <w:pStyle w:val="Compact"/>
              <w:jc w:val="left"/>
            </w:pPr>
            <w:r>
              <w:t xml:space="preserve">CCL14</w:t>
            </w:r>
          </w:p>
        </w:tc>
        <w:tc>
          <w:tcPr/>
          <w:p>
            <w:pPr>
              <w:pStyle w:val="Compact"/>
              <w:jc w:val="left"/>
            </w:pPr>
            <w:r>
              <w:t xml:space="preserve">SMAP2</w:t>
            </w:r>
          </w:p>
        </w:tc>
      </w:tr>
      <w:tr>
        <w:tc>
          <w:tcPr/>
          <w:p>
            <w:pPr>
              <w:pStyle w:val="Compact"/>
              <w:jc w:val="left"/>
            </w:pPr>
            <w:r>
              <w:t xml:space="preserve">PDLIM3</w:t>
            </w:r>
          </w:p>
        </w:tc>
        <w:tc>
          <w:tcPr/>
          <w:p>
            <w:pPr>
              <w:pStyle w:val="Compact"/>
              <w:jc w:val="left"/>
            </w:pPr>
            <w:r>
              <w:t xml:space="preserve">SYNM</w:t>
            </w:r>
          </w:p>
        </w:tc>
        <w:tc>
          <w:tcPr/>
          <w:p>
            <w:pPr>
              <w:pStyle w:val="Compact"/>
              <w:jc w:val="left"/>
            </w:pPr>
            <w:r>
              <w:t xml:space="preserve">CLU</w:t>
            </w:r>
          </w:p>
        </w:tc>
        <w:tc>
          <w:tcPr/>
          <w:p>
            <w:pPr>
              <w:pStyle w:val="Compact"/>
              <w:jc w:val="left"/>
            </w:pPr>
            <w:r>
              <w:t xml:space="preserve">KIF1A</w:t>
            </w:r>
          </w:p>
        </w:tc>
        <w:tc>
          <w:tcPr/>
          <w:p>
            <w:pPr>
              <w:pStyle w:val="Compact"/>
              <w:jc w:val="left"/>
            </w:pPr>
            <w:r>
              <w:t xml:space="preserve">PLXNB1</w:t>
            </w:r>
          </w:p>
        </w:tc>
        <w:tc>
          <w:tcPr/>
          <w:p>
            <w:pPr>
              <w:pStyle w:val="Compact"/>
              <w:jc w:val="left"/>
            </w:pPr>
            <w:r>
              <w:t xml:space="preserve">ZG16B</w:t>
            </w:r>
          </w:p>
        </w:tc>
      </w:tr>
      <w:tr>
        <w:tc>
          <w:tcPr/>
          <w:p>
            <w:pPr>
              <w:pStyle w:val="Compact"/>
              <w:jc w:val="left"/>
            </w:pPr>
            <w:r>
              <w:t xml:space="preserve">CLDN18</w:t>
            </w:r>
          </w:p>
        </w:tc>
        <w:tc>
          <w:tcPr/>
          <w:p>
            <w:pPr>
              <w:pStyle w:val="Compact"/>
              <w:jc w:val="left"/>
            </w:pPr>
            <w:r>
              <w:t xml:space="preserve">APOD</w:t>
            </w:r>
          </w:p>
        </w:tc>
        <w:tc>
          <w:tcPr/>
          <w:p>
            <w:pPr>
              <w:pStyle w:val="Compact"/>
              <w:jc w:val="left"/>
            </w:pPr>
            <w:r>
              <w:t xml:space="preserve">CLMN</w:t>
            </w:r>
          </w:p>
        </w:tc>
        <w:tc>
          <w:tcPr/>
          <w:p>
            <w:pPr>
              <w:pStyle w:val="Compact"/>
              <w:jc w:val="left"/>
            </w:pPr>
            <w:r>
              <w:t xml:space="preserve">NGFR</w:t>
            </w:r>
          </w:p>
        </w:tc>
        <w:tc>
          <w:tcPr/>
          <w:p>
            <w:pPr>
              <w:pStyle w:val="Compact"/>
              <w:jc w:val="left"/>
            </w:pPr>
            <w:r>
              <w:t xml:space="preserve">TMEM119</w:t>
            </w:r>
          </w:p>
        </w:tc>
        <w:tc>
          <w:tcPr/>
          <w:p>
            <w:pPr>
              <w:pStyle w:val="Compact"/>
              <w:jc w:val="left"/>
            </w:pPr>
            <w:r>
              <w:t xml:space="preserve">SERPINF1</w:t>
            </w:r>
          </w:p>
        </w:tc>
      </w:tr>
      <w:tr>
        <w:tc>
          <w:tcPr/>
          <w:p>
            <w:pPr>
              <w:pStyle w:val="Compact"/>
              <w:jc w:val="left"/>
            </w:pPr>
            <w:r>
              <w:t xml:space="preserve">MYO15B</w:t>
            </w:r>
          </w:p>
        </w:tc>
        <w:tc>
          <w:tcPr/>
          <w:p>
            <w:pPr>
              <w:pStyle w:val="Compact"/>
              <w:jc w:val="left"/>
            </w:pPr>
            <w:r>
              <w:t xml:space="preserve">SEMA6A</w:t>
            </w:r>
          </w:p>
        </w:tc>
        <w:tc>
          <w:tcPr/>
          <w:p>
            <w:pPr>
              <w:pStyle w:val="Compact"/>
              <w:jc w:val="left"/>
            </w:pPr>
            <w:r>
              <w:t xml:space="preserve">CHPF</w:t>
            </w:r>
          </w:p>
        </w:tc>
        <w:tc>
          <w:tcPr/>
          <w:p>
            <w:pPr>
              <w:pStyle w:val="Compact"/>
              <w:jc w:val="left"/>
            </w:pPr>
            <w:r>
              <w:t xml:space="preserve">NFKBIA</w:t>
            </w:r>
          </w:p>
        </w:tc>
        <w:tc>
          <w:tcPr/>
          <w:p>
            <w:pPr>
              <w:pStyle w:val="Compact"/>
              <w:jc w:val="left"/>
            </w:pPr>
            <w:r>
              <w:t xml:space="preserve">SORBS2</w:t>
            </w:r>
          </w:p>
        </w:tc>
        <w:tc>
          <w:tcPr/>
          <w:p>
            <w:pPr>
              <w:pStyle w:val="Compact"/>
              <w:jc w:val="left"/>
            </w:pPr>
            <w:r>
              <w:t xml:space="preserve">CLDN3</w:t>
            </w:r>
          </w:p>
        </w:tc>
      </w:tr>
      <w:tr>
        <w:tc>
          <w:tcPr/>
          <w:p>
            <w:pPr>
              <w:pStyle w:val="Compact"/>
              <w:jc w:val="left"/>
            </w:pPr>
            <w:r>
              <w:t xml:space="preserve">SYT8</w:t>
            </w:r>
          </w:p>
        </w:tc>
        <w:tc>
          <w:tcPr/>
          <w:p>
            <w:pPr>
              <w:pStyle w:val="Compact"/>
              <w:jc w:val="left"/>
            </w:pPr>
            <w:r>
              <w:t xml:space="preserve">TNXB</w:t>
            </w:r>
          </w:p>
        </w:tc>
        <w:tc>
          <w:tcPr/>
          <w:p>
            <w:pPr>
              <w:pStyle w:val="Compact"/>
              <w:jc w:val="left"/>
            </w:pPr>
            <w:r>
              <w:t xml:space="preserve">MTMR11</w:t>
            </w:r>
          </w:p>
        </w:tc>
        <w:tc>
          <w:tcPr/>
          <w:p>
            <w:pPr>
              <w:pStyle w:val="Compact"/>
              <w:jc w:val="left"/>
            </w:pPr>
            <w:r>
              <w:t xml:space="preserve">SPOCK2</w:t>
            </w:r>
          </w:p>
        </w:tc>
        <w:tc>
          <w:tcPr/>
          <w:p>
            <w:pPr>
              <w:pStyle w:val="Compact"/>
              <w:jc w:val="left"/>
            </w:pPr>
            <w:r>
              <w:t xml:space="preserve">C7</w:t>
            </w:r>
          </w:p>
        </w:tc>
        <w:tc>
          <w:tcPr/>
          <w:p>
            <w:pPr>
              <w:pStyle w:val="Compact"/>
              <w:jc w:val="left"/>
            </w:pPr>
            <w:r>
              <w:t xml:space="preserve">NR1I2</w:t>
            </w:r>
          </w:p>
        </w:tc>
      </w:tr>
      <w:tr>
        <w:tc>
          <w:tcPr/>
          <w:p>
            <w:pPr>
              <w:pStyle w:val="Compact"/>
              <w:jc w:val="left"/>
            </w:pPr>
            <w:r>
              <w:t xml:space="preserve">TFF2</w:t>
            </w:r>
          </w:p>
        </w:tc>
        <w:tc>
          <w:tcPr/>
          <w:p>
            <w:pPr>
              <w:pStyle w:val="Compact"/>
              <w:jc w:val="left"/>
            </w:pPr>
            <w:r>
              <w:t xml:space="preserve">PTGIS</w:t>
            </w:r>
          </w:p>
        </w:tc>
        <w:tc>
          <w:tcPr/>
          <w:p>
            <w:pPr>
              <w:pStyle w:val="Compact"/>
              <w:jc w:val="left"/>
            </w:pPr>
            <w:r>
              <w:t xml:space="preserve">TTR</w:t>
            </w:r>
          </w:p>
        </w:tc>
        <w:tc>
          <w:tcPr/>
          <w:p>
            <w:pPr>
              <w:pStyle w:val="Compact"/>
              <w:jc w:val="left"/>
            </w:pPr>
            <w:r>
              <w:t xml:space="preserve">ATP2C2</w:t>
            </w:r>
          </w:p>
        </w:tc>
        <w:tc>
          <w:tcPr/>
          <w:p>
            <w:pPr>
              <w:pStyle w:val="Compact"/>
              <w:jc w:val="left"/>
            </w:pPr>
            <w:r>
              <w:t xml:space="preserve">SLC12A7</w:t>
            </w:r>
          </w:p>
        </w:tc>
        <w:tc>
          <w:tcPr/>
          <w:p>
            <w:pPr>
              <w:pStyle w:val="Compact"/>
              <w:jc w:val="left"/>
            </w:pPr>
            <w:r>
              <w:t xml:space="preserve">JUND</w:t>
            </w:r>
          </w:p>
        </w:tc>
      </w:tr>
      <w:tr>
        <w:tc>
          <w:tcPr/>
          <w:p>
            <w:pPr>
              <w:pStyle w:val="Compact"/>
              <w:jc w:val="left"/>
            </w:pPr>
            <w:r>
              <w:t xml:space="preserve">TMPRSS2</w:t>
            </w:r>
          </w:p>
        </w:tc>
        <w:tc>
          <w:tcPr/>
          <w:p>
            <w:pPr>
              <w:pStyle w:val="Compact"/>
              <w:jc w:val="left"/>
            </w:pPr>
            <w:r>
              <w:t xml:space="preserve">CCL18</w:t>
            </w:r>
          </w:p>
        </w:tc>
        <w:tc>
          <w:tcPr/>
          <w:p>
            <w:pPr>
              <w:pStyle w:val="Compact"/>
              <w:jc w:val="left"/>
            </w:pPr>
            <w:r>
              <w:t xml:space="preserve">WFDC2</w:t>
            </w:r>
          </w:p>
        </w:tc>
        <w:tc>
          <w:tcPr/>
          <w:p>
            <w:pPr>
              <w:pStyle w:val="Compact"/>
              <w:jc w:val="left"/>
            </w:pPr>
            <w:r>
              <w:t xml:space="preserve">NBEAL2</w:t>
            </w:r>
          </w:p>
        </w:tc>
        <w:tc>
          <w:tcPr/>
          <w:p>
            <w:pPr>
              <w:pStyle w:val="Compact"/>
              <w:jc w:val="left"/>
            </w:pPr>
            <w:r>
              <w:t xml:space="preserve">QSOX1</w:t>
            </w:r>
          </w:p>
        </w:tc>
        <w:tc>
          <w:tcPr/>
          <w:p>
            <w:pPr>
              <w:pStyle w:val="Compact"/>
              <w:jc w:val="left"/>
            </w:pPr>
            <w:r>
              <w:t xml:space="preserve">NCF2</w:t>
            </w:r>
          </w:p>
        </w:tc>
      </w:tr>
      <w:tr>
        <w:tc>
          <w:tcPr/>
          <w:p>
            <w:pPr>
              <w:pStyle w:val="Compact"/>
              <w:jc w:val="left"/>
            </w:pPr>
            <w:r>
              <w:t xml:space="preserve">CHGB</w:t>
            </w:r>
          </w:p>
        </w:tc>
        <w:tc>
          <w:tcPr/>
          <w:p>
            <w:pPr>
              <w:pStyle w:val="Compact"/>
              <w:jc w:val="left"/>
            </w:pPr>
            <w:r>
              <w:t xml:space="preserve">ZC3H12A</w:t>
            </w:r>
          </w:p>
        </w:tc>
        <w:tc>
          <w:tcPr/>
          <w:p>
            <w:pPr>
              <w:pStyle w:val="Compact"/>
              <w:jc w:val="left"/>
            </w:pPr>
            <w:r>
              <w:t xml:space="preserve">C2orf72</w:t>
            </w:r>
          </w:p>
        </w:tc>
        <w:tc>
          <w:tcPr/>
          <w:p>
            <w:pPr>
              <w:pStyle w:val="Compact"/>
              <w:jc w:val="left"/>
            </w:pPr>
            <w:r>
              <w:t xml:space="preserve">CAPN9</w:t>
            </w:r>
          </w:p>
        </w:tc>
        <w:tc>
          <w:tcPr/>
          <w:p>
            <w:pPr>
              <w:pStyle w:val="Compact"/>
              <w:jc w:val="left"/>
            </w:pPr>
            <w:r>
              <w:t xml:space="preserve">UNC5CL</w:t>
            </w:r>
          </w:p>
        </w:tc>
        <w:tc>
          <w:tcPr/>
          <w:p>
            <w:pPr>
              <w:pStyle w:val="Compact"/>
              <w:jc w:val="left"/>
            </w:pPr>
            <w:r>
              <w:t xml:space="preserve">CELSR1</w:t>
            </w:r>
          </w:p>
        </w:tc>
      </w:tr>
      <w:tr>
        <w:tc>
          <w:tcPr/>
          <w:p>
            <w:pPr>
              <w:pStyle w:val="Compact"/>
              <w:jc w:val="left"/>
            </w:pPr>
            <w:r>
              <w:t xml:space="preserve">CST1</w:t>
            </w:r>
          </w:p>
        </w:tc>
        <w:tc>
          <w:tcPr/>
          <w:p>
            <w:pPr>
              <w:pStyle w:val="Compact"/>
              <w:jc w:val="left"/>
            </w:pPr>
            <w:r>
              <w:t xml:space="preserve">CELSR3</w:t>
            </w:r>
          </w:p>
        </w:tc>
        <w:tc>
          <w:tcPr/>
          <w:p>
            <w:pPr>
              <w:pStyle w:val="Compact"/>
              <w:jc w:val="left"/>
            </w:pPr>
            <w:r>
              <w:t xml:space="preserve">CCND2</w:t>
            </w:r>
          </w:p>
        </w:tc>
        <w:tc>
          <w:tcPr/>
          <w:p>
            <w:pPr>
              <w:pStyle w:val="Compact"/>
              <w:jc w:val="left"/>
            </w:pPr>
            <w:r>
              <w:t xml:space="preserve">PTGDS</w:t>
            </w:r>
          </w:p>
        </w:tc>
        <w:tc>
          <w:tcPr/>
          <w:p>
            <w:pPr>
              <w:pStyle w:val="Compact"/>
              <w:jc w:val="left"/>
            </w:pPr>
            <w:r>
              <w:t xml:space="preserve">LONRF2</w:t>
            </w:r>
          </w:p>
        </w:tc>
        <w:tc>
          <w:tcPr/>
          <w:p>
            <w:pPr>
              <w:pStyle w:val="Compact"/>
              <w:jc w:val="left"/>
            </w:pPr>
            <w:r>
              <w:t xml:space="preserve">MUC17</w:t>
            </w:r>
          </w:p>
        </w:tc>
      </w:tr>
      <w:tr>
        <w:tc>
          <w:tcPr/>
          <w:p>
            <w:pPr>
              <w:pStyle w:val="Compact"/>
              <w:jc w:val="left"/>
            </w:pPr>
            <w:r>
              <w:t xml:space="preserve">B3GNT7</w:t>
            </w:r>
          </w:p>
        </w:tc>
        <w:tc>
          <w:tcPr/>
          <w:p>
            <w:pPr>
              <w:pStyle w:val="Compact"/>
              <w:jc w:val="left"/>
            </w:pPr>
            <w:r>
              <w:t xml:space="preserve">EMB</w:t>
            </w:r>
          </w:p>
        </w:tc>
        <w:tc>
          <w:tcPr/>
          <w:p>
            <w:pPr>
              <w:pStyle w:val="Compact"/>
              <w:jc w:val="left"/>
            </w:pPr>
            <w:r>
              <w:t xml:space="preserve">ARHGAP4</w:t>
            </w:r>
          </w:p>
        </w:tc>
        <w:tc>
          <w:tcPr/>
          <w:p>
            <w:pPr>
              <w:pStyle w:val="Compact"/>
              <w:jc w:val="left"/>
            </w:pPr>
            <w:r>
              <w:t xml:space="preserve">LSP1</w:t>
            </w:r>
          </w:p>
        </w:tc>
        <w:tc>
          <w:tcPr/>
          <w:p>
            <w:pPr>
              <w:pStyle w:val="Compact"/>
              <w:jc w:val="left"/>
            </w:pPr>
            <w:r>
              <w:t xml:space="preserve">VSIG2</w:t>
            </w:r>
          </w:p>
        </w:tc>
        <w:tc>
          <w:tcPr/>
          <w:p>
            <w:pPr>
              <w:pStyle w:val="Compact"/>
              <w:jc w:val="left"/>
            </w:pPr>
            <w:r>
              <w:t xml:space="preserve">INPP5D</w:t>
            </w:r>
          </w:p>
        </w:tc>
      </w:tr>
      <w:tr>
        <w:tc>
          <w:tcPr/>
          <w:p>
            <w:pPr>
              <w:pStyle w:val="Compact"/>
              <w:jc w:val="left"/>
            </w:pPr>
            <w:r>
              <w:t xml:space="preserve">F5</w:t>
            </w:r>
          </w:p>
        </w:tc>
        <w:tc>
          <w:tcPr/>
          <w:p>
            <w:pPr>
              <w:pStyle w:val="Compact"/>
              <w:jc w:val="left"/>
            </w:pPr>
            <w:r>
              <w:t xml:space="preserve">KCNJ15</w:t>
            </w:r>
          </w:p>
        </w:tc>
        <w:tc>
          <w:tcPr/>
          <w:p>
            <w:pPr>
              <w:pStyle w:val="Compact"/>
              <w:jc w:val="left"/>
            </w:pPr>
            <w:r>
              <w:t xml:space="preserve">PKDCC</w:t>
            </w:r>
          </w:p>
        </w:tc>
        <w:tc>
          <w:tcPr/>
          <w:p>
            <w:pPr>
              <w:pStyle w:val="Compact"/>
              <w:jc w:val="left"/>
            </w:pPr>
            <w:r>
              <w:t xml:space="preserve">LAMA5</w:t>
            </w:r>
          </w:p>
        </w:tc>
        <w:tc>
          <w:tcPr/>
          <w:p>
            <w:pPr>
              <w:pStyle w:val="Compact"/>
              <w:jc w:val="left"/>
            </w:pPr>
            <w:r>
              <w:t xml:space="preserve">ADAMTSL2</w:t>
            </w:r>
          </w:p>
        </w:tc>
        <w:tc>
          <w:tcPr/>
          <w:p>
            <w:pPr>
              <w:pStyle w:val="Compact"/>
              <w:jc w:val="left"/>
            </w:pPr>
            <w:r>
              <w:t xml:space="preserve">TM4SF5</w:t>
            </w:r>
          </w:p>
        </w:tc>
      </w:tr>
      <w:tr>
        <w:tc>
          <w:tcPr/>
          <w:p>
            <w:pPr>
              <w:pStyle w:val="Compact"/>
              <w:jc w:val="left"/>
            </w:pPr>
            <w:r>
              <w:t xml:space="preserve">TNRC18</w:t>
            </w:r>
          </w:p>
        </w:tc>
        <w:tc>
          <w:tcPr/>
          <w:p>
            <w:pPr>
              <w:pStyle w:val="Compact"/>
              <w:jc w:val="left"/>
            </w:pPr>
            <w:r>
              <w:t xml:space="preserve">SORBS1</w:t>
            </w:r>
          </w:p>
        </w:tc>
        <w:tc>
          <w:tcPr/>
          <w:p>
            <w:pPr>
              <w:pStyle w:val="Compact"/>
              <w:jc w:val="left"/>
            </w:pPr>
            <w:r>
              <w:t xml:space="preserve">SRPX</w:t>
            </w:r>
          </w:p>
        </w:tc>
        <w:tc>
          <w:tcPr/>
          <w:p>
            <w:pPr>
              <w:pStyle w:val="Compact"/>
              <w:jc w:val="left"/>
            </w:pPr>
            <w:r>
              <w:t xml:space="preserve">FASN</w:t>
            </w:r>
          </w:p>
        </w:tc>
        <w:tc>
          <w:tcPr/>
          <w:p>
            <w:pPr>
              <w:pStyle w:val="Compact"/>
              <w:jc w:val="left"/>
            </w:pPr>
            <w:r>
              <w:t xml:space="preserve">ARHGEF16</w:t>
            </w:r>
          </w:p>
        </w:tc>
        <w:tc>
          <w:tcPr/>
          <w:p>
            <w:pPr>
              <w:pStyle w:val="Compact"/>
              <w:jc w:val="left"/>
            </w:pPr>
            <w:r>
              <w:t xml:space="preserve">HNF4A</w:t>
            </w:r>
          </w:p>
        </w:tc>
      </w:tr>
      <w:tr>
        <w:tc>
          <w:tcPr/>
          <w:p>
            <w:pPr>
              <w:pStyle w:val="Compact"/>
              <w:jc w:val="left"/>
            </w:pPr>
            <w:r>
              <w:t xml:space="preserve">IGF2</w:t>
            </w:r>
          </w:p>
        </w:tc>
        <w:tc>
          <w:tcPr/>
          <w:p>
            <w:pPr>
              <w:pStyle w:val="Compact"/>
              <w:jc w:val="left"/>
            </w:pPr>
            <w:r>
              <w:t xml:space="preserve">PAQR8</w:t>
            </w:r>
          </w:p>
        </w:tc>
        <w:tc>
          <w:tcPr/>
          <w:p>
            <w:pPr>
              <w:pStyle w:val="Compact"/>
              <w:jc w:val="left"/>
            </w:pPr>
            <w:r>
              <w:t xml:space="preserve">CCL21</w:t>
            </w:r>
          </w:p>
        </w:tc>
        <w:tc>
          <w:tcPr/>
          <w:p>
            <w:pPr>
              <w:pStyle w:val="Compact"/>
              <w:jc w:val="left"/>
            </w:pPr>
            <w:r>
              <w:t xml:space="preserve">GFRA1</w:t>
            </w:r>
          </w:p>
        </w:tc>
        <w:tc>
          <w:tcPr/>
          <w:p>
            <w:pPr>
              <w:pStyle w:val="Compact"/>
              <w:jc w:val="left"/>
            </w:pPr>
            <w:r>
              <w:t xml:space="preserve">PCOLCE</w:t>
            </w:r>
          </w:p>
        </w:tc>
        <w:tc>
          <w:tcPr/>
          <w:p>
            <w:pPr>
              <w:pStyle w:val="Compact"/>
              <w:jc w:val="left"/>
            </w:pPr>
            <w:r>
              <w:t xml:space="preserve">CFD</w:t>
            </w:r>
          </w:p>
        </w:tc>
      </w:tr>
      <w:tr>
        <w:tc>
          <w:tcPr/>
          <w:p>
            <w:pPr>
              <w:pStyle w:val="Compact"/>
              <w:jc w:val="left"/>
            </w:pPr>
            <w:r>
              <w:t xml:space="preserve">ARSD</w:t>
            </w:r>
          </w:p>
        </w:tc>
        <w:tc>
          <w:tcPr/>
          <w:p>
            <w:pPr>
              <w:pStyle w:val="Compact"/>
              <w:jc w:val="left"/>
            </w:pPr>
            <w:r>
              <w:t xml:space="preserve">SLC4A4</w:t>
            </w:r>
          </w:p>
        </w:tc>
        <w:tc>
          <w:tcPr/>
          <w:p>
            <w:pPr>
              <w:pStyle w:val="Compact"/>
              <w:jc w:val="left"/>
            </w:pPr>
            <w:r>
              <w:t xml:space="preserve">CARD11</w:t>
            </w:r>
          </w:p>
        </w:tc>
        <w:tc>
          <w:tcPr/>
          <w:p>
            <w:pPr>
              <w:pStyle w:val="Compact"/>
              <w:jc w:val="left"/>
            </w:pPr>
            <w:r>
              <w:t xml:space="preserve">PTPRH</w:t>
            </w:r>
          </w:p>
        </w:tc>
        <w:tc>
          <w:tcPr/>
          <w:p>
            <w:pPr>
              <w:pStyle w:val="Compact"/>
              <w:jc w:val="left"/>
            </w:pPr>
            <w:r>
              <w:t xml:space="preserve">CFC1B</w:t>
            </w:r>
          </w:p>
        </w:tc>
        <w:tc>
          <w:tcPr/>
          <w:p>
            <w:pPr>
              <w:pStyle w:val="Compact"/>
              <w:jc w:val="left"/>
            </w:pPr>
            <w:r>
              <w:t xml:space="preserve">HCLS1</w:t>
            </w:r>
          </w:p>
        </w:tc>
      </w:tr>
      <w:tr>
        <w:tc>
          <w:tcPr/>
          <w:p>
            <w:pPr>
              <w:pStyle w:val="Compact"/>
              <w:jc w:val="left"/>
            </w:pPr>
            <w:r>
              <w:t xml:space="preserve">ZDHHC7</w:t>
            </w:r>
          </w:p>
        </w:tc>
        <w:tc>
          <w:tcPr/>
          <w:p>
            <w:pPr>
              <w:pStyle w:val="Compact"/>
              <w:jc w:val="left"/>
            </w:pPr>
            <w:r>
              <w:t xml:space="preserve">ACSS1</w:t>
            </w:r>
          </w:p>
        </w:tc>
        <w:tc>
          <w:tcPr/>
          <w:p>
            <w:pPr>
              <w:pStyle w:val="Compact"/>
              <w:jc w:val="left"/>
            </w:pPr>
            <w:r>
              <w:t xml:space="preserve">CTRB2</w:t>
            </w:r>
          </w:p>
        </w:tc>
        <w:tc>
          <w:tcPr/>
          <w:p>
            <w:pPr>
              <w:pStyle w:val="Compact"/>
              <w:jc w:val="left"/>
            </w:pPr>
            <w:r>
              <w:t xml:space="preserve">FMOD</w:t>
            </w:r>
          </w:p>
        </w:tc>
        <w:tc>
          <w:tcPr/>
          <w:p>
            <w:pPr>
              <w:pStyle w:val="Compact"/>
              <w:jc w:val="left"/>
            </w:pPr>
            <w:r>
              <w:t xml:space="preserve">SLC9A3</w:t>
            </w:r>
          </w:p>
        </w:tc>
        <w:tc>
          <w:tcPr/>
          <w:p>
            <w:pPr>
              <w:pStyle w:val="Compact"/>
              <w:jc w:val="left"/>
            </w:pPr>
            <w:r>
              <w:t xml:space="preserve">SH3PXD2B</w:t>
            </w:r>
          </w:p>
        </w:tc>
      </w:tr>
      <w:tr>
        <w:tc>
          <w:tcPr/>
          <w:p>
            <w:pPr>
              <w:pStyle w:val="Compact"/>
              <w:jc w:val="left"/>
            </w:pPr>
            <w:r>
              <w:t xml:space="preserve">LENG8</w:t>
            </w:r>
          </w:p>
        </w:tc>
        <w:tc>
          <w:tcPr/>
          <w:p>
            <w:pPr>
              <w:pStyle w:val="Compact"/>
              <w:jc w:val="left"/>
            </w:pPr>
            <w:r>
              <w:t xml:space="preserve">ST6GALNAC1</w:t>
            </w:r>
          </w:p>
        </w:tc>
        <w:tc>
          <w:tcPr/>
          <w:p>
            <w:pPr>
              <w:pStyle w:val="Compact"/>
              <w:jc w:val="left"/>
            </w:pPr>
            <w:r>
              <w:t xml:space="preserve">GOLGA8B</w:t>
            </w:r>
          </w:p>
        </w:tc>
        <w:tc>
          <w:tcPr/>
          <w:p>
            <w:pPr>
              <w:pStyle w:val="Compact"/>
              <w:jc w:val="left"/>
            </w:pPr>
            <w:r>
              <w:t xml:space="preserve">FHL1</w:t>
            </w:r>
          </w:p>
        </w:tc>
        <w:tc>
          <w:tcPr/>
          <w:p>
            <w:pPr>
              <w:pStyle w:val="Compact"/>
              <w:jc w:val="left"/>
            </w:pPr>
            <w:r>
              <w:t xml:space="preserve">ACACB</w:t>
            </w:r>
          </w:p>
        </w:tc>
        <w:tc>
          <w:tcPr/>
          <w:p>
            <w:pPr>
              <w:pStyle w:val="Compact"/>
              <w:jc w:val="left"/>
            </w:pPr>
            <w:r>
              <w:t xml:space="preserve">PCSK2</w:t>
            </w:r>
          </w:p>
        </w:tc>
      </w:tr>
      <w:tr>
        <w:tc>
          <w:tcPr/>
          <w:p>
            <w:pPr>
              <w:pStyle w:val="Compact"/>
              <w:jc w:val="left"/>
            </w:pPr>
            <w:r>
              <w:t xml:space="preserve">ATP9A</w:t>
            </w:r>
          </w:p>
        </w:tc>
        <w:tc>
          <w:tcPr/>
          <w:p>
            <w:pPr>
              <w:pStyle w:val="Compact"/>
              <w:jc w:val="left"/>
            </w:pPr>
            <w:r>
              <w:t xml:space="preserve">DES</w:t>
            </w:r>
          </w:p>
        </w:tc>
        <w:tc>
          <w:tcPr/>
          <w:p>
            <w:pPr>
              <w:pStyle w:val="Compact"/>
              <w:jc w:val="left"/>
            </w:pPr>
            <w:r>
              <w:t xml:space="preserve">IYD</w:t>
            </w:r>
          </w:p>
        </w:tc>
        <w:tc>
          <w:tcPr/>
          <w:p>
            <w:pPr>
              <w:pStyle w:val="Compact"/>
              <w:jc w:val="left"/>
            </w:pPr>
            <w:r>
              <w:t xml:space="preserve">PCDH20</w:t>
            </w:r>
          </w:p>
        </w:tc>
        <w:tc>
          <w:tcPr/>
          <w:p>
            <w:pPr>
              <w:pStyle w:val="Compact"/>
              <w:jc w:val="left"/>
            </w:pPr>
            <w:r>
              <w:t xml:space="preserve">BCAS1</w:t>
            </w:r>
          </w:p>
        </w:tc>
        <w:tc>
          <w:tcPr/>
          <w:p>
            <w:pPr>
              <w:pStyle w:val="Compact"/>
              <w:jc w:val="left"/>
            </w:pPr>
            <w:r>
              <w:t xml:space="preserve">HMGCS2</w:t>
            </w:r>
          </w:p>
        </w:tc>
      </w:tr>
      <w:tr>
        <w:tc>
          <w:tcPr/>
          <w:p>
            <w:pPr>
              <w:pStyle w:val="Compact"/>
              <w:jc w:val="left"/>
            </w:pPr>
            <w:r>
              <w:t xml:space="preserve">TMPRSS3</w:t>
            </w:r>
          </w:p>
        </w:tc>
        <w:tc>
          <w:tcPr/>
          <w:p>
            <w:pPr>
              <w:pStyle w:val="Compact"/>
              <w:jc w:val="left"/>
            </w:pPr>
            <w:r>
              <w:t xml:space="preserve">PRUNE2</w:t>
            </w:r>
          </w:p>
        </w:tc>
        <w:tc>
          <w:tcPr/>
          <w:p>
            <w:pPr>
              <w:pStyle w:val="Compact"/>
              <w:jc w:val="left"/>
            </w:pPr>
            <w:r>
              <w:t xml:space="preserve">CORO1A</w:t>
            </w:r>
          </w:p>
        </w:tc>
        <w:tc>
          <w:tcPr/>
          <w:p>
            <w:pPr>
              <w:pStyle w:val="Compact"/>
              <w:jc w:val="left"/>
            </w:pPr>
            <w:r>
              <w:t xml:space="preserve">CCR7</w:t>
            </w:r>
          </w:p>
        </w:tc>
        <w:tc>
          <w:tcPr/>
          <w:p>
            <w:pPr>
              <w:pStyle w:val="Compact"/>
              <w:jc w:val="left"/>
            </w:pPr>
            <w:r>
              <w:t xml:space="preserve">RASD1</w:t>
            </w:r>
          </w:p>
        </w:tc>
        <w:tc>
          <w:tcPr/>
          <w:p>
            <w:pPr>
              <w:pStyle w:val="Compact"/>
              <w:jc w:val="left"/>
            </w:pPr>
            <w:r>
              <w:t xml:space="preserve">FILIP1L</w:t>
            </w:r>
          </w:p>
        </w:tc>
      </w:tr>
      <w:tr>
        <w:tc>
          <w:tcPr/>
          <w:p>
            <w:pPr>
              <w:pStyle w:val="Compact"/>
              <w:jc w:val="left"/>
            </w:pPr>
            <w:r>
              <w:t xml:space="preserve">CES1</w:t>
            </w:r>
          </w:p>
        </w:tc>
        <w:tc>
          <w:tcPr/>
          <w:p>
            <w:pPr>
              <w:pStyle w:val="Compact"/>
              <w:jc w:val="left"/>
            </w:pPr>
            <w:r>
              <w:t xml:space="preserve">PLCB4</w:t>
            </w:r>
          </w:p>
        </w:tc>
        <w:tc>
          <w:tcPr/>
          <w:p>
            <w:pPr>
              <w:pStyle w:val="Compact"/>
              <w:jc w:val="left"/>
            </w:pPr>
            <w:r>
              <w:t xml:space="preserve">SAA2</w:t>
            </w:r>
          </w:p>
        </w:tc>
        <w:tc>
          <w:tcPr/>
          <w:p>
            <w:pPr>
              <w:pStyle w:val="Compact"/>
              <w:jc w:val="left"/>
            </w:pPr>
            <w:r>
              <w:t xml:space="preserve">CHIT1</w:t>
            </w:r>
          </w:p>
        </w:tc>
        <w:tc>
          <w:tcPr/>
          <w:p>
            <w:pPr>
              <w:pStyle w:val="Compact"/>
              <w:jc w:val="left"/>
            </w:pPr>
            <w:r>
              <w:t xml:space="preserve">LGALS4</w:t>
            </w:r>
          </w:p>
        </w:tc>
        <w:tc>
          <w:tcPr/>
          <w:p>
            <w:pPr>
              <w:pStyle w:val="Compact"/>
              <w:jc w:val="left"/>
            </w:pPr>
            <w:r>
              <w:t xml:space="preserve">ETNK1</w:t>
            </w:r>
          </w:p>
        </w:tc>
      </w:tr>
      <w:tr>
        <w:tc>
          <w:tcPr/>
          <w:p>
            <w:pPr>
              <w:pStyle w:val="Compact"/>
              <w:jc w:val="left"/>
            </w:pPr>
            <w:r>
              <w:t xml:space="preserve">HOPX</w:t>
            </w:r>
          </w:p>
        </w:tc>
        <w:tc>
          <w:tcPr/>
          <w:p>
            <w:pPr>
              <w:pStyle w:val="Compact"/>
              <w:jc w:val="left"/>
            </w:pPr>
            <w:r>
              <w:t xml:space="preserve">CADPS</w:t>
            </w:r>
          </w:p>
        </w:tc>
        <w:tc>
          <w:tcPr/>
          <w:p>
            <w:pPr>
              <w:pStyle w:val="Compact"/>
              <w:jc w:val="left"/>
            </w:pPr>
            <w:r>
              <w:t xml:space="preserve">CDCA7</w:t>
            </w:r>
          </w:p>
        </w:tc>
        <w:tc>
          <w:tcPr/>
          <w:p>
            <w:pPr>
              <w:pStyle w:val="Compact"/>
              <w:jc w:val="left"/>
            </w:pPr>
            <w:r>
              <w:t xml:space="preserve">PARM1</w:t>
            </w:r>
          </w:p>
        </w:tc>
        <w:tc>
          <w:tcPr/>
          <w:p>
            <w:pPr>
              <w:pStyle w:val="Compact"/>
              <w:jc w:val="left"/>
            </w:pPr>
            <w:r>
              <w:t xml:space="preserve">MS4A1</w:t>
            </w:r>
          </w:p>
        </w:tc>
        <w:tc>
          <w:tcPr/>
          <w:p>
            <w:pPr>
              <w:pStyle w:val="Compact"/>
              <w:jc w:val="left"/>
            </w:pPr>
            <w:r>
              <w:t xml:space="preserve">TNNI2</w:t>
            </w:r>
          </w:p>
        </w:tc>
      </w:tr>
      <w:tr>
        <w:tc>
          <w:tcPr/>
          <w:p>
            <w:pPr>
              <w:pStyle w:val="Compact"/>
              <w:jc w:val="left"/>
            </w:pPr>
            <w:r>
              <w:t xml:space="preserve">CNN1</w:t>
            </w:r>
          </w:p>
        </w:tc>
        <w:tc>
          <w:tcPr/>
          <w:p>
            <w:pPr>
              <w:pStyle w:val="Compact"/>
              <w:jc w:val="left"/>
            </w:pPr>
            <w:r>
              <w:t xml:space="preserve">FMO5</w:t>
            </w:r>
          </w:p>
        </w:tc>
        <w:tc>
          <w:tcPr/>
          <w:p>
            <w:pPr>
              <w:pStyle w:val="Compact"/>
              <w:jc w:val="left"/>
            </w:pPr>
            <w:r>
              <w:t xml:space="preserve">BOC</w:t>
            </w:r>
          </w:p>
        </w:tc>
        <w:tc>
          <w:tcPr/>
          <w:p>
            <w:pPr>
              <w:pStyle w:val="Compact"/>
              <w:jc w:val="left"/>
            </w:pPr>
            <w:r>
              <w:t xml:space="preserve">ITM2A</w:t>
            </w:r>
          </w:p>
        </w:tc>
        <w:tc>
          <w:tcPr/>
          <w:p>
            <w:pPr>
              <w:pStyle w:val="Compact"/>
              <w:jc w:val="left"/>
            </w:pPr>
            <w:r>
              <w:t xml:space="preserve">CAPN6</w:t>
            </w:r>
          </w:p>
        </w:tc>
        <w:tc>
          <w:tcPr/>
          <w:p>
            <w:pPr>
              <w:pStyle w:val="Compact"/>
              <w:jc w:val="left"/>
            </w:pPr>
            <w:r>
              <w:t xml:space="preserve">TOX3</w:t>
            </w:r>
          </w:p>
        </w:tc>
      </w:tr>
      <w:tr>
        <w:tc>
          <w:tcPr/>
          <w:p>
            <w:pPr>
              <w:pStyle w:val="Compact"/>
              <w:jc w:val="left"/>
            </w:pPr>
            <w:r>
              <w:t xml:space="preserve">MIA</w:t>
            </w:r>
          </w:p>
        </w:tc>
        <w:tc>
          <w:tcPr/>
          <w:p>
            <w:pPr>
              <w:pStyle w:val="Compact"/>
              <w:jc w:val="left"/>
            </w:pPr>
            <w:r>
              <w:t xml:space="preserve">RAP1GAP2</w:t>
            </w:r>
          </w:p>
        </w:tc>
        <w:tc>
          <w:tcPr/>
          <w:p>
            <w:pPr>
              <w:pStyle w:val="Compact"/>
              <w:jc w:val="left"/>
            </w:pPr>
            <w:r>
              <w:t xml:space="preserve">LTB</w:t>
            </w:r>
          </w:p>
        </w:tc>
        <w:tc>
          <w:tcPr/>
          <w:p>
            <w:pPr>
              <w:pStyle w:val="Compact"/>
              <w:jc w:val="left"/>
            </w:pPr>
            <w:r>
              <w:t xml:space="preserve">NAPSB</w:t>
            </w:r>
          </w:p>
        </w:tc>
        <w:tc>
          <w:tcPr/>
          <w:p>
            <w:pPr>
              <w:pStyle w:val="Compact"/>
              <w:jc w:val="left"/>
            </w:pPr>
            <w:r>
              <w:t xml:space="preserve">SCCPDH</w:t>
            </w:r>
          </w:p>
        </w:tc>
        <w:tc>
          <w:tcPr/>
          <w:p>
            <w:pPr>
              <w:pStyle w:val="Compact"/>
              <w:jc w:val="left"/>
            </w:pPr>
            <w:r>
              <w:t xml:space="preserve">FRZB</w:t>
            </w:r>
          </w:p>
        </w:tc>
      </w:tr>
      <w:tr>
        <w:tc>
          <w:tcPr/>
          <w:p>
            <w:pPr>
              <w:pStyle w:val="Compact"/>
              <w:jc w:val="left"/>
            </w:pPr>
            <w:r>
              <w:t xml:space="preserve">CRIP2</w:t>
            </w:r>
          </w:p>
        </w:tc>
        <w:tc>
          <w:tcPr/>
          <w:p>
            <w:pPr>
              <w:pStyle w:val="Compact"/>
              <w:jc w:val="left"/>
            </w:pPr>
            <w:r>
              <w:t xml:space="preserve">GALNT12</w:t>
            </w:r>
          </w:p>
        </w:tc>
        <w:tc>
          <w:tcPr/>
          <w:p>
            <w:pPr>
              <w:pStyle w:val="Compact"/>
              <w:jc w:val="left"/>
            </w:pPr>
            <w:r>
              <w:t xml:space="preserve">COMP</w:t>
            </w:r>
          </w:p>
        </w:tc>
        <w:tc>
          <w:tcPr/>
          <w:p>
            <w:pPr>
              <w:pStyle w:val="Compact"/>
              <w:jc w:val="left"/>
            </w:pPr>
            <w:r>
              <w:t xml:space="preserve">AGT</w:t>
            </w:r>
          </w:p>
        </w:tc>
        <w:tc>
          <w:tcPr/>
          <w:p>
            <w:pPr>
              <w:pStyle w:val="Compact"/>
              <w:jc w:val="left"/>
            </w:pPr>
            <w:r>
              <w:t xml:space="preserve">PTPRCAP</w:t>
            </w:r>
          </w:p>
        </w:tc>
        <w:tc>
          <w:tcPr/>
          <w:p>
            <w:pPr>
              <w:pStyle w:val="Compact"/>
              <w:jc w:val="left"/>
            </w:pPr>
            <w:r>
              <w:t xml:space="preserve">HABP2</w:t>
            </w:r>
          </w:p>
        </w:tc>
      </w:tr>
      <w:tr>
        <w:tc>
          <w:tcPr/>
          <w:p>
            <w:pPr>
              <w:pStyle w:val="Compact"/>
              <w:jc w:val="left"/>
            </w:pPr>
            <w:r>
              <w:t xml:space="preserve">NEURL1B</w:t>
            </w:r>
          </w:p>
        </w:tc>
        <w:tc>
          <w:tcPr/>
          <w:p>
            <w:pPr>
              <w:pStyle w:val="Compact"/>
              <w:jc w:val="left"/>
            </w:pPr>
            <w:r>
              <w:t xml:space="preserve">CCL2</w:t>
            </w:r>
          </w:p>
        </w:tc>
        <w:tc>
          <w:tcPr/>
          <w:p>
            <w:pPr>
              <w:pStyle w:val="Compact"/>
              <w:jc w:val="left"/>
            </w:pPr>
            <w:r>
              <w:t xml:space="preserve">MANSC1</w:t>
            </w:r>
          </w:p>
        </w:tc>
        <w:tc>
          <w:tcPr/>
          <w:p>
            <w:pPr>
              <w:pStyle w:val="Compact"/>
              <w:jc w:val="left"/>
            </w:pPr>
            <w:r>
              <w:t xml:space="preserve">FUT3</w:t>
            </w:r>
          </w:p>
        </w:tc>
        <w:tc>
          <w:tcPr/>
          <w:p>
            <w:pPr>
              <w:pStyle w:val="Compact"/>
              <w:jc w:val="left"/>
            </w:pPr>
            <w:r>
              <w:t xml:space="preserve">VNN1</w:t>
            </w:r>
          </w:p>
        </w:tc>
        <w:tc>
          <w:tcPr/>
          <w:p>
            <w:pPr>
              <w:pStyle w:val="Compact"/>
              <w:jc w:val="left"/>
            </w:pPr>
            <w:r>
              <w:t xml:space="preserve">GDA</w:t>
            </w:r>
          </w:p>
        </w:tc>
      </w:tr>
      <w:tr>
        <w:tc>
          <w:tcPr/>
          <w:p>
            <w:pPr>
              <w:pStyle w:val="Compact"/>
              <w:jc w:val="left"/>
            </w:pPr>
            <w:r>
              <w:t xml:space="preserve">CHGA</w:t>
            </w:r>
          </w:p>
        </w:tc>
        <w:tc>
          <w:tcPr/>
          <w:p>
            <w:pPr>
              <w:pStyle w:val="Compact"/>
              <w:jc w:val="left"/>
            </w:pPr>
            <w:r>
              <w:t xml:space="preserve">REG3A</w:t>
            </w:r>
          </w:p>
        </w:tc>
        <w:tc>
          <w:tcPr/>
          <w:p>
            <w:pPr>
              <w:pStyle w:val="Compact"/>
              <w:jc w:val="left"/>
            </w:pPr>
            <w:r>
              <w:t xml:space="preserve">SLC19A3</w:t>
            </w:r>
          </w:p>
        </w:tc>
        <w:tc>
          <w:tcPr/>
          <w:p>
            <w:pPr>
              <w:pStyle w:val="Compact"/>
              <w:jc w:val="left"/>
            </w:pPr>
            <w:r>
              <w:t xml:space="preserve">SIPA1L2</w:t>
            </w:r>
          </w:p>
        </w:tc>
        <w:tc>
          <w:tcPr/>
          <w:p>
            <w:pPr>
              <w:pStyle w:val="Compact"/>
              <w:jc w:val="left"/>
            </w:pPr>
            <w:r>
              <w:t xml:space="preserve">PI16</w:t>
            </w:r>
          </w:p>
        </w:tc>
        <w:tc>
          <w:tcPr/>
          <w:p>
            <w:pPr>
              <w:pStyle w:val="Compact"/>
              <w:jc w:val="left"/>
            </w:pPr>
            <w:r>
              <w:t xml:space="preserve">NCOR2</w:t>
            </w:r>
          </w:p>
        </w:tc>
      </w:tr>
      <w:tr>
        <w:tc>
          <w:tcPr/>
          <w:p>
            <w:pPr>
              <w:pStyle w:val="Compact"/>
              <w:jc w:val="left"/>
            </w:pPr>
            <w:r>
              <w:t xml:space="preserve">ACTG2</w:t>
            </w:r>
          </w:p>
        </w:tc>
        <w:tc>
          <w:tcPr/>
          <w:p>
            <w:pPr>
              <w:pStyle w:val="Compact"/>
              <w:jc w:val="left"/>
            </w:pPr>
            <w:r>
              <w:t xml:space="preserve">ZCCHC24</w:t>
            </w:r>
          </w:p>
        </w:tc>
        <w:tc>
          <w:tcPr/>
          <w:p>
            <w:pPr>
              <w:pStyle w:val="Compact"/>
              <w:jc w:val="left"/>
            </w:pPr>
            <w:r>
              <w:t xml:space="preserve">STEAP2</w:t>
            </w:r>
          </w:p>
        </w:tc>
        <w:tc>
          <w:tcPr/>
          <w:p>
            <w:pPr>
              <w:pStyle w:val="Compact"/>
              <w:jc w:val="left"/>
            </w:pPr>
            <w:r>
              <w:t xml:space="preserve">SPINK5</w:t>
            </w:r>
          </w:p>
        </w:tc>
        <w:tc>
          <w:tcPr/>
          <w:p>
            <w:pPr>
              <w:pStyle w:val="Compact"/>
              <w:jc w:val="left"/>
            </w:pPr>
            <w:r>
              <w:t xml:space="preserve">SEMA7A</w:t>
            </w:r>
          </w:p>
        </w:tc>
        <w:tc>
          <w:tcPr/>
          <w:p>
            <w:pPr>
              <w:pStyle w:val="Compact"/>
              <w:jc w:val="left"/>
            </w:pPr>
            <w:r>
              <w:t xml:space="preserve">DNAH2</w:t>
            </w:r>
          </w:p>
        </w:tc>
      </w:tr>
      <w:tr>
        <w:tc>
          <w:tcPr/>
          <w:p>
            <w:pPr>
              <w:pStyle w:val="Compact"/>
              <w:jc w:val="left"/>
            </w:pPr>
            <w:r>
              <w:t xml:space="preserve">CXCL14</w:t>
            </w:r>
          </w:p>
        </w:tc>
        <w:tc>
          <w:tcPr/>
          <w:p>
            <w:pPr>
              <w:pStyle w:val="Compact"/>
              <w:jc w:val="left"/>
            </w:pPr>
            <w:r>
              <w:t xml:space="preserve">LTF</w:t>
            </w:r>
          </w:p>
        </w:tc>
        <w:tc>
          <w:tcPr/>
          <w:p>
            <w:pPr>
              <w:pStyle w:val="Compact"/>
              <w:jc w:val="left"/>
            </w:pPr>
            <w:r>
              <w:t xml:space="preserve">FOXA1</w:t>
            </w:r>
          </w:p>
        </w:tc>
        <w:tc>
          <w:tcPr/>
          <w:p>
            <w:pPr>
              <w:pStyle w:val="Compact"/>
              <w:jc w:val="left"/>
            </w:pPr>
            <w:r>
              <w:t xml:space="preserve">ACSL1</w:t>
            </w:r>
          </w:p>
        </w:tc>
        <w:tc>
          <w:tcPr/>
          <w:p>
            <w:pPr>
              <w:pStyle w:val="Compact"/>
              <w:jc w:val="left"/>
            </w:pPr>
            <w:r>
              <w:t xml:space="preserve">IL10RA</w:t>
            </w:r>
          </w:p>
        </w:tc>
        <w:tc>
          <w:tcPr/>
          <w:p>
            <w:pPr>
              <w:pStyle w:val="Compact"/>
              <w:jc w:val="left"/>
            </w:pPr>
            <w:r>
              <w:t xml:space="preserve">DOK4</w:t>
            </w:r>
          </w:p>
        </w:tc>
      </w:tr>
      <w:tr>
        <w:tc>
          <w:tcPr/>
          <w:p>
            <w:pPr>
              <w:pStyle w:val="Compact"/>
              <w:jc w:val="left"/>
            </w:pPr>
            <w:r>
              <w:t xml:space="preserve">TPPP3</w:t>
            </w:r>
          </w:p>
        </w:tc>
        <w:tc>
          <w:tcPr/>
          <w:p>
            <w:pPr>
              <w:pStyle w:val="Compact"/>
              <w:jc w:val="left"/>
            </w:pPr>
            <w:r>
              <w:t xml:space="preserve">EFHD2</w:t>
            </w:r>
          </w:p>
        </w:tc>
        <w:tc>
          <w:tcPr/>
          <w:p>
            <w:pPr>
              <w:pStyle w:val="Compact"/>
              <w:jc w:val="left"/>
            </w:pPr>
            <w:r>
              <w:t xml:space="preserve">WNK2</w:t>
            </w:r>
          </w:p>
        </w:tc>
        <w:tc>
          <w:tcPr/>
          <w:p>
            <w:pPr>
              <w:pStyle w:val="Compact"/>
              <w:jc w:val="left"/>
            </w:pPr>
            <w:r>
              <w:t xml:space="preserve">BTNL8</w:t>
            </w:r>
          </w:p>
        </w:tc>
        <w:tc>
          <w:tcPr/>
          <w:p>
            <w:pPr>
              <w:pStyle w:val="Compact"/>
              <w:jc w:val="left"/>
            </w:pPr>
            <w:r>
              <w:t xml:space="preserve">GALNT3</w:t>
            </w:r>
          </w:p>
        </w:tc>
        <w:tc>
          <w:tcPr/>
          <w:p>
            <w:pPr>
              <w:pStyle w:val="Compact"/>
              <w:jc w:val="left"/>
            </w:pPr>
            <w:r>
              <w:t xml:space="preserve">HOXB9</w:t>
            </w:r>
          </w:p>
        </w:tc>
      </w:tr>
      <w:tr>
        <w:tc>
          <w:tcPr/>
          <w:p>
            <w:pPr>
              <w:pStyle w:val="Compact"/>
              <w:jc w:val="left"/>
            </w:pPr>
            <w:r>
              <w:t xml:space="preserve">PIGR</w:t>
            </w:r>
          </w:p>
        </w:tc>
        <w:tc>
          <w:tcPr/>
          <w:p>
            <w:pPr>
              <w:pStyle w:val="Compact"/>
              <w:jc w:val="left"/>
            </w:pPr>
            <w:r>
              <w:t xml:space="preserve">ATP11A</w:t>
            </w:r>
          </w:p>
        </w:tc>
        <w:tc>
          <w:tcPr/>
          <w:p>
            <w:pPr>
              <w:pStyle w:val="Compact"/>
              <w:jc w:val="left"/>
            </w:pPr>
            <w:r>
              <w:t xml:space="preserve">SELL</w:t>
            </w:r>
          </w:p>
        </w:tc>
        <w:tc>
          <w:tcPr/>
          <w:p>
            <w:pPr>
              <w:pStyle w:val="Compact"/>
              <w:jc w:val="left"/>
            </w:pPr>
            <w:r>
              <w:t xml:space="preserve">CORO2A</w:t>
            </w:r>
          </w:p>
        </w:tc>
        <w:tc>
          <w:tcPr/>
          <w:p>
            <w:pPr>
              <w:pStyle w:val="Compact"/>
              <w:jc w:val="left"/>
            </w:pPr>
            <w:r>
              <w:t xml:space="preserve">GOLM1</w:t>
            </w:r>
          </w:p>
        </w:tc>
        <w:tc>
          <w:tcPr/>
          <w:p>
            <w:pPr>
              <w:pStyle w:val="Compact"/>
              <w:jc w:val="left"/>
            </w:pPr>
            <w:r>
              <w:t xml:space="preserve">KIAA1324</w:t>
            </w:r>
          </w:p>
        </w:tc>
      </w:tr>
      <w:tr>
        <w:tc>
          <w:tcPr/>
          <w:p>
            <w:pPr>
              <w:pStyle w:val="Compact"/>
              <w:jc w:val="left"/>
            </w:pPr>
            <w:r>
              <w:t xml:space="preserve">CYP27A1</w:t>
            </w:r>
          </w:p>
        </w:tc>
        <w:tc>
          <w:tcPr/>
          <w:p>
            <w:pPr>
              <w:pStyle w:val="Compact"/>
              <w:jc w:val="left"/>
            </w:pPr>
            <w:r>
              <w:t xml:space="preserve">GP2</w:t>
            </w:r>
          </w:p>
        </w:tc>
        <w:tc>
          <w:tcPr/>
          <w:p>
            <w:pPr>
              <w:pStyle w:val="Compact"/>
              <w:jc w:val="left"/>
            </w:pPr>
            <w:r>
              <w:t xml:space="preserve">PLEKHA6</w:t>
            </w:r>
          </w:p>
        </w:tc>
        <w:tc>
          <w:tcPr/>
          <w:p>
            <w:pPr>
              <w:pStyle w:val="Compact"/>
              <w:jc w:val="left"/>
            </w:pPr>
            <w:r>
              <w:t xml:space="preserve">LAD1</w:t>
            </w:r>
          </w:p>
        </w:tc>
        <w:tc>
          <w:tcPr/>
          <w:p>
            <w:pPr>
              <w:pStyle w:val="Compact"/>
              <w:jc w:val="left"/>
            </w:pPr>
            <w:r>
              <w:t xml:space="preserve">TNFAIP2</w:t>
            </w:r>
          </w:p>
        </w:tc>
        <w:tc>
          <w:tcPr/>
          <w:p>
            <w:pPr>
              <w:pStyle w:val="Compact"/>
              <w:jc w:val="left"/>
            </w:pPr>
            <w:r>
              <w:t xml:space="preserve">TRIM2</w:t>
            </w:r>
          </w:p>
        </w:tc>
      </w:tr>
      <w:tr>
        <w:tc>
          <w:tcPr/>
          <w:p>
            <w:pPr>
              <w:pStyle w:val="Compact"/>
              <w:jc w:val="left"/>
            </w:pPr>
            <w:r>
              <w:t xml:space="preserve">ADAM8</w:t>
            </w:r>
          </w:p>
        </w:tc>
        <w:tc>
          <w:tcPr/>
          <w:p>
            <w:pPr>
              <w:pStyle w:val="Compact"/>
              <w:jc w:val="left"/>
            </w:pPr>
            <w:r>
              <w:t xml:space="preserve">HIPK2</w:t>
            </w:r>
          </w:p>
        </w:tc>
        <w:tc>
          <w:tcPr/>
          <w:p>
            <w:pPr>
              <w:pStyle w:val="Compact"/>
              <w:jc w:val="left"/>
            </w:pPr>
            <w:r>
              <w:t xml:space="preserve">NFASC</w:t>
            </w:r>
          </w:p>
        </w:tc>
        <w:tc>
          <w:tcPr/>
          <w:p>
            <w:pPr>
              <w:pStyle w:val="Compact"/>
              <w:jc w:val="left"/>
            </w:pPr>
            <w:r>
              <w:t xml:space="preserve">TMEM63A</w:t>
            </w:r>
          </w:p>
        </w:tc>
        <w:tc>
          <w:tcPr/>
          <w:p>
            <w:pPr>
              <w:pStyle w:val="Compact"/>
              <w:jc w:val="left"/>
            </w:pPr>
            <w:r>
              <w:t xml:space="preserve">CD79B</w:t>
            </w:r>
          </w:p>
        </w:tc>
        <w:tc>
          <w:tcPr/>
          <w:p>
            <w:pPr>
              <w:pStyle w:val="Compact"/>
              <w:jc w:val="left"/>
            </w:pPr>
            <w:r>
              <w:t xml:space="preserve">FGFBP1</w:t>
            </w:r>
          </w:p>
        </w:tc>
      </w:tr>
      <w:tr>
        <w:tc>
          <w:tcPr/>
          <w:p>
            <w:pPr>
              <w:pStyle w:val="Compact"/>
              <w:jc w:val="left"/>
            </w:pPr>
            <w:r>
              <w:t xml:space="preserve">FGFR3</w:t>
            </w:r>
          </w:p>
        </w:tc>
        <w:tc>
          <w:tcPr/>
          <w:p>
            <w:pPr>
              <w:pStyle w:val="Compact"/>
              <w:jc w:val="left"/>
            </w:pPr>
            <w:r>
              <w:t xml:space="preserve">SLC26A9</w:t>
            </w:r>
          </w:p>
        </w:tc>
        <w:tc>
          <w:tcPr/>
          <w:p>
            <w:pPr>
              <w:pStyle w:val="Compact"/>
              <w:jc w:val="left"/>
            </w:pPr>
            <w:r>
              <w:t xml:space="preserve">EGR3</w:t>
            </w:r>
          </w:p>
        </w:tc>
        <w:tc>
          <w:tcPr/>
          <w:p>
            <w:pPr>
              <w:pStyle w:val="Compact"/>
              <w:jc w:val="left"/>
            </w:pPr>
            <w:r>
              <w:t xml:space="preserve">GC</w:t>
            </w:r>
          </w:p>
        </w:tc>
        <w:tc>
          <w:tcPr/>
          <w:p>
            <w:pPr>
              <w:pStyle w:val="Compact"/>
              <w:jc w:val="left"/>
            </w:pPr>
            <w:r>
              <w:t xml:space="preserve">ENPP2</w:t>
            </w:r>
          </w:p>
        </w:tc>
        <w:tc>
          <w:tcPr/>
          <w:p>
            <w:pPr>
              <w:pStyle w:val="Compact"/>
              <w:jc w:val="left"/>
            </w:pPr>
            <w:r>
              <w:t xml:space="preserve">IRX3</w:t>
            </w:r>
          </w:p>
        </w:tc>
      </w:tr>
      <w:tr>
        <w:tc>
          <w:tcPr/>
          <w:p>
            <w:pPr>
              <w:pStyle w:val="Compact"/>
              <w:jc w:val="left"/>
            </w:pPr>
            <w:r>
              <w:t xml:space="preserve">IGF1R</w:t>
            </w:r>
          </w:p>
        </w:tc>
        <w:tc>
          <w:tcPr/>
          <w:p>
            <w:pPr>
              <w:pStyle w:val="Compact"/>
              <w:jc w:val="left"/>
            </w:pPr>
            <w:r>
              <w:t xml:space="preserve">TACC2</w:t>
            </w:r>
          </w:p>
        </w:tc>
        <w:tc>
          <w:tcPr/>
          <w:p>
            <w:pPr>
              <w:pStyle w:val="Compact"/>
              <w:jc w:val="left"/>
            </w:pPr>
            <w:r>
              <w:t xml:space="preserve">PLIN4</w:t>
            </w:r>
          </w:p>
        </w:tc>
        <w:tc>
          <w:tcPr/>
          <w:p>
            <w:pPr>
              <w:pStyle w:val="Compact"/>
              <w:jc w:val="left"/>
            </w:pPr>
            <w:r>
              <w:t xml:space="preserve">C1orf21</w:t>
            </w:r>
          </w:p>
        </w:tc>
        <w:tc>
          <w:tcPr/>
          <w:p>
            <w:pPr>
              <w:pStyle w:val="Compact"/>
              <w:jc w:val="left"/>
            </w:pPr>
            <w:r>
              <w:t xml:space="preserve">SQLE</w:t>
            </w:r>
          </w:p>
        </w:tc>
        <w:tc>
          <w:tcPr/>
          <w:p>
            <w:pPr>
              <w:pStyle w:val="Compact"/>
              <w:jc w:val="left"/>
            </w:pPr>
            <w:r>
              <w:t xml:space="preserve">TINAGL1</w:t>
            </w:r>
          </w:p>
        </w:tc>
      </w:tr>
      <w:tr>
        <w:tc>
          <w:tcPr/>
          <w:p>
            <w:pPr>
              <w:pStyle w:val="Compact"/>
              <w:jc w:val="left"/>
            </w:pPr>
            <w:r>
              <w:t xml:space="preserve">PLEKHB1</w:t>
            </w:r>
          </w:p>
        </w:tc>
        <w:tc>
          <w:tcPr/>
          <w:p>
            <w:pPr>
              <w:pStyle w:val="Compact"/>
              <w:jc w:val="left"/>
            </w:pPr>
            <w:r>
              <w:t xml:space="preserve">TRAK1</w:t>
            </w:r>
          </w:p>
        </w:tc>
        <w:tc>
          <w:tcPr/>
          <w:p>
            <w:pPr>
              <w:pStyle w:val="Compact"/>
              <w:jc w:val="left"/>
            </w:pPr>
            <w:r>
              <w:t xml:space="preserve">WDR72</w:t>
            </w:r>
          </w:p>
        </w:tc>
        <w:tc>
          <w:tcPr/>
          <w:p>
            <w:pPr>
              <w:pStyle w:val="Compact"/>
              <w:jc w:val="left"/>
            </w:pPr>
            <w:r>
              <w:t xml:space="preserve">MIF</w:t>
            </w:r>
          </w:p>
        </w:tc>
        <w:tc>
          <w:tcPr/>
          <w:p>
            <w:pPr>
              <w:pStyle w:val="Compact"/>
              <w:jc w:val="left"/>
            </w:pPr>
            <w:r>
              <w:t xml:space="preserve">KLF4</w:t>
            </w:r>
          </w:p>
        </w:tc>
        <w:tc>
          <w:tcPr/>
          <w:p>
            <w:pPr>
              <w:pStyle w:val="Compact"/>
              <w:jc w:val="left"/>
            </w:pPr>
            <w:r>
              <w:t xml:space="preserve">SFRP4</w:t>
            </w:r>
          </w:p>
        </w:tc>
      </w:tr>
      <w:tr>
        <w:tc>
          <w:tcPr/>
          <w:p>
            <w:pPr>
              <w:pStyle w:val="Compact"/>
              <w:jc w:val="left"/>
            </w:pPr>
            <w:r>
              <w:t xml:space="preserve">CPXM1</w:t>
            </w:r>
          </w:p>
        </w:tc>
        <w:tc>
          <w:tcPr/>
          <w:p>
            <w:pPr>
              <w:pStyle w:val="Compact"/>
              <w:jc w:val="left"/>
            </w:pPr>
            <w:r>
              <w:t xml:space="preserve">SAA1</w:t>
            </w:r>
          </w:p>
        </w:tc>
        <w:tc>
          <w:tcPr/>
          <w:p>
            <w:pPr>
              <w:pStyle w:val="Compact"/>
              <w:jc w:val="left"/>
            </w:pPr>
            <w:r>
              <w:t xml:space="preserve">AMY2A</w:t>
            </w:r>
          </w:p>
        </w:tc>
        <w:tc>
          <w:tcPr/>
          <w:p>
            <w:pPr>
              <w:pStyle w:val="Compact"/>
              <w:jc w:val="left"/>
            </w:pPr>
            <w:r>
              <w:t xml:space="preserve">FOXA2</w:t>
            </w:r>
          </w:p>
        </w:tc>
        <w:tc>
          <w:tcPr/>
          <w:p>
            <w:pPr>
              <w:pStyle w:val="Compact"/>
              <w:jc w:val="left"/>
            </w:pPr>
            <w:r>
              <w:t xml:space="preserve">PDLIM7</w:t>
            </w:r>
          </w:p>
        </w:tc>
        <w:tc>
          <w:tcPr/>
          <w:p>
            <w:pPr>
              <w:pStyle w:val="Compact"/>
              <w:jc w:val="left"/>
            </w:pPr>
            <w:r>
              <w:t xml:space="preserve">APLNR</w:t>
            </w:r>
          </w:p>
        </w:tc>
      </w:tr>
      <w:tr>
        <w:tc>
          <w:tcPr/>
          <w:p>
            <w:pPr>
              <w:pStyle w:val="Compact"/>
              <w:jc w:val="left"/>
            </w:pPr>
            <w:r>
              <w:t xml:space="preserve">ATP7B</w:t>
            </w:r>
          </w:p>
        </w:tc>
        <w:tc>
          <w:tcPr/>
          <w:p>
            <w:pPr>
              <w:pStyle w:val="Compact"/>
              <w:jc w:val="left"/>
            </w:pPr>
            <w:r>
              <w:t xml:space="preserve">CLDN23</w:t>
            </w:r>
          </w:p>
        </w:tc>
        <w:tc>
          <w:tcPr/>
          <w:p>
            <w:pPr>
              <w:pStyle w:val="Compact"/>
              <w:jc w:val="left"/>
            </w:pPr>
            <w:r>
              <w:t xml:space="preserve">IL16</w:t>
            </w:r>
          </w:p>
        </w:tc>
        <w:tc>
          <w:tcPr/>
          <w:p>
            <w:pPr>
              <w:pStyle w:val="Compact"/>
              <w:jc w:val="left"/>
            </w:pPr>
            <w:r>
              <w:t xml:space="preserve">CCL19</w:t>
            </w:r>
          </w:p>
        </w:tc>
        <w:tc>
          <w:tcPr/>
          <w:p>
            <w:pPr>
              <w:pStyle w:val="Compact"/>
              <w:jc w:val="left"/>
            </w:pPr>
            <w:r>
              <w:t xml:space="preserve">FOSB</w:t>
            </w:r>
          </w:p>
        </w:tc>
        <w:tc>
          <w:tcPr/>
          <w:p>
            <w:pPr>
              <w:pStyle w:val="Compact"/>
              <w:jc w:val="left"/>
            </w:pPr>
            <w:r>
              <w:t xml:space="preserve">AGRN</w:t>
            </w:r>
          </w:p>
        </w:tc>
      </w:tr>
      <w:tr>
        <w:tc>
          <w:tcPr/>
          <w:p>
            <w:pPr>
              <w:pStyle w:val="Compact"/>
              <w:jc w:val="left"/>
            </w:pPr>
            <w:r>
              <w:t xml:space="preserve">SLC12A2</w:t>
            </w:r>
          </w:p>
        </w:tc>
        <w:tc>
          <w:tcPr/>
          <w:p>
            <w:pPr>
              <w:pStyle w:val="Compact"/>
              <w:jc w:val="left"/>
            </w:pPr>
            <w:r>
              <w:t xml:space="preserve">FOXJ1</w:t>
            </w:r>
          </w:p>
        </w:tc>
        <w:tc>
          <w:tcPr/>
          <w:p>
            <w:pPr>
              <w:pStyle w:val="Compact"/>
              <w:jc w:val="left"/>
            </w:pPr>
            <w:r>
              <w:t xml:space="preserve">TJP3</w:t>
            </w:r>
          </w:p>
        </w:tc>
        <w:tc>
          <w:tcPr/>
          <w:p>
            <w:pPr>
              <w:pStyle w:val="Compact"/>
              <w:jc w:val="left"/>
            </w:pPr>
            <w:r>
              <w:t xml:space="preserve">GSTA1</w:t>
            </w:r>
          </w:p>
        </w:tc>
        <w:tc>
          <w:tcPr/>
          <w:p>
            <w:pPr>
              <w:pStyle w:val="Compact"/>
              <w:jc w:val="left"/>
            </w:pPr>
            <w:r>
              <w:t xml:space="preserve">RHPN2</w:t>
            </w:r>
          </w:p>
        </w:tc>
        <w:tc>
          <w:tcPr/>
          <w:p>
            <w:pPr>
              <w:pStyle w:val="Compact"/>
              <w:jc w:val="left"/>
            </w:pPr>
            <w:r>
              <w:t xml:space="preserve">SLC25A25</w:t>
            </w:r>
          </w:p>
        </w:tc>
      </w:tr>
      <w:tr>
        <w:tc>
          <w:tcPr/>
          <w:p>
            <w:pPr>
              <w:pStyle w:val="Compact"/>
              <w:jc w:val="left"/>
            </w:pPr>
            <w:r>
              <w:t xml:space="preserve">CCL20</w:t>
            </w:r>
          </w:p>
        </w:tc>
        <w:tc>
          <w:tcPr/>
          <w:p>
            <w:pPr>
              <w:pStyle w:val="Compact"/>
              <w:jc w:val="left"/>
            </w:pPr>
            <w:r>
              <w:t xml:space="preserve">FRY</w:t>
            </w:r>
          </w:p>
        </w:tc>
        <w:tc>
          <w:tcPr/>
          <w:p>
            <w:pPr>
              <w:pStyle w:val="Compact"/>
              <w:jc w:val="left"/>
            </w:pPr>
            <w:r>
              <w:t xml:space="preserve">SLC9A2</w:t>
            </w:r>
          </w:p>
        </w:tc>
        <w:tc>
          <w:tcPr/>
          <w:p>
            <w:pPr>
              <w:pStyle w:val="Compact"/>
              <w:jc w:val="left"/>
            </w:pPr>
            <w:r>
              <w:t xml:space="preserve">LLGL2</w:t>
            </w:r>
          </w:p>
        </w:tc>
        <w:tc>
          <w:tcPr/>
          <w:p>
            <w:pPr>
              <w:pStyle w:val="Compact"/>
              <w:jc w:val="left"/>
            </w:pPr>
            <w:r>
              <w:t xml:space="preserve">SCG2</w:t>
            </w:r>
          </w:p>
        </w:tc>
        <w:tc>
          <w:tcPr/>
          <w:p>
            <w:pPr>
              <w:pStyle w:val="Compact"/>
              <w:jc w:val="left"/>
            </w:pPr>
            <w:r>
              <w:t xml:space="preserve">PODN</w:t>
            </w:r>
          </w:p>
        </w:tc>
      </w:tr>
      <w:tr>
        <w:tc>
          <w:tcPr/>
          <w:p>
            <w:pPr>
              <w:pStyle w:val="Compact"/>
              <w:jc w:val="left"/>
            </w:pPr>
            <w:r>
              <w:t xml:space="preserve">AKNA</w:t>
            </w:r>
          </w:p>
        </w:tc>
        <w:tc>
          <w:tcPr/>
          <w:p>
            <w:pPr>
              <w:pStyle w:val="Compact"/>
              <w:jc w:val="left"/>
            </w:pPr>
            <w:r>
              <w:t xml:space="preserve">GATA6</w:t>
            </w:r>
          </w:p>
        </w:tc>
        <w:tc>
          <w:tcPr/>
          <w:p>
            <w:pPr>
              <w:pStyle w:val="Compact"/>
              <w:jc w:val="left"/>
            </w:pPr>
            <w:r>
              <w:t xml:space="preserve">LMOD1</w:t>
            </w:r>
          </w:p>
        </w:tc>
        <w:tc>
          <w:tcPr/>
          <w:p>
            <w:pPr>
              <w:pStyle w:val="Compact"/>
              <w:jc w:val="left"/>
            </w:pPr>
            <w:r>
              <w:t xml:space="preserve">ACP5</w:t>
            </w:r>
          </w:p>
        </w:tc>
        <w:tc>
          <w:tcPr/>
          <w:p>
            <w:pPr>
              <w:pStyle w:val="Compact"/>
              <w:jc w:val="left"/>
            </w:pPr>
            <w:r>
              <w:t xml:space="preserve">EMILIN1</w:t>
            </w:r>
          </w:p>
        </w:tc>
        <w:tc>
          <w:tcPr/>
          <w:p>
            <w:pPr>
              <w:pStyle w:val="Compact"/>
              <w:jc w:val="left"/>
            </w:pPr>
            <w:r>
              <w:t xml:space="preserve">ITIH2</w:t>
            </w:r>
          </w:p>
        </w:tc>
      </w:tr>
      <w:tr>
        <w:tc>
          <w:tcPr/>
          <w:p>
            <w:pPr>
              <w:pStyle w:val="Compact"/>
              <w:jc w:val="left"/>
            </w:pPr>
            <w:r>
              <w:t xml:space="preserve">COL16A1</w:t>
            </w:r>
          </w:p>
        </w:tc>
        <w:tc>
          <w:tcPr/>
          <w:p>
            <w:pPr>
              <w:pStyle w:val="Compact"/>
              <w:jc w:val="left"/>
            </w:pPr>
            <w:r>
              <w:t xml:space="preserve">PLXNA2</w:t>
            </w:r>
          </w:p>
        </w:tc>
        <w:tc>
          <w:tcPr/>
          <w:p>
            <w:pPr>
              <w:pStyle w:val="Compact"/>
              <w:jc w:val="left"/>
            </w:pPr>
            <w:r>
              <w:t xml:space="preserve">CPS1</w:t>
            </w:r>
          </w:p>
        </w:tc>
        <w:tc>
          <w:tcPr/>
          <w:p>
            <w:pPr>
              <w:pStyle w:val="Compact"/>
              <w:jc w:val="left"/>
            </w:pPr>
            <w:r>
              <w:t xml:space="preserve">UGT2B15</w:t>
            </w:r>
          </w:p>
        </w:tc>
        <w:tc>
          <w:tcPr/>
          <w:p>
            <w:pPr>
              <w:pStyle w:val="Compact"/>
              <w:jc w:val="left"/>
            </w:pPr>
            <w:r>
              <w:t xml:space="preserve">BACE2</w:t>
            </w:r>
          </w:p>
        </w:tc>
        <w:tc>
          <w:tcPr/>
          <w:p>
            <w:pPr>
              <w:pStyle w:val="Compact"/>
              <w:jc w:val="left"/>
            </w:pPr>
            <w:r>
              <w:t xml:space="preserve">FLJ23867</w:t>
            </w:r>
          </w:p>
        </w:tc>
      </w:tr>
    </w:tbl>
    <w:p>
      <w:pPr>
        <w:pStyle w:val="BodyText"/>
      </w:pPr>
      <w:r>
        <w:rPr>
          <w:iCs/>
          <w:i/>
        </w:rPr>
        <w:t xml:space="preserve">Top 270 genes for DeSurv factor D1 (Factor D1 (classical tumor + restCAF-like stroma)), ranked by factor specificity score</w:t>
      </w:r>
      <w:r>
        <w:rPr>
          <w:iCs/>
          <w:i/>
        </w:rPr>
        <w:t xml:space="preserve"> </w:t>
      </w:r>
      <m:oMath>
        <m:sSub>
          <m:e>
            <m:r>
              <m:t>s</m:t>
            </m:r>
          </m:e>
          <m:sub>
            <m:r>
              <m:t>i</m:t>
            </m:r>
            <m:r>
              <m:t>j</m:t>
            </m:r>
          </m:sub>
        </m:sSub>
      </m:oMath>
      <w:r>
        <w:rPr>
          <w:iCs/>
          <w:i/>
        </w:rPr>
        <w:t xml:space="preserve">. The 270-gene cutoff corresponds to the Bayesian optimization–selected projection dimension (</w:t>
      </w:r>
      <m:oMath>
        <m:sSub>
          <m:e>
            <m:r>
              <m:t>n</m:t>
            </m:r>
          </m:e>
          <m:sub>
            <m:r>
              <m:rPr>
                <m:nor/>
                <m:sty m:val="p"/>
              </m:rPr>
              <m:t>top</m:t>
            </m:r>
          </m:sub>
        </m:sSub>
      </m:oMath>
      <w:r>
        <w:rPr>
          <w:iCs/>
          <w:i/>
        </w:rPr>
        <w:t xml:space="preserv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rPr>
                <w:bCs/>
                <w:b/>
              </w:rPr>
              <w:t xml:space="preserve">Factor D2 (proCAF stroma)</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1–45</w:t>
            </w:r>
          </w:p>
        </w:tc>
        <w:tc>
          <w:tcPr/>
          <w:p>
            <w:pPr>
              <w:pStyle w:val="Compact"/>
              <w:jc w:val="left"/>
            </w:pPr>
            <w:r>
              <w:t xml:space="preserve">46–90</w:t>
            </w:r>
          </w:p>
        </w:tc>
        <w:tc>
          <w:tcPr/>
          <w:p>
            <w:pPr>
              <w:pStyle w:val="Compact"/>
              <w:jc w:val="left"/>
            </w:pPr>
            <w:r>
              <w:t xml:space="preserve">91–135</w:t>
            </w:r>
          </w:p>
        </w:tc>
        <w:tc>
          <w:tcPr/>
          <w:p>
            <w:pPr>
              <w:pStyle w:val="Compact"/>
              <w:jc w:val="left"/>
            </w:pPr>
            <w:r>
              <w:t xml:space="preserve">136–180</w:t>
            </w:r>
          </w:p>
        </w:tc>
        <w:tc>
          <w:tcPr/>
          <w:p>
            <w:pPr>
              <w:pStyle w:val="Compact"/>
              <w:jc w:val="left"/>
            </w:pPr>
            <w:r>
              <w:t xml:space="preserve">181–225</w:t>
            </w:r>
          </w:p>
        </w:tc>
        <w:tc>
          <w:tcPr/>
          <w:p>
            <w:pPr>
              <w:pStyle w:val="Compact"/>
              <w:jc w:val="left"/>
            </w:pPr>
            <w:r>
              <w:t xml:space="preserve">226–270</w:t>
            </w:r>
          </w:p>
        </w:tc>
      </w:tr>
      <w:tr>
        <w:tc>
          <w:tcPr/>
          <w:p>
            <w:pPr>
              <w:pStyle w:val="Compact"/>
              <w:jc w:val="left"/>
            </w:pPr>
            <w:r>
              <w:t xml:space="preserve">UHMK1</w:t>
            </w:r>
          </w:p>
        </w:tc>
        <w:tc>
          <w:tcPr/>
          <w:p>
            <w:pPr>
              <w:pStyle w:val="Compact"/>
              <w:jc w:val="left"/>
            </w:pPr>
            <w:r>
              <w:t xml:space="preserve">RPS26</w:t>
            </w:r>
          </w:p>
        </w:tc>
        <w:tc>
          <w:tcPr/>
          <w:p>
            <w:pPr>
              <w:pStyle w:val="Compact"/>
              <w:jc w:val="left"/>
            </w:pPr>
            <w:r>
              <w:t xml:space="preserve">SAMD9L</w:t>
            </w:r>
          </w:p>
        </w:tc>
        <w:tc>
          <w:tcPr/>
          <w:p>
            <w:pPr>
              <w:pStyle w:val="Compact"/>
              <w:jc w:val="left"/>
            </w:pPr>
            <w:r>
              <w:t xml:space="preserve">ATP8A1</w:t>
            </w:r>
          </w:p>
        </w:tc>
        <w:tc>
          <w:tcPr/>
          <w:p>
            <w:pPr>
              <w:pStyle w:val="Compact"/>
              <w:jc w:val="left"/>
            </w:pPr>
            <w:r>
              <w:t xml:space="preserve">IRF6</w:t>
            </w:r>
          </w:p>
        </w:tc>
        <w:tc>
          <w:tcPr/>
          <w:p>
            <w:pPr>
              <w:pStyle w:val="Compact"/>
              <w:jc w:val="left"/>
            </w:pPr>
            <w:r>
              <w:t xml:space="preserve">RASSF2</w:t>
            </w:r>
          </w:p>
        </w:tc>
      </w:tr>
      <w:tr>
        <w:tc>
          <w:tcPr/>
          <w:p>
            <w:pPr>
              <w:pStyle w:val="Compact"/>
              <w:jc w:val="left"/>
            </w:pPr>
            <w:r>
              <w:t xml:space="preserve">DDR2</w:t>
            </w:r>
          </w:p>
        </w:tc>
        <w:tc>
          <w:tcPr/>
          <w:p>
            <w:pPr>
              <w:pStyle w:val="Compact"/>
              <w:jc w:val="left"/>
            </w:pPr>
            <w:r>
              <w:t xml:space="preserve">MYLK</w:t>
            </w:r>
          </w:p>
        </w:tc>
        <w:tc>
          <w:tcPr/>
          <w:p>
            <w:pPr>
              <w:pStyle w:val="Compact"/>
              <w:jc w:val="left"/>
            </w:pPr>
            <w:r>
              <w:t xml:space="preserve">DOCK2</w:t>
            </w:r>
          </w:p>
        </w:tc>
        <w:tc>
          <w:tcPr/>
          <w:p>
            <w:pPr>
              <w:pStyle w:val="Compact"/>
              <w:jc w:val="left"/>
            </w:pPr>
            <w:r>
              <w:t xml:space="preserve">TGFBR1</w:t>
            </w:r>
          </w:p>
        </w:tc>
        <w:tc>
          <w:tcPr/>
          <w:p>
            <w:pPr>
              <w:pStyle w:val="Compact"/>
              <w:jc w:val="left"/>
            </w:pPr>
            <w:r>
              <w:t xml:space="preserve">KLHL6</w:t>
            </w:r>
          </w:p>
        </w:tc>
        <w:tc>
          <w:tcPr/>
          <w:p>
            <w:pPr>
              <w:pStyle w:val="Compact"/>
              <w:jc w:val="left"/>
            </w:pPr>
            <w:r>
              <w:t xml:space="preserve">ZNF83</w:t>
            </w:r>
          </w:p>
        </w:tc>
      </w:tr>
      <w:tr>
        <w:tc>
          <w:tcPr/>
          <w:p>
            <w:pPr>
              <w:pStyle w:val="Compact"/>
              <w:jc w:val="left"/>
            </w:pPr>
            <w:r>
              <w:t xml:space="preserve">INHBA</w:t>
            </w:r>
          </w:p>
        </w:tc>
        <w:tc>
          <w:tcPr/>
          <w:p>
            <w:pPr>
              <w:pStyle w:val="Compact"/>
              <w:jc w:val="left"/>
            </w:pPr>
            <w:r>
              <w:t xml:space="preserve">COL11A1</w:t>
            </w:r>
          </w:p>
        </w:tc>
        <w:tc>
          <w:tcPr/>
          <w:p>
            <w:pPr>
              <w:pStyle w:val="Compact"/>
              <w:jc w:val="left"/>
            </w:pPr>
            <w:r>
              <w:t xml:space="preserve">IGF1</w:t>
            </w:r>
          </w:p>
        </w:tc>
        <w:tc>
          <w:tcPr/>
          <w:p>
            <w:pPr>
              <w:pStyle w:val="Compact"/>
              <w:jc w:val="left"/>
            </w:pPr>
            <w:r>
              <w:t xml:space="preserve">SYNPO2</w:t>
            </w:r>
          </w:p>
        </w:tc>
        <w:tc>
          <w:tcPr/>
          <w:p>
            <w:pPr>
              <w:pStyle w:val="Compact"/>
              <w:jc w:val="left"/>
            </w:pPr>
            <w:r>
              <w:t xml:space="preserve">C1QTNF3</w:t>
            </w:r>
          </w:p>
        </w:tc>
        <w:tc>
          <w:tcPr/>
          <w:p>
            <w:pPr>
              <w:pStyle w:val="Compact"/>
              <w:jc w:val="left"/>
            </w:pPr>
            <w:r>
              <w:t xml:space="preserve">CYTIP</w:t>
            </w:r>
          </w:p>
        </w:tc>
      </w:tr>
      <w:tr>
        <w:tc>
          <w:tcPr/>
          <w:p>
            <w:pPr>
              <w:pStyle w:val="Compact"/>
              <w:jc w:val="left"/>
            </w:pPr>
            <w:r>
              <w:t xml:space="preserve">DYNC2H1</w:t>
            </w:r>
          </w:p>
        </w:tc>
        <w:tc>
          <w:tcPr/>
          <w:p>
            <w:pPr>
              <w:pStyle w:val="Compact"/>
              <w:jc w:val="left"/>
            </w:pPr>
            <w:r>
              <w:t xml:space="preserve">NFIB</w:t>
            </w:r>
          </w:p>
        </w:tc>
        <w:tc>
          <w:tcPr/>
          <w:p>
            <w:pPr>
              <w:pStyle w:val="Compact"/>
              <w:jc w:val="left"/>
            </w:pPr>
            <w:r>
              <w:t xml:space="preserve">TACC1</w:t>
            </w:r>
          </w:p>
        </w:tc>
        <w:tc>
          <w:tcPr/>
          <w:p>
            <w:pPr>
              <w:pStyle w:val="Compact"/>
              <w:jc w:val="left"/>
            </w:pPr>
            <w:r>
              <w:t xml:space="preserve">PDE4B</w:t>
            </w:r>
          </w:p>
        </w:tc>
        <w:tc>
          <w:tcPr/>
          <w:p>
            <w:pPr>
              <w:pStyle w:val="Compact"/>
              <w:jc w:val="left"/>
            </w:pPr>
            <w:r>
              <w:t xml:space="preserve">PCLO</w:t>
            </w:r>
          </w:p>
        </w:tc>
        <w:tc>
          <w:tcPr/>
          <w:p>
            <w:pPr>
              <w:pStyle w:val="Compact"/>
              <w:jc w:val="left"/>
            </w:pPr>
            <w:r>
              <w:t xml:space="preserve">SRPX2</w:t>
            </w:r>
          </w:p>
        </w:tc>
      </w:tr>
      <w:tr>
        <w:tc>
          <w:tcPr/>
          <w:p>
            <w:pPr>
              <w:pStyle w:val="Compact"/>
              <w:jc w:val="left"/>
            </w:pPr>
            <w:r>
              <w:t xml:space="preserve">ZDHHC20</w:t>
            </w:r>
          </w:p>
        </w:tc>
        <w:tc>
          <w:tcPr/>
          <w:p>
            <w:pPr>
              <w:pStyle w:val="Compact"/>
              <w:jc w:val="left"/>
            </w:pPr>
            <w:r>
              <w:t xml:space="preserve">PTPN13</w:t>
            </w:r>
          </w:p>
        </w:tc>
        <w:tc>
          <w:tcPr/>
          <w:p>
            <w:pPr>
              <w:pStyle w:val="Compact"/>
              <w:jc w:val="left"/>
            </w:pPr>
            <w:r>
              <w:t xml:space="preserve">CFH</w:t>
            </w:r>
          </w:p>
        </w:tc>
        <w:tc>
          <w:tcPr/>
          <w:p>
            <w:pPr>
              <w:pStyle w:val="Compact"/>
              <w:jc w:val="left"/>
            </w:pPr>
            <w:r>
              <w:t xml:space="preserve">SGCD</w:t>
            </w:r>
          </w:p>
        </w:tc>
        <w:tc>
          <w:tcPr/>
          <w:p>
            <w:pPr>
              <w:pStyle w:val="Compact"/>
              <w:jc w:val="left"/>
            </w:pPr>
            <w:r>
              <w:t xml:space="preserve">ITGA2</w:t>
            </w:r>
          </w:p>
        </w:tc>
        <w:tc>
          <w:tcPr/>
          <w:p>
            <w:pPr>
              <w:pStyle w:val="Compact"/>
              <w:jc w:val="left"/>
            </w:pPr>
            <w:r>
              <w:t xml:space="preserve">LY75</w:t>
            </w:r>
          </w:p>
        </w:tc>
      </w:tr>
      <w:tr>
        <w:tc>
          <w:tcPr/>
          <w:p>
            <w:pPr>
              <w:pStyle w:val="Compact"/>
              <w:jc w:val="left"/>
            </w:pPr>
            <w:r>
              <w:t xml:space="preserve">ITPR2</w:t>
            </w:r>
          </w:p>
        </w:tc>
        <w:tc>
          <w:tcPr/>
          <w:p>
            <w:pPr>
              <w:pStyle w:val="Compact"/>
              <w:jc w:val="left"/>
            </w:pPr>
            <w:r>
              <w:t xml:space="preserve">PDE3A</w:t>
            </w:r>
          </w:p>
        </w:tc>
        <w:tc>
          <w:tcPr/>
          <w:p>
            <w:pPr>
              <w:pStyle w:val="Compact"/>
              <w:jc w:val="left"/>
            </w:pPr>
            <w:r>
              <w:t xml:space="preserve">DMD</w:t>
            </w:r>
          </w:p>
        </w:tc>
        <w:tc>
          <w:tcPr/>
          <w:p>
            <w:pPr>
              <w:pStyle w:val="Compact"/>
              <w:jc w:val="left"/>
            </w:pPr>
            <w:r>
              <w:t xml:space="preserve">STK17B</w:t>
            </w:r>
          </w:p>
        </w:tc>
        <w:tc>
          <w:tcPr/>
          <w:p>
            <w:pPr>
              <w:pStyle w:val="Compact"/>
              <w:jc w:val="left"/>
            </w:pPr>
            <w:r>
              <w:t xml:space="preserve">LRIG3</w:t>
            </w:r>
          </w:p>
        </w:tc>
        <w:tc>
          <w:tcPr/>
          <w:p>
            <w:pPr>
              <w:pStyle w:val="Compact"/>
              <w:jc w:val="left"/>
            </w:pPr>
            <w:r>
              <w:t xml:space="preserve">HLA-DOA</w:t>
            </w:r>
          </w:p>
        </w:tc>
      </w:tr>
      <w:tr>
        <w:tc>
          <w:tcPr/>
          <w:p>
            <w:pPr>
              <w:pStyle w:val="Compact"/>
              <w:jc w:val="left"/>
            </w:pPr>
            <w:r>
              <w:t xml:space="preserve">HMCN1</w:t>
            </w:r>
          </w:p>
        </w:tc>
        <w:tc>
          <w:tcPr/>
          <w:p>
            <w:pPr>
              <w:pStyle w:val="Compact"/>
              <w:jc w:val="left"/>
            </w:pPr>
            <w:r>
              <w:t xml:space="preserve">TRIM22</w:t>
            </w:r>
          </w:p>
        </w:tc>
        <w:tc>
          <w:tcPr/>
          <w:p>
            <w:pPr>
              <w:pStyle w:val="Compact"/>
              <w:jc w:val="left"/>
            </w:pPr>
            <w:r>
              <w:t xml:space="preserve">PCDH7</w:t>
            </w:r>
          </w:p>
        </w:tc>
        <w:tc>
          <w:tcPr/>
          <w:p>
            <w:pPr>
              <w:pStyle w:val="Compact"/>
              <w:jc w:val="left"/>
            </w:pPr>
            <w:r>
              <w:t xml:space="preserve">NUAK1</w:t>
            </w:r>
          </w:p>
        </w:tc>
        <w:tc>
          <w:tcPr/>
          <w:p>
            <w:pPr>
              <w:pStyle w:val="Compact"/>
              <w:jc w:val="left"/>
            </w:pPr>
            <w:r>
              <w:t xml:space="preserve">SSPN</w:t>
            </w:r>
          </w:p>
        </w:tc>
        <w:tc>
          <w:tcPr/>
          <w:p>
            <w:pPr>
              <w:pStyle w:val="Compact"/>
              <w:jc w:val="left"/>
            </w:pPr>
            <w:r>
              <w:t xml:space="preserve">STK38L</w:t>
            </w:r>
          </w:p>
        </w:tc>
      </w:tr>
      <w:tr>
        <w:tc>
          <w:tcPr/>
          <w:p>
            <w:pPr>
              <w:pStyle w:val="Compact"/>
              <w:jc w:val="left"/>
            </w:pPr>
            <w:r>
              <w:t xml:space="preserve">LAMA2</w:t>
            </w:r>
          </w:p>
        </w:tc>
        <w:tc>
          <w:tcPr/>
          <w:p>
            <w:pPr>
              <w:pStyle w:val="Compact"/>
              <w:jc w:val="left"/>
            </w:pPr>
            <w:r>
              <w:t xml:space="preserve">DPYD</w:t>
            </w:r>
          </w:p>
        </w:tc>
        <w:tc>
          <w:tcPr/>
          <w:p>
            <w:pPr>
              <w:pStyle w:val="Compact"/>
              <w:jc w:val="left"/>
            </w:pPr>
            <w:r>
              <w:t xml:space="preserve">MALAT1</w:t>
            </w:r>
          </w:p>
        </w:tc>
        <w:tc>
          <w:tcPr/>
          <w:p>
            <w:pPr>
              <w:pStyle w:val="Compact"/>
              <w:jc w:val="left"/>
            </w:pPr>
            <w:r>
              <w:t xml:space="preserve">FCGR3A</w:t>
            </w:r>
          </w:p>
        </w:tc>
        <w:tc>
          <w:tcPr/>
          <w:p>
            <w:pPr>
              <w:pStyle w:val="Compact"/>
              <w:jc w:val="left"/>
            </w:pPr>
            <w:r>
              <w:t xml:space="preserve">F2R</w:t>
            </w:r>
          </w:p>
        </w:tc>
        <w:tc>
          <w:tcPr/>
          <w:p>
            <w:pPr>
              <w:pStyle w:val="Compact"/>
              <w:jc w:val="left"/>
            </w:pPr>
            <w:r>
              <w:t xml:space="preserve">RSAD2</w:t>
            </w:r>
          </w:p>
        </w:tc>
      </w:tr>
      <w:tr>
        <w:tc>
          <w:tcPr/>
          <w:p>
            <w:pPr>
              <w:pStyle w:val="Compact"/>
              <w:jc w:val="left"/>
            </w:pPr>
            <w:r>
              <w:t xml:space="preserve">SLFN5</w:t>
            </w:r>
          </w:p>
        </w:tc>
        <w:tc>
          <w:tcPr/>
          <w:p>
            <w:pPr>
              <w:pStyle w:val="Compact"/>
              <w:jc w:val="left"/>
            </w:pPr>
            <w:r>
              <w:t xml:space="preserve">COL14A1</w:t>
            </w:r>
          </w:p>
        </w:tc>
        <w:tc>
          <w:tcPr/>
          <w:p>
            <w:pPr>
              <w:pStyle w:val="Compact"/>
              <w:jc w:val="left"/>
            </w:pPr>
            <w:r>
              <w:t xml:space="preserve">NOTCH2</w:t>
            </w:r>
          </w:p>
        </w:tc>
        <w:tc>
          <w:tcPr/>
          <w:p>
            <w:pPr>
              <w:pStyle w:val="Compact"/>
              <w:jc w:val="left"/>
            </w:pPr>
            <w:r>
              <w:t xml:space="preserve">GPNMB</w:t>
            </w:r>
          </w:p>
        </w:tc>
        <w:tc>
          <w:tcPr/>
          <w:p>
            <w:pPr>
              <w:pStyle w:val="Compact"/>
              <w:jc w:val="left"/>
            </w:pPr>
            <w:r>
              <w:t xml:space="preserve">PDGFC</w:t>
            </w:r>
          </w:p>
        </w:tc>
        <w:tc>
          <w:tcPr/>
          <w:p>
            <w:pPr>
              <w:pStyle w:val="Compact"/>
              <w:jc w:val="left"/>
            </w:pPr>
            <w:r>
              <w:t xml:space="preserve">HBB</w:t>
            </w:r>
          </w:p>
        </w:tc>
      </w:tr>
      <w:tr>
        <w:tc>
          <w:tcPr/>
          <w:p>
            <w:pPr>
              <w:pStyle w:val="Compact"/>
              <w:jc w:val="left"/>
            </w:pPr>
            <w:r>
              <w:t xml:space="preserve">PLXNC1</w:t>
            </w:r>
          </w:p>
        </w:tc>
        <w:tc>
          <w:tcPr/>
          <w:p>
            <w:pPr>
              <w:pStyle w:val="Compact"/>
              <w:jc w:val="left"/>
            </w:pPr>
            <w:r>
              <w:t xml:space="preserve">CNTN1</w:t>
            </w:r>
          </w:p>
        </w:tc>
        <w:tc>
          <w:tcPr/>
          <w:p>
            <w:pPr>
              <w:pStyle w:val="Compact"/>
              <w:jc w:val="left"/>
            </w:pPr>
            <w:r>
              <w:t xml:space="preserve">CDK6</w:t>
            </w:r>
          </w:p>
        </w:tc>
        <w:tc>
          <w:tcPr/>
          <w:p>
            <w:pPr>
              <w:pStyle w:val="Compact"/>
              <w:jc w:val="left"/>
            </w:pPr>
            <w:r>
              <w:t xml:space="preserve">VCAM1</w:t>
            </w:r>
          </w:p>
        </w:tc>
        <w:tc>
          <w:tcPr/>
          <w:p>
            <w:pPr>
              <w:pStyle w:val="Compact"/>
              <w:jc w:val="left"/>
            </w:pPr>
            <w:r>
              <w:t xml:space="preserve">CD109</w:t>
            </w:r>
          </w:p>
        </w:tc>
        <w:tc>
          <w:tcPr/>
          <w:p>
            <w:pPr>
              <w:pStyle w:val="Compact"/>
              <w:jc w:val="left"/>
            </w:pPr>
            <w:r>
              <w:t xml:space="preserve">HERC2P2</w:t>
            </w:r>
          </w:p>
        </w:tc>
      </w:tr>
      <w:tr>
        <w:tc>
          <w:tcPr/>
          <w:p>
            <w:pPr>
              <w:pStyle w:val="Compact"/>
              <w:jc w:val="left"/>
            </w:pPr>
            <w:r>
              <w:t xml:space="preserve">SVEP1</w:t>
            </w:r>
          </w:p>
        </w:tc>
        <w:tc>
          <w:tcPr/>
          <w:p>
            <w:pPr>
              <w:pStyle w:val="Compact"/>
              <w:jc w:val="left"/>
            </w:pPr>
            <w:r>
              <w:t xml:space="preserve">NCKAP1L</w:t>
            </w:r>
          </w:p>
        </w:tc>
        <w:tc>
          <w:tcPr/>
          <w:p>
            <w:pPr>
              <w:pStyle w:val="Compact"/>
              <w:jc w:val="left"/>
            </w:pPr>
            <w:r>
              <w:t xml:space="preserve">FBN1</w:t>
            </w:r>
          </w:p>
        </w:tc>
        <w:tc>
          <w:tcPr/>
          <w:p>
            <w:pPr>
              <w:pStyle w:val="Compact"/>
              <w:jc w:val="left"/>
            </w:pPr>
            <w:r>
              <w:t xml:space="preserve">ADAMTS9</w:t>
            </w:r>
          </w:p>
        </w:tc>
        <w:tc>
          <w:tcPr/>
          <w:p>
            <w:pPr>
              <w:pStyle w:val="Compact"/>
              <w:jc w:val="left"/>
            </w:pPr>
            <w:r>
              <w:t xml:space="preserve">CLIC4</w:t>
            </w:r>
          </w:p>
        </w:tc>
        <w:tc>
          <w:tcPr/>
          <w:p>
            <w:pPr>
              <w:pStyle w:val="Compact"/>
              <w:jc w:val="left"/>
            </w:pPr>
            <w:r>
              <w:t xml:space="preserve">AOX1</w:t>
            </w:r>
          </w:p>
        </w:tc>
      </w:tr>
      <w:tr>
        <w:tc>
          <w:tcPr/>
          <w:p>
            <w:pPr>
              <w:pStyle w:val="Compact"/>
              <w:jc w:val="left"/>
            </w:pPr>
            <w:r>
              <w:t xml:space="preserve">CYBB</w:t>
            </w:r>
          </w:p>
        </w:tc>
        <w:tc>
          <w:tcPr/>
          <w:p>
            <w:pPr>
              <w:pStyle w:val="Compact"/>
              <w:jc w:val="left"/>
            </w:pPr>
            <w:r>
              <w:t xml:space="preserve">PHLDB2</w:t>
            </w:r>
          </w:p>
        </w:tc>
        <w:tc>
          <w:tcPr/>
          <w:p>
            <w:pPr>
              <w:pStyle w:val="Compact"/>
              <w:jc w:val="left"/>
            </w:pPr>
            <w:r>
              <w:t xml:space="preserve">SYNE2</w:t>
            </w:r>
          </w:p>
        </w:tc>
        <w:tc>
          <w:tcPr/>
          <w:p>
            <w:pPr>
              <w:pStyle w:val="Compact"/>
              <w:jc w:val="left"/>
            </w:pPr>
            <w:r>
              <w:t xml:space="preserve">ITGB8</w:t>
            </w:r>
          </w:p>
        </w:tc>
        <w:tc>
          <w:tcPr/>
          <w:p>
            <w:pPr>
              <w:pStyle w:val="Compact"/>
              <w:jc w:val="left"/>
            </w:pPr>
            <w:r>
              <w:t xml:space="preserve">SORL1</w:t>
            </w:r>
          </w:p>
        </w:tc>
        <w:tc>
          <w:tcPr/>
          <w:p>
            <w:pPr>
              <w:pStyle w:val="Compact"/>
              <w:jc w:val="left"/>
            </w:pPr>
            <w:r>
              <w:t xml:space="preserve">PLIN2</w:t>
            </w:r>
          </w:p>
        </w:tc>
      </w:tr>
      <w:tr>
        <w:tc>
          <w:tcPr/>
          <w:p>
            <w:pPr>
              <w:pStyle w:val="Compact"/>
              <w:jc w:val="left"/>
            </w:pPr>
            <w:r>
              <w:t xml:space="preserve">SYNE1</w:t>
            </w:r>
          </w:p>
        </w:tc>
        <w:tc>
          <w:tcPr/>
          <w:p>
            <w:pPr>
              <w:pStyle w:val="Compact"/>
              <w:jc w:val="left"/>
            </w:pPr>
            <w:r>
              <w:t xml:space="preserve">ITGA4</w:t>
            </w:r>
          </w:p>
        </w:tc>
        <w:tc>
          <w:tcPr/>
          <w:p>
            <w:pPr>
              <w:pStyle w:val="Compact"/>
              <w:jc w:val="left"/>
            </w:pPr>
            <w:r>
              <w:t xml:space="preserve">RHOBTB3</w:t>
            </w:r>
          </w:p>
        </w:tc>
        <w:tc>
          <w:tcPr/>
          <w:p>
            <w:pPr>
              <w:pStyle w:val="Compact"/>
              <w:jc w:val="left"/>
            </w:pPr>
            <w:r>
              <w:t xml:space="preserve">CR1</w:t>
            </w:r>
          </w:p>
        </w:tc>
        <w:tc>
          <w:tcPr/>
          <w:p>
            <w:pPr>
              <w:pStyle w:val="Compact"/>
              <w:jc w:val="left"/>
            </w:pPr>
            <w:r>
              <w:t xml:space="preserve">AOAH</w:t>
            </w:r>
          </w:p>
        </w:tc>
        <w:tc>
          <w:tcPr/>
          <w:p>
            <w:pPr>
              <w:pStyle w:val="Compact"/>
              <w:jc w:val="left"/>
            </w:pPr>
            <w:r>
              <w:t xml:space="preserve">PFKFB2</w:t>
            </w:r>
          </w:p>
        </w:tc>
      </w:tr>
      <w:tr>
        <w:tc>
          <w:tcPr/>
          <w:p>
            <w:pPr>
              <w:pStyle w:val="Compact"/>
              <w:jc w:val="left"/>
            </w:pPr>
            <w:r>
              <w:t xml:space="preserve">SAMHD1</w:t>
            </w:r>
          </w:p>
        </w:tc>
        <w:tc>
          <w:tcPr/>
          <w:p>
            <w:pPr>
              <w:pStyle w:val="Compact"/>
              <w:jc w:val="left"/>
            </w:pPr>
            <w:r>
              <w:t xml:space="preserve">MACC1</w:t>
            </w:r>
          </w:p>
        </w:tc>
        <w:tc>
          <w:tcPr/>
          <w:p>
            <w:pPr>
              <w:pStyle w:val="Compact"/>
              <w:jc w:val="left"/>
            </w:pPr>
            <w:r>
              <w:t xml:space="preserve">CALCRL</w:t>
            </w:r>
          </w:p>
        </w:tc>
        <w:tc>
          <w:tcPr/>
          <w:p>
            <w:pPr>
              <w:pStyle w:val="Compact"/>
              <w:jc w:val="left"/>
            </w:pPr>
            <w:r>
              <w:t xml:space="preserve">SEPT11</w:t>
            </w:r>
          </w:p>
        </w:tc>
        <w:tc>
          <w:tcPr/>
          <w:p>
            <w:pPr>
              <w:pStyle w:val="Compact"/>
              <w:jc w:val="left"/>
            </w:pPr>
            <w:r>
              <w:t xml:space="preserve">FMO2</w:t>
            </w:r>
          </w:p>
        </w:tc>
        <w:tc>
          <w:tcPr/>
          <w:p>
            <w:pPr>
              <w:pStyle w:val="Compact"/>
              <w:jc w:val="left"/>
            </w:pPr>
            <w:r>
              <w:t xml:space="preserve">OGN</w:t>
            </w:r>
          </w:p>
        </w:tc>
      </w:tr>
      <w:tr>
        <w:tc>
          <w:tcPr/>
          <w:p>
            <w:pPr>
              <w:pStyle w:val="Compact"/>
              <w:jc w:val="left"/>
            </w:pPr>
            <w:r>
              <w:t xml:space="preserve">SKIL</w:t>
            </w:r>
          </w:p>
        </w:tc>
        <w:tc>
          <w:tcPr/>
          <w:p>
            <w:pPr>
              <w:pStyle w:val="Compact"/>
              <w:jc w:val="left"/>
            </w:pPr>
            <w:r>
              <w:t xml:space="preserve">SEMA5A</w:t>
            </w:r>
          </w:p>
        </w:tc>
        <w:tc>
          <w:tcPr/>
          <w:p>
            <w:pPr>
              <w:pStyle w:val="Compact"/>
              <w:jc w:val="left"/>
            </w:pPr>
            <w:r>
              <w:t xml:space="preserve">NRP1</w:t>
            </w:r>
          </w:p>
        </w:tc>
        <w:tc>
          <w:tcPr/>
          <w:p>
            <w:pPr>
              <w:pStyle w:val="Compact"/>
              <w:jc w:val="left"/>
            </w:pPr>
            <w:r>
              <w:t xml:space="preserve">IFI44L</w:t>
            </w:r>
          </w:p>
        </w:tc>
        <w:tc>
          <w:tcPr/>
          <w:p>
            <w:pPr>
              <w:pStyle w:val="Compact"/>
              <w:jc w:val="left"/>
            </w:pPr>
            <w:r>
              <w:t xml:space="preserve">RDX</w:t>
            </w:r>
          </w:p>
        </w:tc>
        <w:tc>
          <w:tcPr/>
          <w:p>
            <w:pPr>
              <w:pStyle w:val="Compact"/>
              <w:jc w:val="left"/>
            </w:pPr>
            <w:r>
              <w:t xml:space="preserve">DOCK10</w:t>
            </w:r>
          </w:p>
        </w:tc>
      </w:tr>
      <w:tr>
        <w:tc>
          <w:tcPr/>
          <w:p>
            <w:pPr>
              <w:pStyle w:val="Compact"/>
              <w:jc w:val="left"/>
            </w:pPr>
            <w:r>
              <w:t xml:space="preserve">ADAMTS12</w:t>
            </w:r>
          </w:p>
        </w:tc>
        <w:tc>
          <w:tcPr/>
          <w:p>
            <w:pPr>
              <w:pStyle w:val="Compact"/>
              <w:jc w:val="left"/>
            </w:pPr>
            <w:r>
              <w:t xml:space="preserve">MRC1</w:t>
            </w:r>
          </w:p>
        </w:tc>
        <w:tc>
          <w:tcPr/>
          <w:p>
            <w:pPr>
              <w:pStyle w:val="Compact"/>
              <w:jc w:val="left"/>
            </w:pPr>
            <w:r>
              <w:t xml:space="preserve">LIFR</w:t>
            </w:r>
          </w:p>
        </w:tc>
        <w:tc>
          <w:tcPr/>
          <w:p>
            <w:pPr>
              <w:pStyle w:val="Compact"/>
              <w:jc w:val="left"/>
            </w:pPr>
            <w:r>
              <w:t xml:space="preserve">ELL2</w:t>
            </w:r>
          </w:p>
        </w:tc>
        <w:tc>
          <w:tcPr/>
          <w:p>
            <w:pPr>
              <w:pStyle w:val="Compact"/>
              <w:jc w:val="left"/>
            </w:pPr>
            <w:r>
              <w:t xml:space="preserve">IL1RAP</w:t>
            </w:r>
          </w:p>
        </w:tc>
        <w:tc>
          <w:tcPr/>
          <w:p>
            <w:pPr>
              <w:pStyle w:val="Compact"/>
              <w:jc w:val="left"/>
            </w:pPr>
            <w:r>
              <w:t xml:space="preserve">RGS4</w:t>
            </w:r>
          </w:p>
        </w:tc>
      </w:tr>
      <w:tr>
        <w:tc>
          <w:tcPr/>
          <w:p>
            <w:pPr>
              <w:pStyle w:val="Compact"/>
              <w:jc w:val="left"/>
            </w:pPr>
            <w:r>
              <w:t xml:space="preserve">BICC1</w:t>
            </w:r>
          </w:p>
        </w:tc>
        <w:tc>
          <w:tcPr/>
          <w:p>
            <w:pPr>
              <w:pStyle w:val="Compact"/>
              <w:jc w:val="left"/>
            </w:pPr>
            <w:r>
              <w:t xml:space="preserve">SLIT2</w:t>
            </w:r>
          </w:p>
        </w:tc>
        <w:tc>
          <w:tcPr/>
          <w:p>
            <w:pPr>
              <w:pStyle w:val="Compact"/>
              <w:jc w:val="left"/>
            </w:pPr>
            <w:r>
              <w:t xml:space="preserve">STAB1</w:t>
            </w:r>
          </w:p>
        </w:tc>
        <w:tc>
          <w:tcPr/>
          <w:p>
            <w:pPr>
              <w:pStyle w:val="Compact"/>
              <w:jc w:val="left"/>
            </w:pPr>
            <w:r>
              <w:t xml:space="preserve">GPR183</w:t>
            </w:r>
          </w:p>
        </w:tc>
        <w:tc>
          <w:tcPr/>
          <w:p>
            <w:pPr>
              <w:pStyle w:val="Compact"/>
              <w:jc w:val="left"/>
            </w:pPr>
            <w:r>
              <w:t xml:space="preserve">GBP1</w:t>
            </w:r>
          </w:p>
        </w:tc>
        <w:tc>
          <w:tcPr/>
          <w:p>
            <w:pPr>
              <w:pStyle w:val="Compact"/>
              <w:jc w:val="left"/>
            </w:pPr>
            <w:r>
              <w:t xml:space="preserve">AXL</w:t>
            </w:r>
          </w:p>
        </w:tc>
      </w:tr>
      <w:tr>
        <w:tc>
          <w:tcPr/>
          <w:p>
            <w:pPr>
              <w:pStyle w:val="Compact"/>
              <w:jc w:val="left"/>
            </w:pPr>
            <w:r>
              <w:t xml:space="preserve">ITGA1</w:t>
            </w:r>
          </w:p>
        </w:tc>
        <w:tc>
          <w:tcPr/>
          <w:p>
            <w:pPr>
              <w:pStyle w:val="Compact"/>
              <w:jc w:val="left"/>
            </w:pPr>
            <w:r>
              <w:t xml:space="preserve">ZEB2</w:t>
            </w:r>
          </w:p>
        </w:tc>
        <w:tc>
          <w:tcPr/>
          <w:p>
            <w:pPr>
              <w:pStyle w:val="Compact"/>
              <w:jc w:val="left"/>
            </w:pPr>
            <w:r>
              <w:t xml:space="preserve">FLRT2</w:t>
            </w:r>
          </w:p>
        </w:tc>
        <w:tc>
          <w:tcPr/>
          <w:p>
            <w:pPr>
              <w:pStyle w:val="Compact"/>
              <w:jc w:val="left"/>
            </w:pPr>
            <w:r>
              <w:t xml:space="preserve">ZBTB16</w:t>
            </w:r>
          </w:p>
        </w:tc>
        <w:tc>
          <w:tcPr/>
          <w:p>
            <w:pPr>
              <w:pStyle w:val="Compact"/>
              <w:jc w:val="left"/>
            </w:pPr>
            <w:r>
              <w:t xml:space="preserve">CXCR4</w:t>
            </w:r>
          </w:p>
        </w:tc>
        <w:tc>
          <w:tcPr/>
          <w:p>
            <w:pPr>
              <w:pStyle w:val="Compact"/>
              <w:jc w:val="left"/>
            </w:pPr>
            <w:r>
              <w:t xml:space="preserve">FGD6</w:t>
            </w:r>
          </w:p>
        </w:tc>
      </w:tr>
      <w:tr>
        <w:tc>
          <w:tcPr/>
          <w:p>
            <w:pPr>
              <w:pStyle w:val="Compact"/>
              <w:jc w:val="left"/>
            </w:pPr>
            <w:r>
              <w:t xml:space="preserve">COL8A1</w:t>
            </w:r>
          </w:p>
        </w:tc>
        <w:tc>
          <w:tcPr/>
          <w:p>
            <w:pPr>
              <w:pStyle w:val="Compact"/>
              <w:jc w:val="left"/>
            </w:pPr>
            <w:r>
              <w:t xml:space="preserve">ADAM10</w:t>
            </w:r>
          </w:p>
        </w:tc>
        <w:tc>
          <w:tcPr/>
          <w:p>
            <w:pPr>
              <w:pStyle w:val="Compact"/>
              <w:jc w:val="left"/>
            </w:pPr>
            <w:r>
              <w:t xml:space="preserve">RNF144A</w:t>
            </w:r>
          </w:p>
        </w:tc>
        <w:tc>
          <w:tcPr/>
          <w:p>
            <w:pPr>
              <w:pStyle w:val="Compact"/>
              <w:jc w:val="left"/>
            </w:pPr>
            <w:r>
              <w:t xml:space="preserve">FRMD6</w:t>
            </w:r>
          </w:p>
        </w:tc>
        <w:tc>
          <w:tcPr/>
          <w:p>
            <w:pPr>
              <w:pStyle w:val="Compact"/>
              <w:jc w:val="left"/>
            </w:pPr>
            <w:r>
              <w:t xml:space="preserve">WNK1</w:t>
            </w:r>
          </w:p>
        </w:tc>
        <w:tc>
          <w:tcPr/>
          <w:p>
            <w:pPr>
              <w:pStyle w:val="Compact"/>
              <w:jc w:val="left"/>
            </w:pPr>
            <w:r>
              <w:t xml:space="preserve">CDC42BPA</w:t>
            </w:r>
          </w:p>
        </w:tc>
      </w:tr>
      <w:tr>
        <w:tc>
          <w:tcPr/>
          <w:p>
            <w:pPr>
              <w:pStyle w:val="Compact"/>
              <w:jc w:val="left"/>
            </w:pPr>
            <w:r>
              <w:t xml:space="preserve">PDGFRA</w:t>
            </w:r>
          </w:p>
        </w:tc>
        <w:tc>
          <w:tcPr/>
          <w:p>
            <w:pPr>
              <w:pStyle w:val="Compact"/>
              <w:jc w:val="left"/>
            </w:pPr>
            <w:r>
              <w:t xml:space="preserve">SAMD9</w:t>
            </w:r>
          </w:p>
        </w:tc>
        <w:tc>
          <w:tcPr/>
          <w:p>
            <w:pPr>
              <w:pStyle w:val="Compact"/>
              <w:jc w:val="left"/>
            </w:pPr>
            <w:r>
              <w:t xml:space="preserve">BCAT1</w:t>
            </w:r>
          </w:p>
        </w:tc>
        <w:tc>
          <w:tcPr/>
          <w:p>
            <w:pPr>
              <w:pStyle w:val="Compact"/>
              <w:jc w:val="left"/>
            </w:pPr>
            <w:r>
              <w:t xml:space="preserve">PDE5A</w:t>
            </w:r>
          </w:p>
        </w:tc>
        <w:tc>
          <w:tcPr/>
          <w:p>
            <w:pPr>
              <w:pStyle w:val="Compact"/>
              <w:jc w:val="left"/>
            </w:pPr>
            <w:r>
              <w:t xml:space="preserve">MFAP5</w:t>
            </w:r>
          </w:p>
        </w:tc>
        <w:tc>
          <w:tcPr/>
          <w:p>
            <w:pPr>
              <w:pStyle w:val="Compact"/>
              <w:jc w:val="left"/>
            </w:pPr>
            <w:r>
              <w:t xml:space="preserve">SLC6A6</w:t>
            </w:r>
          </w:p>
        </w:tc>
      </w:tr>
      <w:tr>
        <w:tc>
          <w:tcPr/>
          <w:p>
            <w:pPr>
              <w:pStyle w:val="Compact"/>
              <w:jc w:val="left"/>
            </w:pPr>
            <w:r>
              <w:t xml:space="preserve">ABCA1</w:t>
            </w:r>
          </w:p>
        </w:tc>
        <w:tc>
          <w:tcPr/>
          <w:p>
            <w:pPr>
              <w:pStyle w:val="Compact"/>
              <w:jc w:val="left"/>
            </w:pPr>
            <w:r>
              <w:t xml:space="preserve">MS4A7</w:t>
            </w:r>
          </w:p>
        </w:tc>
        <w:tc>
          <w:tcPr/>
          <w:p>
            <w:pPr>
              <w:pStyle w:val="Compact"/>
              <w:jc w:val="left"/>
            </w:pPr>
            <w:r>
              <w:t xml:space="preserve">CILP</w:t>
            </w:r>
          </w:p>
        </w:tc>
        <w:tc>
          <w:tcPr/>
          <w:p>
            <w:pPr>
              <w:pStyle w:val="Compact"/>
              <w:jc w:val="left"/>
            </w:pPr>
            <w:r>
              <w:t xml:space="preserve">CSF1R</w:t>
            </w:r>
          </w:p>
        </w:tc>
        <w:tc>
          <w:tcPr/>
          <w:p>
            <w:pPr>
              <w:pStyle w:val="Compact"/>
              <w:jc w:val="left"/>
            </w:pPr>
            <w:r>
              <w:t xml:space="preserve">ALDH1A3</w:t>
            </w:r>
          </w:p>
        </w:tc>
        <w:tc>
          <w:tcPr/>
          <w:p>
            <w:pPr>
              <w:pStyle w:val="Compact"/>
              <w:jc w:val="left"/>
            </w:pPr>
            <w:r>
              <w:t xml:space="preserve">RGS1</w:t>
            </w:r>
          </w:p>
        </w:tc>
      </w:tr>
      <w:tr>
        <w:tc>
          <w:tcPr/>
          <w:p>
            <w:pPr>
              <w:pStyle w:val="Compact"/>
              <w:jc w:val="left"/>
            </w:pPr>
            <w:r>
              <w:t xml:space="preserve">TCF4</w:t>
            </w:r>
          </w:p>
        </w:tc>
        <w:tc>
          <w:tcPr/>
          <w:p>
            <w:pPr>
              <w:pStyle w:val="Compact"/>
              <w:jc w:val="left"/>
            </w:pPr>
            <w:r>
              <w:t xml:space="preserve">EFEMP1</w:t>
            </w:r>
          </w:p>
        </w:tc>
        <w:tc>
          <w:tcPr/>
          <w:p>
            <w:pPr>
              <w:pStyle w:val="Compact"/>
              <w:jc w:val="left"/>
            </w:pPr>
            <w:r>
              <w:t xml:space="preserve">CCDC80</w:t>
            </w:r>
          </w:p>
        </w:tc>
        <w:tc>
          <w:tcPr/>
          <w:p>
            <w:pPr>
              <w:pStyle w:val="Compact"/>
              <w:jc w:val="left"/>
            </w:pPr>
            <w:r>
              <w:t xml:space="preserve">PLEK</w:t>
            </w:r>
          </w:p>
        </w:tc>
        <w:tc>
          <w:tcPr/>
          <w:p>
            <w:pPr>
              <w:pStyle w:val="Compact"/>
              <w:jc w:val="left"/>
            </w:pPr>
            <w:r>
              <w:t xml:space="preserve">CD53</w:t>
            </w:r>
          </w:p>
        </w:tc>
        <w:tc>
          <w:tcPr/>
          <w:p>
            <w:pPr>
              <w:pStyle w:val="Compact"/>
              <w:jc w:val="left"/>
            </w:pPr>
            <w:r>
              <w:t xml:space="preserve">KIAA1324L</w:t>
            </w:r>
          </w:p>
        </w:tc>
      </w:tr>
      <w:tr>
        <w:tc>
          <w:tcPr/>
          <w:p>
            <w:pPr>
              <w:pStyle w:val="Compact"/>
              <w:jc w:val="left"/>
            </w:pPr>
            <w:r>
              <w:t xml:space="preserve">CEP170</w:t>
            </w:r>
          </w:p>
        </w:tc>
        <w:tc>
          <w:tcPr/>
          <w:p>
            <w:pPr>
              <w:pStyle w:val="Compact"/>
              <w:jc w:val="left"/>
            </w:pPr>
            <w:r>
              <w:t xml:space="preserve">BIRC3</w:t>
            </w:r>
          </w:p>
        </w:tc>
        <w:tc>
          <w:tcPr/>
          <w:p>
            <w:pPr>
              <w:pStyle w:val="Compact"/>
              <w:jc w:val="left"/>
            </w:pPr>
            <w:r>
              <w:t xml:space="preserve">FAT4</w:t>
            </w:r>
          </w:p>
        </w:tc>
        <w:tc>
          <w:tcPr/>
          <w:p>
            <w:pPr>
              <w:pStyle w:val="Compact"/>
              <w:jc w:val="left"/>
            </w:pPr>
            <w:r>
              <w:t xml:space="preserve">SLK</w:t>
            </w:r>
          </w:p>
        </w:tc>
        <w:tc>
          <w:tcPr/>
          <w:p>
            <w:pPr>
              <w:pStyle w:val="Compact"/>
              <w:jc w:val="left"/>
            </w:pPr>
            <w:r>
              <w:t xml:space="preserve">OMD</w:t>
            </w:r>
          </w:p>
        </w:tc>
        <w:tc>
          <w:tcPr/>
          <w:p>
            <w:pPr>
              <w:pStyle w:val="Compact"/>
              <w:jc w:val="left"/>
            </w:pPr>
            <w:r>
              <w:t xml:space="preserve">CPA3</w:t>
            </w:r>
          </w:p>
        </w:tc>
      </w:tr>
      <w:tr>
        <w:tc>
          <w:tcPr/>
          <w:p>
            <w:pPr>
              <w:pStyle w:val="Compact"/>
              <w:jc w:val="left"/>
            </w:pPr>
            <w:r>
              <w:t xml:space="preserve">CD163</w:t>
            </w:r>
          </w:p>
        </w:tc>
        <w:tc>
          <w:tcPr/>
          <w:p>
            <w:pPr>
              <w:pStyle w:val="Compact"/>
              <w:jc w:val="left"/>
            </w:pPr>
            <w:r>
              <w:t xml:space="preserve">WISP1</w:t>
            </w:r>
          </w:p>
        </w:tc>
        <w:tc>
          <w:tcPr/>
          <w:p>
            <w:pPr>
              <w:pStyle w:val="Compact"/>
              <w:jc w:val="left"/>
            </w:pPr>
            <w:r>
              <w:t xml:space="preserve">BNC2</w:t>
            </w:r>
          </w:p>
        </w:tc>
        <w:tc>
          <w:tcPr/>
          <w:p>
            <w:pPr>
              <w:pStyle w:val="Compact"/>
              <w:jc w:val="left"/>
            </w:pPr>
            <w:r>
              <w:t xml:space="preserve">SLC7A2</w:t>
            </w:r>
          </w:p>
        </w:tc>
        <w:tc>
          <w:tcPr/>
          <w:p>
            <w:pPr>
              <w:pStyle w:val="Compact"/>
              <w:jc w:val="left"/>
            </w:pPr>
            <w:r>
              <w:t xml:space="preserve">PLOD2</w:t>
            </w:r>
          </w:p>
        </w:tc>
        <w:tc>
          <w:tcPr/>
          <w:p>
            <w:pPr>
              <w:pStyle w:val="Compact"/>
              <w:jc w:val="left"/>
            </w:pPr>
            <w:r>
              <w:t xml:space="preserve">CHL1</w:t>
            </w:r>
          </w:p>
        </w:tc>
      </w:tr>
      <w:tr>
        <w:tc>
          <w:tcPr/>
          <w:p>
            <w:pPr>
              <w:pStyle w:val="Compact"/>
              <w:jc w:val="left"/>
            </w:pPr>
            <w:r>
              <w:t xml:space="preserve">MAN1A1</w:t>
            </w:r>
          </w:p>
        </w:tc>
        <w:tc>
          <w:tcPr/>
          <w:p>
            <w:pPr>
              <w:pStyle w:val="Compact"/>
              <w:jc w:val="left"/>
            </w:pPr>
            <w:r>
              <w:t xml:space="preserve">LAMA4</w:t>
            </w:r>
          </w:p>
        </w:tc>
        <w:tc>
          <w:tcPr/>
          <w:p>
            <w:pPr>
              <w:pStyle w:val="Compact"/>
              <w:jc w:val="left"/>
            </w:pPr>
            <w:r>
              <w:t xml:space="preserve">LTBP1</w:t>
            </w:r>
          </w:p>
        </w:tc>
        <w:tc>
          <w:tcPr/>
          <w:p>
            <w:pPr>
              <w:pStyle w:val="Compact"/>
              <w:jc w:val="left"/>
            </w:pPr>
            <w:r>
              <w:t xml:space="preserve">HEG1</w:t>
            </w:r>
          </w:p>
        </w:tc>
        <w:tc>
          <w:tcPr/>
          <w:p>
            <w:pPr>
              <w:pStyle w:val="Compact"/>
              <w:jc w:val="left"/>
            </w:pPr>
            <w:r>
              <w:t xml:space="preserve">ITGAV</w:t>
            </w:r>
          </w:p>
        </w:tc>
        <w:tc>
          <w:tcPr/>
          <w:p>
            <w:pPr>
              <w:pStyle w:val="Compact"/>
              <w:jc w:val="left"/>
            </w:pPr>
            <w:r>
              <w:t xml:space="preserve">SLC7A11</w:t>
            </w:r>
          </w:p>
        </w:tc>
      </w:tr>
      <w:tr>
        <w:tc>
          <w:tcPr/>
          <w:p>
            <w:pPr>
              <w:pStyle w:val="Compact"/>
              <w:jc w:val="left"/>
            </w:pPr>
            <w:r>
              <w:t xml:space="preserve">MSR1</w:t>
            </w:r>
          </w:p>
        </w:tc>
        <w:tc>
          <w:tcPr/>
          <w:p>
            <w:pPr>
              <w:pStyle w:val="Compact"/>
              <w:jc w:val="left"/>
            </w:pPr>
            <w:r>
              <w:t xml:space="preserve">FAM198B</w:t>
            </w:r>
          </w:p>
        </w:tc>
        <w:tc>
          <w:tcPr/>
          <w:p>
            <w:pPr>
              <w:pStyle w:val="Compact"/>
              <w:jc w:val="left"/>
            </w:pPr>
            <w:r>
              <w:t xml:space="preserve">COL12A1</w:t>
            </w:r>
          </w:p>
        </w:tc>
        <w:tc>
          <w:tcPr/>
          <w:p>
            <w:pPr>
              <w:pStyle w:val="Compact"/>
              <w:jc w:val="left"/>
            </w:pPr>
            <w:r>
              <w:t xml:space="preserve">GREM1</w:t>
            </w:r>
          </w:p>
        </w:tc>
        <w:tc>
          <w:tcPr/>
          <w:p>
            <w:pPr>
              <w:pStyle w:val="Compact"/>
              <w:jc w:val="left"/>
            </w:pPr>
            <w:r>
              <w:t xml:space="preserve">MACF1</w:t>
            </w:r>
          </w:p>
        </w:tc>
        <w:tc>
          <w:tcPr/>
          <w:p>
            <w:pPr>
              <w:pStyle w:val="Compact"/>
              <w:jc w:val="left"/>
            </w:pPr>
            <w:r>
              <w:t xml:space="preserve">GFPT2</w:t>
            </w:r>
          </w:p>
        </w:tc>
      </w:tr>
      <w:tr>
        <w:tc>
          <w:tcPr/>
          <w:p>
            <w:pPr>
              <w:pStyle w:val="Compact"/>
              <w:jc w:val="left"/>
            </w:pPr>
            <w:r>
              <w:t xml:space="preserve">CCDC88A</w:t>
            </w:r>
          </w:p>
        </w:tc>
        <w:tc>
          <w:tcPr/>
          <w:p>
            <w:pPr>
              <w:pStyle w:val="Compact"/>
              <w:jc w:val="left"/>
            </w:pPr>
            <w:r>
              <w:t xml:space="preserve">PTPRC</w:t>
            </w:r>
          </w:p>
        </w:tc>
        <w:tc>
          <w:tcPr/>
          <w:p>
            <w:pPr>
              <w:pStyle w:val="Compact"/>
              <w:jc w:val="left"/>
            </w:pPr>
            <w:r>
              <w:t xml:space="preserve">IL1R1</w:t>
            </w:r>
          </w:p>
        </w:tc>
        <w:tc>
          <w:tcPr/>
          <w:p>
            <w:pPr>
              <w:pStyle w:val="Compact"/>
              <w:jc w:val="left"/>
            </w:pPr>
            <w:r>
              <w:t xml:space="preserve">VGLL3</w:t>
            </w:r>
          </w:p>
        </w:tc>
        <w:tc>
          <w:tcPr/>
          <w:p>
            <w:pPr>
              <w:pStyle w:val="Compact"/>
              <w:jc w:val="left"/>
            </w:pPr>
            <w:r>
              <w:t xml:space="preserve">NID2</w:t>
            </w:r>
          </w:p>
        </w:tc>
        <w:tc>
          <w:tcPr/>
          <w:p>
            <w:pPr>
              <w:pStyle w:val="Compact"/>
              <w:jc w:val="left"/>
            </w:pPr>
            <w:r>
              <w:t xml:space="preserve">RAI14</w:t>
            </w:r>
          </w:p>
        </w:tc>
      </w:tr>
      <w:tr>
        <w:tc>
          <w:tcPr/>
          <w:p>
            <w:pPr>
              <w:pStyle w:val="Compact"/>
              <w:jc w:val="left"/>
            </w:pPr>
            <w:r>
              <w:t xml:space="preserve">F13A1</w:t>
            </w:r>
          </w:p>
        </w:tc>
        <w:tc>
          <w:tcPr/>
          <w:p>
            <w:pPr>
              <w:pStyle w:val="Compact"/>
              <w:jc w:val="left"/>
            </w:pPr>
            <w:r>
              <w:t xml:space="preserve">FAP</w:t>
            </w:r>
          </w:p>
        </w:tc>
        <w:tc>
          <w:tcPr/>
          <w:p>
            <w:pPr>
              <w:pStyle w:val="Compact"/>
              <w:jc w:val="left"/>
            </w:pPr>
            <w:r>
              <w:t xml:space="preserve">SLA</w:t>
            </w:r>
          </w:p>
        </w:tc>
        <w:tc>
          <w:tcPr/>
          <w:p>
            <w:pPr>
              <w:pStyle w:val="Compact"/>
              <w:jc w:val="left"/>
            </w:pPr>
            <w:r>
              <w:t xml:space="preserve">GBP5</w:t>
            </w:r>
          </w:p>
        </w:tc>
        <w:tc>
          <w:tcPr/>
          <w:p>
            <w:pPr>
              <w:pStyle w:val="Compact"/>
              <w:jc w:val="left"/>
            </w:pPr>
            <w:r>
              <w:t xml:space="preserve">NAMPT</w:t>
            </w:r>
          </w:p>
        </w:tc>
        <w:tc>
          <w:tcPr/>
          <w:p>
            <w:pPr>
              <w:pStyle w:val="Compact"/>
              <w:jc w:val="left"/>
            </w:pPr>
            <w:r>
              <w:t xml:space="preserve">LMAN1</w:t>
            </w:r>
          </w:p>
        </w:tc>
      </w:tr>
      <w:tr>
        <w:tc>
          <w:tcPr/>
          <w:p>
            <w:pPr>
              <w:pStyle w:val="Compact"/>
              <w:jc w:val="left"/>
            </w:pPr>
            <w:r>
              <w:t xml:space="preserve">RPS28</w:t>
            </w:r>
          </w:p>
        </w:tc>
        <w:tc>
          <w:tcPr/>
          <w:p>
            <w:pPr>
              <w:pStyle w:val="Compact"/>
              <w:jc w:val="left"/>
            </w:pPr>
            <w:r>
              <w:t xml:space="preserve">ARRDC3</w:t>
            </w:r>
          </w:p>
        </w:tc>
        <w:tc>
          <w:tcPr/>
          <w:p>
            <w:pPr>
              <w:pStyle w:val="Compact"/>
              <w:jc w:val="left"/>
            </w:pPr>
            <w:r>
              <w:t xml:space="preserve">MBOAT2</w:t>
            </w:r>
          </w:p>
        </w:tc>
        <w:tc>
          <w:tcPr/>
          <w:p>
            <w:pPr>
              <w:pStyle w:val="Compact"/>
              <w:jc w:val="left"/>
            </w:pPr>
            <w:r>
              <w:t xml:space="preserve">SLC1A3</w:t>
            </w:r>
          </w:p>
        </w:tc>
        <w:tc>
          <w:tcPr/>
          <w:p>
            <w:pPr>
              <w:pStyle w:val="Compact"/>
              <w:jc w:val="left"/>
            </w:pPr>
            <w:r>
              <w:t xml:space="preserve">ADAM28</w:t>
            </w:r>
          </w:p>
        </w:tc>
        <w:tc>
          <w:tcPr/>
          <w:p>
            <w:pPr>
              <w:pStyle w:val="Compact"/>
              <w:jc w:val="left"/>
            </w:pPr>
            <w:r>
              <w:t xml:space="preserve">MECOM</w:t>
            </w:r>
          </w:p>
        </w:tc>
      </w:tr>
      <w:tr>
        <w:tc>
          <w:tcPr/>
          <w:p>
            <w:pPr>
              <w:pStyle w:val="Compact"/>
              <w:jc w:val="left"/>
            </w:pPr>
            <w:r>
              <w:t xml:space="preserve">RALGAPA2</w:t>
            </w:r>
          </w:p>
        </w:tc>
        <w:tc>
          <w:tcPr/>
          <w:p>
            <w:pPr>
              <w:pStyle w:val="Compact"/>
              <w:jc w:val="left"/>
            </w:pPr>
            <w:r>
              <w:t xml:space="preserve">MYH10</w:t>
            </w:r>
          </w:p>
        </w:tc>
        <w:tc>
          <w:tcPr/>
          <w:p>
            <w:pPr>
              <w:pStyle w:val="Compact"/>
              <w:jc w:val="left"/>
            </w:pPr>
            <w:r>
              <w:t xml:space="preserve">FNDC3B</w:t>
            </w:r>
          </w:p>
        </w:tc>
        <w:tc>
          <w:tcPr/>
          <w:p>
            <w:pPr>
              <w:pStyle w:val="Compact"/>
              <w:jc w:val="left"/>
            </w:pPr>
            <w:r>
              <w:t xml:space="preserve">FGF7</w:t>
            </w:r>
          </w:p>
        </w:tc>
        <w:tc>
          <w:tcPr/>
          <w:p>
            <w:pPr>
              <w:pStyle w:val="Compact"/>
              <w:jc w:val="left"/>
            </w:pPr>
            <w:r>
              <w:t xml:space="preserve">GNE</w:t>
            </w:r>
          </w:p>
        </w:tc>
        <w:tc>
          <w:tcPr/>
          <w:p>
            <w:pPr>
              <w:pStyle w:val="Compact"/>
              <w:jc w:val="left"/>
            </w:pPr>
            <w:r>
              <w:t xml:space="preserve">FPR1</w:t>
            </w:r>
          </w:p>
        </w:tc>
      </w:tr>
      <w:tr>
        <w:tc>
          <w:tcPr/>
          <w:p>
            <w:pPr>
              <w:pStyle w:val="Compact"/>
              <w:jc w:val="left"/>
            </w:pPr>
            <w:r>
              <w:t xml:space="preserve">ZEB1</w:t>
            </w:r>
          </w:p>
        </w:tc>
        <w:tc>
          <w:tcPr/>
          <w:p>
            <w:pPr>
              <w:pStyle w:val="Compact"/>
              <w:jc w:val="left"/>
            </w:pPr>
            <w:r>
              <w:t xml:space="preserve">FCGR2A</w:t>
            </w:r>
          </w:p>
        </w:tc>
        <w:tc>
          <w:tcPr/>
          <w:p>
            <w:pPr>
              <w:pStyle w:val="Compact"/>
              <w:jc w:val="left"/>
            </w:pPr>
            <w:r>
              <w:t xml:space="preserve">PRRX1</w:t>
            </w:r>
          </w:p>
        </w:tc>
        <w:tc>
          <w:tcPr/>
          <w:p>
            <w:pPr>
              <w:pStyle w:val="Compact"/>
              <w:jc w:val="left"/>
            </w:pPr>
            <w:r>
              <w:t xml:space="preserve">ABCA8</w:t>
            </w:r>
          </w:p>
        </w:tc>
        <w:tc>
          <w:tcPr/>
          <w:p>
            <w:pPr>
              <w:pStyle w:val="Compact"/>
              <w:jc w:val="left"/>
            </w:pPr>
            <w:r>
              <w:t xml:space="preserve">ENAH</w:t>
            </w:r>
          </w:p>
        </w:tc>
        <w:tc>
          <w:tcPr/>
          <w:p>
            <w:pPr>
              <w:pStyle w:val="Compact"/>
              <w:jc w:val="left"/>
            </w:pPr>
            <w:r>
              <w:t xml:space="preserve">EDEM3</w:t>
            </w:r>
          </w:p>
        </w:tc>
      </w:tr>
      <w:tr>
        <w:tc>
          <w:tcPr/>
          <w:p>
            <w:pPr>
              <w:pStyle w:val="Compact"/>
              <w:jc w:val="left"/>
            </w:pPr>
            <w:r>
              <w:t xml:space="preserve">FBXO32</w:t>
            </w:r>
          </w:p>
        </w:tc>
        <w:tc>
          <w:tcPr/>
          <w:p>
            <w:pPr>
              <w:pStyle w:val="Compact"/>
              <w:jc w:val="left"/>
            </w:pPr>
            <w:r>
              <w:t xml:space="preserve">PARP14</w:t>
            </w:r>
          </w:p>
        </w:tc>
        <w:tc>
          <w:tcPr/>
          <w:p>
            <w:pPr>
              <w:pStyle w:val="Compact"/>
              <w:jc w:val="left"/>
            </w:pPr>
            <w:r>
              <w:t xml:space="preserve">COL10A1</w:t>
            </w:r>
          </w:p>
        </w:tc>
        <w:tc>
          <w:tcPr/>
          <w:p>
            <w:pPr>
              <w:pStyle w:val="Compact"/>
              <w:jc w:val="left"/>
            </w:pPr>
            <w:r>
              <w:t xml:space="preserve">ADAM12</w:t>
            </w:r>
          </w:p>
        </w:tc>
        <w:tc>
          <w:tcPr/>
          <w:p>
            <w:pPr>
              <w:pStyle w:val="Compact"/>
              <w:jc w:val="left"/>
            </w:pPr>
            <w:r>
              <w:t xml:space="preserve">FAM129A</w:t>
            </w:r>
          </w:p>
        </w:tc>
        <w:tc>
          <w:tcPr/>
          <w:p>
            <w:pPr>
              <w:pStyle w:val="Compact"/>
              <w:jc w:val="left"/>
            </w:pPr>
            <w:r>
              <w:t xml:space="preserve">RASSF6</w:t>
            </w:r>
          </w:p>
        </w:tc>
      </w:tr>
      <w:tr>
        <w:tc>
          <w:tcPr/>
          <w:p>
            <w:pPr>
              <w:pStyle w:val="Compact"/>
              <w:jc w:val="left"/>
            </w:pPr>
            <w:r>
              <w:t xml:space="preserve">INPP4B</w:t>
            </w:r>
          </w:p>
        </w:tc>
        <w:tc>
          <w:tcPr/>
          <w:p>
            <w:pPr>
              <w:pStyle w:val="Compact"/>
              <w:jc w:val="left"/>
            </w:pPr>
            <w:r>
              <w:t xml:space="preserve">DSE</w:t>
            </w:r>
          </w:p>
        </w:tc>
        <w:tc>
          <w:tcPr/>
          <w:p>
            <w:pPr>
              <w:pStyle w:val="Compact"/>
              <w:jc w:val="left"/>
            </w:pPr>
            <w:r>
              <w:t xml:space="preserve">DDX60</w:t>
            </w:r>
          </w:p>
        </w:tc>
        <w:tc>
          <w:tcPr/>
          <w:p>
            <w:pPr>
              <w:pStyle w:val="Compact"/>
              <w:jc w:val="left"/>
            </w:pPr>
            <w:r>
              <w:t xml:space="preserve">CYBRD1</w:t>
            </w:r>
          </w:p>
        </w:tc>
        <w:tc>
          <w:tcPr/>
          <w:p>
            <w:pPr>
              <w:pStyle w:val="Compact"/>
              <w:jc w:val="left"/>
            </w:pPr>
            <w:r>
              <w:t xml:space="preserve">ECM2</w:t>
            </w:r>
          </w:p>
        </w:tc>
        <w:tc>
          <w:tcPr/>
          <w:p>
            <w:pPr>
              <w:pStyle w:val="Compact"/>
              <w:jc w:val="left"/>
            </w:pPr>
            <w:r>
              <w:t xml:space="preserve">IQGAP2</w:t>
            </w:r>
          </w:p>
        </w:tc>
      </w:tr>
      <w:tr>
        <w:tc>
          <w:tcPr/>
          <w:p>
            <w:pPr>
              <w:pStyle w:val="Compact"/>
              <w:jc w:val="left"/>
            </w:pPr>
            <w:r>
              <w:t xml:space="preserve">CDH11</w:t>
            </w:r>
          </w:p>
        </w:tc>
        <w:tc>
          <w:tcPr/>
          <w:p>
            <w:pPr>
              <w:pStyle w:val="Compact"/>
              <w:jc w:val="left"/>
            </w:pPr>
            <w:r>
              <w:t xml:space="preserve">EHF</w:t>
            </w:r>
          </w:p>
        </w:tc>
        <w:tc>
          <w:tcPr/>
          <w:p>
            <w:pPr>
              <w:pStyle w:val="Compact"/>
              <w:jc w:val="left"/>
            </w:pPr>
            <w:r>
              <w:t xml:space="preserve">DOCK9</w:t>
            </w:r>
          </w:p>
        </w:tc>
        <w:tc>
          <w:tcPr/>
          <w:p>
            <w:pPr>
              <w:pStyle w:val="Compact"/>
              <w:jc w:val="left"/>
            </w:pPr>
            <w:r>
              <w:t xml:space="preserve">TFRC</w:t>
            </w:r>
          </w:p>
        </w:tc>
        <w:tc>
          <w:tcPr/>
          <w:p>
            <w:pPr>
              <w:pStyle w:val="Compact"/>
              <w:jc w:val="left"/>
            </w:pPr>
            <w:r>
              <w:t xml:space="preserve">VSIG4</w:t>
            </w:r>
          </w:p>
        </w:tc>
        <w:tc>
          <w:tcPr/>
          <w:p>
            <w:pPr>
              <w:pStyle w:val="Compact"/>
              <w:jc w:val="left"/>
            </w:pPr>
            <w:r>
              <w:t xml:space="preserve">MIAT</w:t>
            </w:r>
          </w:p>
        </w:tc>
      </w:tr>
      <w:tr>
        <w:tc>
          <w:tcPr/>
          <w:p>
            <w:pPr>
              <w:pStyle w:val="Compact"/>
              <w:jc w:val="left"/>
            </w:pPr>
            <w:r>
              <w:t xml:space="preserve">PKHD1</w:t>
            </w:r>
          </w:p>
        </w:tc>
        <w:tc>
          <w:tcPr/>
          <w:p>
            <w:pPr>
              <w:pStyle w:val="Compact"/>
              <w:jc w:val="left"/>
            </w:pPr>
            <w:r>
              <w:t xml:space="preserve">OSMR</w:t>
            </w:r>
          </w:p>
        </w:tc>
        <w:tc>
          <w:tcPr/>
          <w:p>
            <w:pPr>
              <w:pStyle w:val="Compact"/>
              <w:jc w:val="left"/>
            </w:pPr>
            <w:r>
              <w:t xml:space="preserve">SRGN</w:t>
            </w:r>
          </w:p>
        </w:tc>
        <w:tc>
          <w:tcPr/>
          <w:p>
            <w:pPr>
              <w:pStyle w:val="Compact"/>
              <w:jc w:val="left"/>
            </w:pPr>
            <w:r>
              <w:t xml:space="preserve">CTSK</w:t>
            </w:r>
          </w:p>
        </w:tc>
        <w:tc>
          <w:tcPr/>
          <w:p>
            <w:pPr>
              <w:pStyle w:val="Compact"/>
              <w:jc w:val="left"/>
            </w:pPr>
            <w:r>
              <w:t xml:space="preserve">MTAP</w:t>
            </w:r>
          </w:p>
        </w:tc>
        <w:tc>
          <w:tcPr/>
          <w:p>
            <w:pPr>
              <w:pStyle w:val="Compact"/>
              <w:jc w:val="left"/>
            </w:pPr>
            <w:r>
              <w:t xml:space="preserve">PRICKLE1</w:t>
            </w:r>
          </w:p>
        </w:tc>
      </w:tr>
      <w:tr>
        <w:tc>
          <w:tcPr/>
          <w:p>
            <w:pPr>
              <w:pStyle w:val="Compact"/>
              <w:jc w:val="left"/>
            </w:pPr>
            <w:r>
              <w:t xml:space="preserve">AKAP2</w:t>
            </w:r>
          </w:p>
        </w:tc>
        <w:tc>
          <w:tcPr/>
          <w:p>
            <w:pPr>
              <w:pStyle w:val="Compact"/>
              <w:jc w:val="left"/>
            </w:pPr>
            <w:r>
              <w:t xml:space="preserve">ARID5B</w:t>
            </w:r>
          </w:p>
        </w:tc>
        <w:tc>
          <w:tcPr/>
          <w:p>
            <w:pPr>
              <w:pStyle w:val="Compact"/>
              <w:jc w:val="left"/>
            </w:pPr>
            <w:r>
              <w:t xml:space="preserve">FOXO1</w:t>
            </w:r>
          </w:p>
        </w:tc>
        <w:tc>
          <w:tcPr/>
          <w:p>
            <w:pPr>
              <w:pStyle w:val="Compact"/>
              <w:jc w:val="left"/>
            </w:pPr>
            <w:r>
              <w:t xml:space="preserve">COLEC12</w:t>
            </w:r>
          </w:p>
        </w:tc>
        <w:tc>
          <w:tcPr/>
          <w:p>
            <w:pPr>
              <w:pStyle w:val="Compact"/>
              <w:jc w:val="left"/>
            </w:pPr>
            <w:r>
              <w:t xml:space="preserve">INMT</w:t>
            </w:r>
          </w:p>
        </w:tc>
        <w:tc>
          <w:tcPr/>
          <w:p>
            <w:pPr>
              <w:pStyle w:val="Compact"/>
              <w:jc w:val="left"/>
            </w:pPr>
            <w:r>
              <w:t xml:space="preserve">CHST15</w:t>
            </w:r>
          </w:p>
        </w:tc>
      </w:tr>
      <w:tr>
        <w:tc>
          <w:tcPr/>
          <w:p>
            <w:pPr>
              <w:pStyle w:val="Compact"/>
              <w:jc w:val="left"/>
            </w:pPr>
            <w:r>
              <w:t xml:space="preserve">CYP1B1</w:t>
            </w:r>
          </w:p>
        </w:tc>
        <w:tc>
          <w:tcPr/>
          <w:p>
            <w:pPr>
              <w:pStyle w:val="Compact"/>
              <w:jc w:val="left"/>
            </w:pPr>
            <w:r>
              <w:t xml:space="preserve">ASPN</w:t>
            </w:r>
          </w:p>
        </w:tc>
        <w:tc>
          <w:tcPr/>
          <w:p>
            <w:pPr>
              <w:pStyle w:val="Compact"/>
              <w:jc w:val="left"/>
            </w:pPr>
            <w:r>
              <w:t xml:space="preserve">MS4A6A</w:t>
            </w:r>
          </w:p>
        </w:tc>
        <w:tc>
          <w:tcPr/>
          <w:p>
            <w:pPr>
              <w:pStyle w:val="Compact"/>
              <w:jc w:val="left"/>
            </w:pPr>
            <w:r>
              <w:t xml:space="preserve">ALDH1L2</w:t>
            </w:r>
          </w:p>
        </w:tc>
        <w:tc>
          <w:tcPr/>
          <w:p>
            <w:pPr>
              <w:pStyle w:val="Compact"/>
              <w:jc w:val="left"/>
            </w:pPr>
            <w:r>
              <w:t xml:space="preserve">SGMS2</w:t>
            </w:r>
          </w:p>
        </w:tc>
        <w:tc>
          <w:tcPr/>
          <w:p>
            <w:pPr>
              <w:pStyle w:val="Compact"/>
              <w:jc w:val="left"/>
            </w:pPr>
            <w:r>
              <w:t xml:space="preserve">GEM</w:t>
            </w:r>
          </w:p>
        </w:tc>
      </w:tr>
      <w:tr>
        <w:tc>
          <w:tcPr/>
          <w:p>
            <w:pPr>
              <w:pStyle w:val="Compact"/>
              <w:jc w:val="left"/>
            </w:pPr>
            <w:r>
              <w:t xml:space="preserve">CCL5</w:t>
            </w:r>
          </w:p>
        </w:tc>
        <w:tc>
          <w:tcPr/>
          <w:p>
            <w:pPr>
              <w:pStyle w:val="Compact"/>
              <w:jc w:val="left"/>
            </w:pPr>
            <w:r>
              <w:t xml:space="preserve">SLCO2B1</w:t>
            </w:r>
          </w:p>
        </w:tc>
        <w:tc>
          <w:tcPr/>
          <w:p>
            <w:pPr>
              <w:pStyle w:val="Compact"/>
              <w:jc w:val="left"/>
            </w:pPr>
            <w:r>
              <w:t xml:space="preserve">ADAMTS2</w:t>
            </w:r>
          </w:p>
        </w:tc>
        <w:tc>
          <w:tcPr/>
          <w:p>
            <w:pPr>
              <w:pStyle w:val="Compact"/>
              <w:jc w:val="left"/>
            </w:pPr>
            <w:r>
              <w:t xml:space="preserve">PGM2L1</w:t>
            </w:r>
          </w:p>
        </w:tc>
        <w:tc>
          <w:tcPr/>
          <w:p>
            <w:pPr>
              <w:pStyle w:val="Compact"/>
              <w:jc w:val="left"/>
            </w:pPr>
            <w:r>
              <w:t xml:space="preserve">COL4A4</w:t>
            </w:r>
          </w:p>
        </w:tc>
        <w:tc>
          <w:tcPr/>
          <w:p>
            <w:pPr>
              <w:pStyle w:val="Compact"/>
              <w:jc w:val="left"/>
            </w:pPr>
            <w:r>
              <w:t xml:space="preserve">CHRDL1</w:t>
            </w:r>
          </w:p>
        </w:tc>
      </w:tr>
      <w:tr>
        <w:tc>
          <w:tcPr/>
          <w:p>
            <w:pPr>
              <w:pStyle w:val="Compact"/>
              <w:jc w:val="left"/>
            </w:pPr>
            <w:r>
              <w:t xml:space="preserve">FGL2</w:t>
            </w:r>
          </w:p>
        </w:tc>
        <w:tc>
          <w:tcPr/>
          <w:p>
            <w:pPr>
              <w:pStyle w:val="Compact"/>
              <w:jc w:val="left"/>
            </w:pPr>
            <w:r>
              <w:t xml:space="preserve">FPR3</w:t>
            </w:r>
          </w:p>
        </w:tc>
        <w:tc>
          <w:tcPr/>
          <w:p>
            <w:pPr>
              <w:pStyle w:val="Compact"/>
              <w:jc w:val="left"/>
            </w:pPr>
            <w:r>
              <w:t xml:space="preserve">CPVL</w:t>
            </w:r>
          </w:p>
        </w:tc>
        <w:tc>
          <w:tcPr/>
          <w:p>
            <w:pPr>
              <w:pStyle w:val="Compact"/>
              <w:jc w:val="left"/>
            </w:pPr>
            <w:r>
              <w:t xml:space="preserve">FAM135A</w:t>
            </w:r>
          </w:p>
        </w:tc>
        <w:tc>
          <w:tcPr/>
          <w:p>
            <w:pPr>
              <w:pStyle w:val="Compact"/>
              <w:jc w:val="left"/>
            </w:pPr>
            <w:r>
              <w:t xml:space="preserve">CAPRIN2</w:t>
            </w:r>
          </w:p>
        </w:tc>
        <w:tc>
          <w:tcPr/>
          <w:p>
            <w:pPr>
              <w:pStyle w:val="Compact"/>
              <w:jc w:val="left"/>
            </w:pPr>
            <w:r>
              <w:t xml:space="preserve">DSC2</w:t>
            </w:r>
          </w:p>
        </w:tc>
      </w:tr>
      <w:tr>
        <w:tc>
          <w:tcPr/>
          <w:p>
            <w:pPr>
              <w:pStyle w:val="Compact"/>
              <w:jc w:val="left"/>
            </w:pPr>
            <w:r>
              <w:t xml:space="preserve">MAP1B</w:t>
            </w:r>
          </w:p>
        </w:tc>
        <w:tc>
          <w:tcPr/>
          <w:p>
            <w:pPr>
              <w:pStyle w:val="Compact"/>
              <w:jc w:val="left"/>
            </w:pPr>
            <w:r>
              <w:t xml:space="preserve">DOCK8</w:t>
            </w:r>
          </w:p>
        </w:tc>
        <w:tc>
          <w:tcPr/>
          <w:p>
            <w:pPr>
              <w:pStyle w:val="Compact"/>
              <w:jc w:val="left"/>
            </w:pPr>
            <w:r>
              <w:t xml:space="preserve">CD93</w:t>
            </w:r>
          </w:p>
        </w:tc>
        <w:tc>
          <w:tcPr/>
          <w:p>
            <w:pPr>
              <w:pStyle w:val="Compact"/>
              <w:jc w:val="left"/>
            </w:pPr>
            <w:r>
              <w:t xml:space="preserve">DOCK11</w:t>
            </w:r>
          </w:p>
        </w:tc>
        <w:tc>
          <w:tcPr/>
          <w:p>
            <w:pPr>
              <w:pStyle w:val="Compact"/>
              <w:jc w:val="left"/>
            </w:pPr>
            <w:r>
              <w:t xml:space="preserve">CENPF</w:t>
            </w:r>
          </w:p>
        </w:tc>
        <w:tc>
          <w:tcPr/>
          <w:p>
            <w:pPr>
              <w:pStyle w:val="Compact"/>
              <w:jc w:val="left"/>
            </w:pPr>
            <w:r>
              <w:t xml:space="preserve">RAB31</w:t>
            </w:r>
          </w:p>
        </w:tc>
      </w:tr>
      <w:tr>
        <w:tc>
          <w:tcPr/>
          <w:p>
            <w:pPr>
              <w:pStyle w:val="Compact"/>
              <w:jc w:val="left"/>
            </w:pPr>
            <w:r>
              <w:t xml:space="preserve">PLXDC2</w:t>
            </w:r>
          </w:p>
        </w:tc>
        <w:tc>
          <w:tcPr/>
          <w:p>
            <w:pPr>
              <w:pStyle w:val="Compact"/>
              <w:jc w:val="left"/>
            </w:pPr>
            <w:r>
              <w:t xml:space="preserve">SLFN11</w:t>
            </w:r>
          </w:p>
        </w:tc>
        <w:tc>
          <w:tcPr/>
          <w:p>
            <w:pPr>
              <w:pStyle w:val="Compact"/>
              <w:jc w:val="left"/>
            </w:pPr>
            <w:r>
              <w:t xml:space="preserve">DST</w:t>
            </w:r>
          </w:p>
        </w:tc>
        <w:tc>
          <w:tcPr/>
          <w:p>
            <w:pPr>
              <w:pStyle w:val="Compact"/>
              <w:jc w:val="left"/>
            </w:pPr>
            <w:r>
              <w:t xml:space="preserve">EPHA3</w:t>
            </w:r>
          </w:p>
        </w:tc>
        <w:tc>
          <w:tcPr/>
          <w:p>
            <w:pPr>
              <w:pStyle w:val="Compact"/>
              <w:jc w:val="left"/>
            </w:pPr>
            <w:r>
              <w:t xml:space="preserve">DCLK1</w:t>
            </w:r>
          </w:p>
        </w:tc>
        <w:tc>
          <w:tcPr/>
          <w:p>
            <w:pPr>
              <w:pStyle w:val="Compact"/>
              <w:jc w:val="left"/>
            </w:pPr>
            <w:r>
              <w:t xml:space="preserve">SLC38A1</w:t>
            </w:r>
          </w:p>
        </w:tc>
      </w:tr>
      <w:tr>
        <w:tc>
          <w:tcPr/>
          <w:p>
            <w:pPr>
              <w:pStyle w:val="Compact"/>
              <w:jc w:val="left"/>
            </w:pPr>
            <w:r>
              <w:t xml:space="preserve">LRRK2</w:t>
            </w:r>
          </w:p>
        </w:tc>
        <w:tc>
          <w:tcPr/>
          <w:p>
            <w:pPr>
              <w:pStyle w:val="Compact"/>
              <w:jc w:val="left"/>
            </w:pPr>
            <w:r>
              <w:t xml:space="preserve">ZNF532</w:t>
            </w:r>
          </w:p>
        </w:tc>
        <w:tc>
          <w:tcPr/>
          <w:p>
            <w:pPr>
              <w:pStyle w:val="Compact"/>
              <w:jc w:val="left"/>
            </w:pPr>
            <w:r>
              <w:t xml:space="preserve">CDK14</w:t>
            </w:r>
          </w:p>
        </w:tc>
        <w:tc>
          <w:tcPr/>
          <w:p>
            <w:pPr>
              <w:pStyle w:val="Compact"/>
              <w:jc w:val="left"/>
            </w:pPr>
            <w:r>
              <w:t xml:space="preserve">PAPPA</w:t>
            </w:r>
          </w:p>
        </w:tc>
        <w:tc>
          <w:tcPr/>
          <w:p>
            <w:pPr>
              <w:pStyle w:val="Compact"/>
              <w:jc w:val="left"/>
            </w:pPr>
            <w:r>
              <w:t xml:space="preserve">EDNRA</w:t>
            </w:r>
          </w:p>
        </w:tc>
        <w:tc>
          <w:tcPr/>
          <w:p>
            <w:pPr>
              <w:pStyle w:val="Compact"/>
              <w:jc w:val="left"/>
            </w:pPr>
            <w:r>
              <w:t xml:space="preserve">CNN3</w:t>
            </w:r>
          </w:p>
        </w:tc>
      </w:tr>
      <w:tr>
        <w:tc>
          <w:tcPr/>
          <w:p>
            <w:pPr>
              <w:pStyle w:val="Compact"/>
              <w:jc w:val="left"/>
            </w:pPr>
            <w:r>
              <w:t xml:space="preserve">KIAA0754</w:t>
            </w:r>
          </w:p>
        </w:tc>
        <w:tc>
          <w:tcPr/>
          <w:p>
            <w:pPr>
              <w:pStyle w:val="Compact"/>
              <w:jc w:val="left"/>
            </w:pPr>
            <w:r>
              <w:t xml:space="preserve">SPON1</w:t>
            </w:r>
          </w:p>
        </w:tc>
        <w:tc>
          <w:tcPr/>
          <w:p>
            <w:pPr>
              <w:pStyle w:val="Compact"/>
              <w:jc w:val="left"/>
            </w:pPr>
            <w:r>
              <w:t xml:space="preserve">MSRB3</w:t>
            </w:r>
          </w:p>
        </w:tc>
        <w:tc>
          <w:tcPr/>
          <w:p>
            <w:pPr>
              <w:pStyle w:val="Compact"/>
              <w:jc w:val="left"/>
            </w:pPr>
            <w:r>
              <w:t xml:space="preserve">EGFR</w:t>
            </w:r>
          </w:p>
        </w:tc>
        <w:tc>
          <w:tcPr/>
          <w:p>
            <w:pPr>
              <w:pStyle w:val="Compact"/>
              <w:jc w:val="left"/>
            </w:pPr>
            <w:r>
              <w:t xml:space="preserve">WNT5A</w:t>
            </w:r>
          </w:p>
        </w:tc>
        <w:tc>
          <w:tcPr/>
          <w:p>
            <w:pPr>
              <w:pStyle w:val="Compact"/>
              <w:jc w:val="left"/>
            </w:pPr>
            <w:r>
              <w:t xml:space="preserve">FLT1</w:t>
            </w:r>
          </w:p>
        </w:tc>
      </w:tr>
      <w:tr>
        <w:tc>
          <w:tcPr/>
          <w:p>
            <w:pPr>
              <w:pStyle w:val="Compact"/>
              <w:jc w:val="left"/>
            </w:pPr>
            <w:r>
              <w:t xml:space="preserve">EDIL3</w:t>
            </w:r>
          </w:p>
        </w:tc>
        <w:tc>
          <w:tcPr/>
          <w:p>
            <w:pPr>
              <w:pStyle w:val="Compact"/>
              <w:jc w:val="left"/>
            </w:pPr>
            <w:r>
              <w:t xml:space="preserve">SEMA3C</w:t>
            </w:r>
          </w:p>
        </w:tc>
        <w:tc>
          <w:tcPr/>
          <w:p>
            <w:pPr>
              <w:pStyle w:val="Compact"/>
              <w:jc w:val="left"/>
            </w:pPr>
            <w:r>
              <w:t xml:space="preserve">RNF213</w:t>
            </w:r>
          </w:p>
        </w:tc>
        <w:tc>
          <w:tcPr/>
          <w:p>
            <w:pPr>
              <w:pStyle w:val="Compact"/>
              <w:jc w:val="left"/>
            </w:pPr>
            <w:r>
              <w:t xml:space="preserve">RASA1</w:t>
            </w:r>
          </w:p>
        </w:tc>
        <w:tc>
          <w:tcPr/>
          <w:p>
            <w:pPr>
              <w:pStyle w:val="Compact"/>
              <w:jc w:val="left"/>
            </w:pPr>
            <w:r>
              <w:t xml:space="preserve">GALNT5</w:t>
            </w:r>
          </w:p>
        </w:tc>
        <w:tc>
          <w:tcPr/>
          <w:p>
            <w:pPr>
              <w:pStyle w:val="Compact"/>
              <w:jc w:val="left"/>
            </w:pPr>
            <w:r>
              <w:t xml:space="preserve">TMEM200A</w:t>
            </w:r>
          </w:p>
        </w:tc>
      </w:tr>
      <w:tr>
        <w:tc>
          <w:tcPr/>
          <w:p>
            <w:pPr>
              <w:pStyle w:val="Compact"/>
              <w:jc w:val="left"/>
            </w:pPr>
            <w:r>
              <w:t xml:space="preserve">ITGBL1</w:t>
            </w:r>
          </w:p>
        </w:tc>
        <w:tc>
          <w:tcPr/>
          <w:p>
            <w:pPr>
              <w:pStyle w:val="Compact"/>
              <w:jc w:val="left"/>
            </w:pPr>
            <w:r>
              <w:t xml:space="preserve">FERMT2</w:t>
            </w:r>
          </w:p>
        </w:tc>
        <w:tc>
          <w:tcPr/>
          <w:p>
            <w:pPr>
              <w:pStyle w:val="Compact"/>
              <w:jc w:val="left"/>
            </w:pPr>
            <w:r>
              <w:t xml:space="preserve">SEL1L</w:t>
            </w:r>
          </w:p>
        </w:tc>
        <w:tc>
          <w:tcPr/>
          <w:p>
            <w:pPr>
              <w:pStyle w:val="Compact"/>
              <w:jc w:val="left"/>
            </w:pPr>
            <w:r>
              <w:t xml:space="preserve">AHR</w:t>
            </w:r>
          </w:p>
        </w:tc>
        <w:tc>
          <w:tcPr/>
          <w:p>
            <w:pPr>
              <w:pStyle w:val="Compact"/>
              <w:jc w:val="left"/>
            </w:pPr>
            <w:r>
              <w:t xml:space="preserve">SLC38A2</w:t>
            </w:r>
          </w:p>
        </w:tc>
        <w:tc>
          <w:tcPr/>
          <w:p>
            <w:pPr>
              <w:pStyle w:val="Compact"/>
              <w:jc w:val="left"/>
            </w:pPr>
            <w:r>
              <w:t xml:space="preserve">SLC2A3</w:t>
            </w:r>
          </w:p>
        </w:tc>
      </w:tr>
    </w:tbl>
    <w:p>
      <w:pPr>
        <w:pStyle w:val="BodyText"/>
      </w:pPr>
      <w:r>
        <w:rPr>
          <w:iCs/>
          <w:i/>
        </w:rPr>
        <w:t xml:space="preserve">Top 270 genes for DeSurv factor D2 (Factor D2 (proCAF stroma)), ranked by factor specificity score</w:t>
      </w:r>
      <w:r>
        <w:rPr>
          <w:iCs/>
          <w:i/>
        </w:rPr>
        <w:t xml:space="preserve"> </w:t>
      </w:r>
      <m:oMath>
        <m:sSub>
          <m:e>
            <m:r>
              <m:t>s</m:t>
            </m:r>
          </m:e>
          <m:sub>
            <m:r>
              <m:t>i</m:t>
            </m:r>
            <m:r>
              <m:t>j</m:t>
            </m:r>
          </m:sub>
        </m:sSub>
      </m:oMath>
      <w:r>
        <w:rPr>
          <w:iCs/>
          <w:i/>
        </w:rPr>
        <w:t xml:space="preserv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rPr>
                <w:bCs/>
                <w:b/>
              </w:rPr>
              <w:t xml:space="preserve">Factor D3 (basal-like tumor)</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1–45</w:t>
            </w:r>
          </w:p>
        </w:tc>
        <w:tc>
          <w:tcPr/>
          <w:p>
            <w:pPr>
              <w:pStyle w:val="Compact"/>
              <w:jc w:val="left"/>
            </w:pPr>
            <w:r>
              <w:t xml:space="preserve">46–90</w:t>
            </w:r>
          </w:p>
        </w:tc>
        <w:tc>
          <w:tcPr/>
          <w:p>
            <w:pPr>
              <w:pStyle w:val="Compact"/>
              <w:jc w:val="left"/>
            </w:pPr>
            <w:r>
              <w:t xml:space="preserve">91–135</w:t>
            </w:r>
          </w:p>
        </w:tc>
        <w:tc>
          <w:tcPr/>
          <w:p>
            <w:pPr>
              <w:pStyle w:val="Compact"/>
              <w:jc w:val="left"/>
            </w:pPr>
            <w:r>
              <w:t xml:space="preserve">136–180</w:t>
            </w:r>
          </w:p>
        </w:tc>
        <w:tc>
          <w:tcPr/>
          <w:p>
            <w:pPr>
              <w:pStyle w:val="Compact"/>
              <w:jc w:val="left"/>
            </w:pPr>
            <w:r>
              <w:t xml:space="preserve">181–225</w:t>
            </w:r>
          </w:p>
        </w:tc>
        <w:tc>
          <w:tcPr/>
          <w:p>
            <w:pPr>
              <w:pStyle w:val="Compact"/>
              <w:jc w:val="left"/>
            </w:pPr>
            <w:r>
              <w:t xml:space="preserve">226–270</w:t>
            </w:r>
          </w:p>
        </w:tc>
      </w:tr>
      <w:tr>
        <w:tc>
          <w:tcPr/>
          <w:p>
            <w:pPr>
              <w:pStyle w:val="Compact"/>
              <w:jc w:val="left"/>
            </w:pPr>
            <w:r>
              <w:t xml:space="preserve">HSPB1</w:t>
            </w:r>
          </w:p>
        </w:tc>
        <w:tc>
          <w:tcPr/>
          <w:p>
            <w:pPr>
              <w:pStyle w:val="Compact"/>
              <w:jc w:val="left"/>
            </w:pPr>
            <w:r>
              <w:t xml:space="preserve">HLA-H</w:t>
            </w:r>
          </w:p>
        </w:tc>
        <w:tc>
          <w:tcPr/>
          <w:p>
            <w:pPr>
              <w:pStyle w:val="Compact"/>
              <w:jc w:val="left"/>
            </w:pPr>
            <w:r>
              <w:t xml:space="preserve">LAMB3</w:t>
            </w:r>
          </w:p>
        </w:tc>
        <w:tc>
          <w:tcPr/>
          <w:p>
            <w:pPr>
              <w:pStyle w:val="Compact"/>
              <w:jc w:val="left"/>
            </w:pPr>
            <w:r>
              <w:t xml:space="preserve">MYL9</w:t>
            </w:r>
          </w:p>
        </w:tc>
        <w:tc>
          <w:tcPr/>
          <w:p>
            <w:pPr>
              <w:pStyle w:val="Compact"/>
              <w:jc w:val="left"/>
            </w:pPr>
            <w:r>
              <w:t xml:space="preserve">IL1RN</w:t>
            </w:r>
          </w:p>
        </w:tc>
        <w:tc>
          <w:tcPr/>
          <w:p>
            <w:pPr>
              <w:pStyle w:val="Compact"/>
              <w:jc w:val="left"/>
            </w:pPr>
            <w:r>
              <w:t xml:space="preserve">SDC1</w:t>
            </w:r>
          </w:p>
        </w:tc>
      </w:tr>
      <w:tr>
        <w:tc>
          <w:tcPr/>
          <w:p>
            <w:pPr>
              <w:pStyle w:val="Compact"/>
              <w:jc w:val="left"/>
            </w:pPr>
            <w:r>
              <w:t xml:space="preserve">KRT7</w:t>
            </w:r>
          </w:p>
        </w:tc>
        <w:tc>
          <w:tcPr/>
          <w:p>
            <w:pPr>
              <w:pStyle w:val="Compact"/>
              <w:jc w:val="left"/>
            </w:pPr>
            <w:r>
              <w:t xml:space="preserve">HSPA1A</w:t>
            </w:r>
          </w:p>
        </w:tc>
        <w:tc>
          <w:tcPr/>
          <w:p>
            <w:pPr>
              <w:pStyle w:val="Compact"/>
              <w:jc w:val="left"/>
            </w:pPr>
            <w:r>
              <w:t xml:space="preserve">FSCN1</w:t>
            </w:r>
          </w:p>
        </w:tc>
        <w:tc>
          <w:tcPr/>
          <w:p>
            <w:pPr>
              <w:pStyle w:val="Compact"/>
              <w:jc w:val="left"/>
            </w:pPr>
            <w:r>
              <w:t xml:space="preserve">COL17A1</w:t>
            </w:r>
          </w:p>
        </w:tc>
        <w:tc>
          <w:tcPr/>
          <w:p>
            <w:pPr>
              <w:pStyle w:val="Compact"/>
              <w:jc w:val="left"/>
            </w:pPr>
            <w:r>
              <w:t xml:space="preserve">TST</w:t>
            </w:r>
          </w:p>
        </w:tc>
        <w:tc>
          <w:tcPr/>
          <w:p>
            <w:pPr>
              <w:pStyle w:val="Compact"/>
              <w:jc w:val="left"/>
            </w:pPr>
            <w:r>
              <w:t xml:space="preserve">KLK11</w:t>
            </w:r>
          </w:p>
        </w:tc>
      </w:tr>
      <w:tr>
        <w:tc>
          <w:tcPr/>
          <w:p>
            <w:pPr>
              <w:pStyle w:val="Compact"/>
              <w:jc w:val="left"/>
            </w:pPr>
            <w:r>
              <w:t xml:space="preserve">MSLN</w:t>
            </w:r>
          </w:p>
        </w:tc>
        <w:tc>
          <w:tcPr/>
          <w:p>
            <w:pPr>
              <w:pStyle w:val="Compact"/>
              <w:jc w:val="left"/>
            </w:pPr>
            <w:r>
              <w:t xml:space="preserve">LGALS3</w:t>
            </w:r>
          </w:p>
        </w:tc>
        <w:tc>
          <w:tcPr/>
          <w:p>
            <w:pPr>
              <w:pStyle w:val="Compact"/>
              <w:jc w:val="left"/>
            </w:pPr>
            <w:r>
              <w:t xml:space="preserve">TSPAN13</w:t>
            </w:r>
          </w:p>
        </w:tc>
        <w:tc>
          <w:tcPr/>
          <w:p>
            <w:pPr>
              <w:pStyle w:val="Compact"/>
              <w:jc w:val="left"/>
            </w:pPr>
            <w:r>
              <w:t xml:space="preserve">EPS8L1</w:t>
            </w:r>
          </w:p>
        </w:tc>
        <w:tc>
          <w:tcPr/>
          <w:p>
            <w:pPr>
              <w:pStyle w:val="Compact"/>
              <w:jc w:val="left"/>
            </w:pPr>
            <w:r>
              <w:t xml:space="preserve">RAPGEFL1</w:t>
            </w:r>
          </w:p>
        </w:tc>
        <w:tc>
          <w:tcPr/>
          <w:p>
            <w:pPr>
              <w:pStyle w:val="Compact"/>
              <w:jc w:val="left"/>
            </w:pPr>
            <w:r>
              <w:t xml:space="preserve">PERP</w:t>
            </w:r>
          </w:p>
        </w:tc>
      </w:tr>
      <w:tr>
        <w:tc>
          <w:tcPr/>
          <w:p>
            <w:pPr>
              <w:pStyle w:val="Compact"/>
              <w:jc w:val="left"/>
            </w:pPr>
            <w:r>
              <w:t xml:space="preserve">RPSAP58</w:t>
            </w:r>
          </w:p>
        </w:tc>
        <w:tc>
          <w:tcPr/>
          <w:p>
            <w:pPr>
              <w:pStyle w:val="Compact"/>
              <w:jc w:val="left"/>
            </w:pPr>
            <w:r>
              <w:t xml:space="preserve">FAM83H</w:t>
            </w:r>
          </w:p>
        </w:tc>
        <w:tc>
          <w:tcPr/>
          <w:p>
            <w:pPr>
              <w:pStyle w:val="Compact"/>
              <w:jc w:val="left"/>
            </w:pPr>
            <w:r>
              <w:t xml:space="preserve">TSPAN8</w:t>
            </w:r>
          </w:p>
        </w:tc>
        <w:tc>
          <w:tcPr/>
          <w:p>
            <w:pPr>
              <w:pStyle w:val="Compact"/>
              <w:jc w:val="left"/>
            </w:pPr>
            <w:r>
              <w:t xml:space="preserve">CDH3</w:t>
            </w:r>
          </w:p>
        </w:tc>
        <w:tc>
          <w:tcPr/>
          <w:p>
            <w:pPr>
              <w:pStyle w:val="Compact"/>
              <w:jc w:val="left"/>
            </w:pPr>
            <w:r>
              <w:t xml:space="preserve">C15orf48</w:t>
            </w:r>
          </w:p>
        </w:tc>
        <w:tc>
          <w:tcPr/>
          <w:p>
            <w:pPr>
              <w:pStyle w:val="Compact"/>
              <w:jc w:val="left"/>
            </w:pPr>
            <w:r>
              <w:t xml:space="preserve">ARHGAP23</w:t>
            </w:r>
          </w:p>
        </w:tc>
      </w:tr>
      <w:tr>
        <w:tc>
          <w:tcPr/>
          <w:p>
            <w:pPr>
              <w:pStyle w:val="Compact"/>
              <w:jc w:val="left"/>
            </w:pPr>
            <w:r>
              <w:t xml:space="preserve">S100P</w:t>
            </w:r>
          </w:p>
        </w:tc>
        <w:tc>
          <w:tcPr/>
          <w:p>
            <w:pPr>
              <w:pStyle w:val="Compact"/>
              <w:jc w:val="left"/>
            </w:pPr>
            <w:r>
              <w:t xml:space="preserve">EPB41L1</w:t>
            </w:r>
          </w:p>
        </w:tc>
        <w:tc>
          <w:tcPr/>
          <w:p>
            <w:pPr>
              <w:pStyle w:val="Compact"/>
              <w:jc w:val="left"/>
            </w:pPr>
            <w:r>
              <w:t xml:space="preserve">ALDH3B1</w:t>
            </w:r>
          </w:p>
        </w:tc>
        <w:tc>
          <w:tcPr/>
          <w:p>
            <w:pPr>
              <w:pStyle w:val="Compact"/>
              <w:jc w:val="left"/>
            </w:pPr>
            <w:r>
              <w:t xml:space="preserve">RNASET2</w:t>
            </w:r>
          </w:p>
        </w:tc>
        <w:tc>
          <w:tcPr/>
          <w:p>
            <w:pPr>
              <w:pStyle w:val="Compact"/>
              <w:jc w:val="left"/>
            </w:pPr>
            <w:r>
              <w:t xml:space="preserve">PFKP</w:t>
            </w:r>
          </w:p>
        </w:tc>
        <w:tc>
          <w:tcPr/>
          <w:p>
            <w:pPr>
              <w:pStyle w:val="Compact"/>
              <w:jc w:val="left"/>
            </w:pPr>
            <w:r>
              <w:t xml:space="preserve">HPGD</w:t>
            </w:r>
          </w:p>
        </w:tc>
      </w:tr>
      <w:tr>
        <w:tc>
          <w:tcPr/>
          <w:p>
            <w:pPr>
              <w:pStyle w:val="Compact"/>
              <w:jc w:val="left"/>
            </w:pPr>
            <w:r>
              <w:t xml:space="preserve">RPS16</w:t>
            </w:r>
          </w:p>
        </w:tc>
        <w:tc>
          <w:tcPr/>
          <w:p>
            <w:pPr>
              <w:pStyle w:val="Compact"/>
              <w:jc w:val="left"/>
            </w:pPr>
            <w:r>
              <w:t xml:space="preserve">EFNA1</w:t>
            </w:r>
          </w:p>
        </w:tc>
        <w:tc>
          <w:tcPr/>
          <w:p>
            <w:pPr>
              <w:pStyle w:val="Compact"/>
              <w:jc w:val="left"/>
            </w:pPr>
            <w:r>
              <w:t xml:space="preserve">ANPEP</w:t>
            </w:r>
          </w:p>
        </w:tc>
        <w:tc>
          <w:tcPr/>
          <w:p>
            <w:pPr>
              <w:pStyle w:val="Compact"/>
              <w:jc w:val="left"/>
            </w:pPr>
            <w:r>
              <w:t xml:space="preserve">TUBA1C</w:t>
            </w:r>
          </w:p>
        </w:tc>
        <w:tc>
          <w:tcPr/>
          <w:p>
            <w:pPr>
              <w:pStyle w:val="Compact"/>
              <w:jc w:val="left"/>
            </w:pPr>
            <w:r>
              <w:t xml:space="preserve">STARD10</w:t>
            </w:r>
          </w:p>
        </w:tc>
        <w:tc>
          <w:tcPr/>
          <w:p>
            <w:pPr>
              <w:pStyle w:val="Compact"/>
              <w:jc w:val="left"/>
            </w:pPr>
            <w:r>
              <w:t xml:space="preserve">AKR1C3</w:t>
            </w:r>
          </w:p>
        </w:tc>
      </w:tr>
      <w:tr>
        <w:tc>
          <w:tcPr/>
          <w:p>
            <w:pPr>
              <w:pStyle w:val="Compact"/>
              <w:jc w:val="left"/>
            </w:pPr>
            <w:r>
              <w:t xml:space="preserve">IL32</w:t>
            </w:r>
          </w:p>
        </w:tc>
        <w:tc>
          <w:tcPr/>
          <w:p>
            <w:pPr>
              <w:pStyle w:val="Compact"/>
              <w:jc w:val="left"/>
            </w:pPr>
            <w:r>
              <w:t xml:space="preserve">TKT</w:t>
            </w:r>
          </w:p>
        </w:tc>
        <w:tc>
          <w:tcPr/>
          <w:p>
            <w:pPr>
              <w:pStyle w:val="Compact"/>
              <w:jc w:val="left"/>
            </w:pPr>
            <w:r>
              <w:t xml:space="preserve">GSTP1</w:t>
            </w:r>
          </w:p>
        </w:tc>
        <w:tc>
          <w:tcPr/>
          <w:p>
            <w:pPr>
              <w:pStyle w:val="Compact"/>
              <w:jc w:val="left"/>
            </w:pPr>
            <w:r>
              <w:t xml:space="preserve">RAP1GAP</w:t>
            </w:r>
          </w:p>
        </w:tc>
        <w:tc>
          <w:tcPr/>
          <w:p>
            <w:pPr>
              <w:pStyle w:val="Compact"/>
              <w:jc w:val="left"/>
            </w:pPr>
            <w:r>
              <w:t xml:space="preserve">FOXQ1</w:t>
            </w:r>
          </w:p>
        </w:tc>
        <w:tc>
          <w:tcPr/>
          <w:p>
            <w:pPr>
              <w:pStyle w:val="Compact"/>
              <w:jc w:val="left"/>
            </w:pPr>
            <w:r>
              <w:t xml:space="preserve">CRABP2</w:t>
            </w:r>
          </w:p>
        </w:tc>
      </w:tr>
      <w:tr>
        <w:tc>
          <w:tcPr/>
          <w:p>
            <w:pPr>
              <w:pStyle w:val="Compact"/>
              <w:jc w:val="left"/>
            </w:pPr>
            <w:r>
              <w:t xml:space="preserve">SH3BGRL3</w:t>
            </w:r>
          </w:p>
        </w:tc>
        <w:tc>
          <w:tcPr/>
          <w:p>
            <w:pPr>
              <w:pStyle w:val="Compact"/>
              <w:jc w:val="left"/>
            </w:pPr>
            <w:r>
              <w:t xml:space="preserve">SLC2A1</w:t>
            </w:r>
          </w:p>
        </w:tc>
        <w:tc>
          <w:tcPr/>
          <w:p>
            <w:pPr>
              <w:pStyle w:val="Compact"/>
              <w:jc w:val="left"/>
            </w:pPr>
            <w:r>
              <w:t xml:space="preserve">KLK10</w:t>
            </w:r>
          </w:p>
        </w:tc>
        <w:tc>
          <w:tcPr/>
          <w:p>
            <w:pPr>
              <w:pStyle w:val="Compact"/>
              <w:jc w:val="left"/>
            </w:pPr>
            <w:r>
              <w:t xml:space="preserve">H19</w:t>
            </w:r>
          </w:p>
        </w:tc>
        <w:tc>
          <w:tcPr/>
          <w:p>
            <w:pPr>
              <w:pStyle w:val="Compact"/>
              <w:jc w:val="left"/>
            </w:pPr>
            <w:r>
              <w:t xml:space="preserve">REG4</w:t>
            </w:r>
          </w:p>
        </w:tc>
        <w:tc>
          <w:tcPr/>
          <w:p>
            <w:pPr>
              <w:pStyle w:val="Compact"/>
              <w:jc w:val="left"/>
            </w:pPr>
            <w:r>
              <w:t xml:space="preserve">GRB7</w:t>
            </w:r>
          </w:p>
        </w:tc>
      </w:tr>
      <w:tr>
        <w:tc>
          <w:tcPr/>
          <w:p>
            <w:pPr>
              <w:pStyle w:val="Compact"/>
              <w:jc w:val="left"/>
            </w:pPr>
            <w:r>
              <w:t xml:space="preserve">IFITM2</w:t>
            </w:r>
          </w:p>
        </w:tc>
        <w:tc>
          <w:tcPr/>
          <w:p>
            <w:pPr>
              <w:pStyle w:val="Compact"/>
              <w:jc w:val="left"/>
            </w:pPr>
            <w:r>
              <w:t xml:space="preserve">PLOD1</w:t>
            </w:r>
          </w:p>
        </w:tc>
        <w:tc>
          <w:tcPr/>
          <w:p>
            <w:pPr>
              <w:pStyle w:val="Compact"/>
              <w:jc w:val="left"/>
            </w:pPr>
            <w:r>
              <w:t xml:space="preserve">B4GALT1</w:t>
            </w:r>
          </w:p>
        </w:tc>
        <w:tc>
          <w:tcPr/>
          <w:p>
            <w:pPr>
              <w:pStyle w:val="Compact"/>
              <w:jc w:val="left"/>
            </w:pPr>
            <w:r>
              <w:t xml:space="preserve">LTBP3</w:t>
            </w:r>
          </w:p>
        </w:tc>
        <w:tc>
          <w:tcPr/>
          <w:p>
            <w:pPr>
              <w:pStyle w:val="Compact"/>
              <w:jc w:val="left"/>
            </w:pPr>
            <w:r>
              <w:t xml:space="preserve">GJB1</w:t>
            </w:r>
          </w:p>
        </w:tc>
        <w:tc>
          <w:tcPr/>
          <w:p>
            <w:pPr>
              <w:pStyle w:val="Compact"/>
              <w:jc w:val="left"/>
            </w:pPr>
            <w:r>
              <w:t xml:space="preserve">SERPINA4</w:t>
            </w:r>
          </w:p>
        </w:tc>
      </w:tr>
      <w:tr>
        <w:tc>
          <w:tcPr/>
          <w:p>
            <w:pPr>
              <w:pStyle w:val="Compact"/>
              <w:jc w:val="left"/>
            </w:pPr>
            <w:r>
              <w:t xml:space="preserve">RPS21</w:t>
            </w:r>
          </w:p>
        </w:tc>
        <w:tc>
          <w:tcPr/>
          <w:p>
            <w:pPr>
              <w:pStyle w:val="Compact"/>
              <w:jc w:val="left"/>
            </w:pPr>
            <w:r>
              <w:t xml:space="preserve">IER3</w:t>
            </w:r>
          </w:p>
        </w:tc>
        <w:tc>
          <w:tcPr/>
          <w:p>
            <w:pPr>
              <w:pStyle w:val="Compact"/>
              <w:jc w:val="left"/>
            </w:pPr>
            <w:r>
              <w:t xml:space="preserve">GAS6</w:t>
            </w:r>
          </w:p>
        </w:tc>
        <w:tc>
          <w:tcPr/>
          <w:p>
            <w:pPr>
              <w:pStyle w:val="Compact"/>
              <w:jc w:val="left"/>
            </w:pPr>
            <w:r>
              <w:t xml:space="preserve">AQP3</w:t>
            </w:r>
          </w:p>
        </w:tc>
        <w:tc>
          <w:tcPr/>
          <w:p>
            <w:pPr>
              <w:pStyle w:val="Compact"/>
              <w:jc w:val="left"/>
            </w:pPr>
            <w:r>
              <w:t xml:space="preserve">SLC29A1</w:t>
            </w:r>
          </w:p>
        </w:tc>
        <w:tc>
          <w:tcPr/>
          <w:p>
            <w:pPr>
              <w:pStyle w:val="Compact"/>
              <w:jc w:val="left"/>
            </w:pPr>
            <w:r>
              <w:t xml:space="preserve">SLC39A4</w:t>
            </w:r>
          </w:p>
        </w:tc>
      </w:tr>
      <w:tr>
        <w:tc>
          <w:tcPr/>
          <w:p>
            <w:pPr>
              <w:pStyle w:val="Compact"/>
              <w:jc w:val="left"/>
            </w:pPr>
            <w:r>
              <w:t xml:space="preserve">SEMA4B</w:t>
            </w:r>
          </w:p>
        </w:tc>
        <w:tc>
          <w:tcPr/>
          <w:p>
            <w:pPr>
              <w:pStyle w:val="Compact"/>
              <w:jc w:val="left"/>
            </w:pPr>
            <w:r>
              <w:t xml:space="preserve">B3GNT3</w:t>
            </w:r>
          </w:p>
        </w:tc>
        <w:tc>
          <w:tcPr/>
          <w:p>
            <w:pPr>
              <w:pStyle w:val="Compact"/>
              <w:jc w:val="left"/>
            </w:pPr>
            <w:r>
              <w:t xml:space="preserve">ABCC3</w:t>
            </w:r>
          </w:p>
        </w:tc>
        <w:tc>
          <w:tcPr/>
          <w:p>
            <w:pPr>
              <w:pStyle w:val="Compact"/>
              <w:jc w:val="left"/>
            </w:pPr>
            <w:r>
              <w:t xml:space="preserve">MPZL2</w:t>
            </w:r>
          </w:p>
        </w:tc>
        <w:tc>
          <w:tcPr/>
          <w:p>
            <w:pPr>
              <w:pStyle w:val="Compact"/>
              <w:jc w:val="left"/>
            </w:pPr>
            <w:r>
              <w:t xml:space="preserve">NOTCH3</w:t>
            </w:r>
          </w:p>
        </w:tc>
        <w:tc>
          <w:tcPr/>
          <w:p>
            <w:pPr>
              <w:pStyle w:val="Compact"/>
              <w:jc w:val="left"/>
            </w:pPr>
            <w:r>
              <w:t xml:space="preserve">FA2H</w:t>
            </w:r>
          </w:p>
        </w:tc>
      </w:tr>
      <w:tr>
        <w:tc>
          <w:tcPr/>
          <w:p>
            <w:pPr>
              <w:pStyle w:val="Compact"/>
              <w:jc w:val="left"/>
            </w:pPr>
            <w:r>
              <w:t xml:space="preserve">APOL1</w:t>
            </w:r>
          </w:p>
        </w:tc>
        <w:tc>
          <w:tcPr/>
          <w:p>
            <w:pPr>
              <w:pStyle w:val="Compact"/>
              <w:jc w:val="left"/>
            </w:pPr>
            <w:r>
              <w:t xml:space="preserve">PRSS3</w:t>
            </w:r>
          </w:p>
        </w:tc>
        <w:tc>
          <w:tcPr/>
          <w:p>
            <w:pPr>
              <w:pStyle w:val="Compact"/>
              <w:jc w:val="left"/>
            </w:pPr>
            <w:r>
              <w:t xml:space="preserve">CLDN2</w:t>
            </w:r>
          </w:p>
        </w:tc>
        <w:tc>
          <w:tcPr/>
          <w:p>
            <w:pPr>
              <w:pStyle w:val="Compact"/>
              <w:jc w:val="left"/>
            </w:pPr>
            <w:r>
              <w:t xml:space="preserve">ID1</w:t>
            </w:r>
          </w:p>
        </w:tc>
        <w:tc>
          <w:tcPr/>
          <w:p>
            <w:pPr>
              <w:pStyle w:val="Compact"/>
              <w:jc w:val="left"/>
            </w:pPr>
            <w:r>
              <w:t xml:space="preserve">TRIM16</w:t>
            </w:r>
          </w:p>
        </w:tc>
        <w:tc>
          <w:tcPr/>
          <w:p>
            <w:pPr>
              <w:pStyle w:val="Compact"/>
              <w:jc w:val="left"/>
            </w:pPr>
            <w:r>
              <w:t xml:space="preserve">RPL8</w:t>
            </w:r>
          </w:p>
        </w:tc>
      </w:tr>
      <w:tr>
        <w:tc>
          <w:tcPr/>
          <w:p>
            <w:pPr>
              <w:pStyle w:val="Compact"/>
              <w:jc w:val="left"/>
            </w:pPr>
            <w:r>
              <w:t xml:space="preserve">S100A16</w:t>
            </w:r>
          </w:p>
        </w:tc>
        <w:tc>
          <w:tcPr/>
          <w:p>
            <w:pPr>
              <w:pStyle w:val="Compact"/>
              <w:jc w:val="left"/>
            </w:pPr>
            <w:r>
              <w:t xml:space="preserve">TOB1</w:t>
            </w:r>
          </w:p>
        </w:tc>
        <w:tc>
          <w:tcPr/>
          <w:p>
            <w:pPr>
              <w:pStyle w:val="Compact"/>
              <w:jc w:val="left"/>
            </w:pPr>
            <w:r>
              <w:t xml:space="preserve">CEACAM6</w:t>
            </w:r>
          </w:p>
        </w:tc>
        <w:tc>
          <w:tcPr/>
          <w:p>
            <w:pPr>
              <w:pStyle w:val="Compact"/>
              <w:jc w:val="left"/>
            </w:pPr>
            <w:r>
              <w:t xml:space="preserve">RARRES2</w:t>
            </w:r>
          </w:p>
        </w:tc>
        <w:tc>
          <w:tcPr/>
          <w:p>
            <w:pPr>
              <w:pStyle w:val="Compact"/>
              <w:jc w:val="left"/>
            </w:pPr>
            <w:r>
              <w:t xml:space="preserve">TAP2</w:t>
            </w:r>
          </w:p>
        </w:tc>
        <w:tc>
          <w:tcPr/>
          <w:p>
            <w:pPr>
              <w:pStyle w:val="Compact"/>
              <w:jc w:val="left"/>
            </w:pPr>
            <w:r>
              <w:t xml:space="preserve">MT1X</w:t>
            </w:r>
          </w:p>
        </w:tc>
      </w:tr>
      <w:tr>
        <w:tc>
          <w:tcPr/>
          <w:p>
            <w:pPr>
              <w:pStyle w:val="Compact"/>
              <w:jc w:val="left"/>
            </w:pPr>
            <w:r>
              <w:t xml:space="preserve">DNAJB1</w:t>
            </w:r>
          </w:p>
        </w:tc>
        <w:tc>
          <w:tcPr/>
          <w:p>
            <w:pPr>
              <w:pStyle w:val="Compact"/>
              <w:jc w:val="left"/>
            </w:pPr>
            <w:r>
              <w:t xml:space="preserve">EGR1</w:t>
            </w:r>
          </w:p>
        </w:tc>
        <w:tc>
          <w:tcPr/>
          <w:p>
            <w:pPr>
              <w:pStyle w:val="Compact"/>
              <w:jc w:val="left"/>
            </w:pPr>
            <w:r>
              <w:t xml:space="preserve">CREB3L1</w:t>
            </w:r>
          </w:p>
        </w:tc>
        <w:tc>
          <w:tcPr/>
          <w:p>
            <w:pPr>
              <w:pStyle w:val="Compact"/>
              <w:jc w:val="left"/>
            </w:pPr>
            <w:r>
              <w:t xml:space="preserve">SLC25A6</w:t>
            </w:r>
          </w:p>
        </w:tc>
        <w:tc>
          <w:tcPr/>
          <w:p>
            <w:pPr>
              <w:pStyle w:val="Compact"/>
              <w:jc w:val="left"/>
            </w:pPr>
            <w:r>
              <w:t xml:space="preserve">KRT19</w:t>
            </w:r>
          </w:p>
        </w:tc>
        <w:tc>
          <w:tcPr/>
          <w:p>
            <w:pPr>
              <w:pStyle w:val="Compact"/>
              <w:jc w:val="left"/>
            </w:pPr>
            <w:r>
              <w:t xml:space="preserve">TCN1</w:t>
            </w:r>
          </w:p>
        </w:tc>
      </w:tr>
      <w:tr>
        <w:tc>
          <w:tcPr/>
          <w:p>
            <w:pPr>
              <w:pStyle w:val="Compact"/>
              <w:jc w:val="left"/>
            </w:pPr>
            <w:r>
              <w:t xml:space="preserve">MT2A</w:t>
            </w:r>
          </w:p>
        </w:tc>
        <w:tc>
          <w:tcPr/>
          <w:p>
            <w:pPr>
              <w:pStyle w:val="Compact"/>
              <w:jc w:val="left"/>
            </w:pPr>
            <w:r>
              <w:t xml:space="preserve">PLA2G16</w:t>
            </w:r>
          </w:p>
        </w:tc>
        <w:tc>
          <w:tcPr/>
          <w:p>
            <w:pPr>
              <w:pStyle w:val="Compact"/>
              <w:jc w:val="left"/>
            </w:pPr>
            <w:r>
              <w:t xml:space="preserve">MST1R</w:t>
            </w:r>
          </w:p>
        </w:tc>
        <w:tc>
          <w:tcPr/>
          <w:p>
            <w:pPr>
              <w:pStyle w:val="Compact"/>
              <w:jc w:val="left"/>
            </w:pPr>
            <w:r>
              <w:t xml:space="preserve">RBP1</w:t>
            </w:r>
          </w:p>
        </w:tc>
        <w:tc>
          <w:tcPr/>
          <w:p>
            <w:pPr>
              <w:pStyle w:val="Compact"/>
              <w:jc w:val="left"/>
            </w:pPr>
            <w:r>
              <w:t xml:space="preserve">CRP</w:t>
            </w:r>
          </w:p>
        </w:tc>
        <w:tc>
          <w:tcPr/>
          <w:p>
            <w:pPr>
              <w:pStyle w:val="Compact"/>
              <w:jc w:val="left"/>
            </w:pPr>
            <w:r>
              <w:t xml:space="preserve">AKAP1</w:t>
            </w:r>
          </w:p>
        </w:tc>
      </w:tr>
      <w:tr>
        <w:tc>
          <w:tcPr/>
          <w:p>
            <w:pPr>
              <w:pStyle w:val="Compact"/>
              <w:jc w:val="left"/>
            </w:pPr>
            <w:r>
              <w:t xml:space="preserve">TNFRSF21</w:t>
            </w:r>
          </w:p>
        </w:tc>
        <w:tc>
          <w:tcPr/>
          <w:p>
            <w:pPr>
              <w:pStyle w:val="Compact"/>
              <w:jc w:val="left"/>
            </w:pPr>
            <w:r>
              <w:t xml:space="preserve">OCIAD2</w:t>
            </w:r>
          </w:p>
        </w:tc>
        <w:tc>
          <w:tcPr/>
          <w:p>
            <w:pPr>
              <w:pStyle w:val="Compact"/>
              <w:jc w:val="left"/>
            </w:pPr>
            <w:r>
              <w:t xml:space="preserve">CEBPB</w:t>
            </w:r>
          </w:p>
        </w:tc>
        <w:tc>
          <w:tcPr/>
          <w:p>
            <w:pPr>
              <w:pStyle w:val="Compact"/>
              <w:jc w:val="left"/>
            </w:pPr>
            <w:r>
              <w:t xml:space="preserve">HSPA5</w:t>
            </w:r>
          </w:p>
        </w:tc>
        <w:tc>
          <w:tcPr/>
          <w:p>
            <w:pPr>
              <w:pStyle w:val="Compact"/>
              <w:jc w:val="left"/>
            </w:pPr>
            <w:r>
              <w:t xml:space="preserve">SNHG5</w:t>
            </w:r>
          </w:p>
        </w:tc>
        <w:tc>
          <w:tcPr/>
          <w:p>
            <w:pPr>
              <w:pStyle w:val="Compact"/>
              <w:jc w:val="left"/>
            </w:pPr>
            <w:r>
              <w:t xml:space="preserve">GJB3</w:t>
            </w:r>
          </w:p>
        </w:tc>
      </w:tr>
      <w:tr>
        <w:tc>
          <w:tcPr/>
          <w:p>
            <w:pPr>
              <w:pStyle w:val="Compact"/>
              <w:jc w:val="left"/>
            </w:pPr>
            <w:r>
              <w:t xml:space="preserve">RPL28</w:t>
            </w:r>
          </w:p>
        </w:tc>
        <w:tc>
          <w:tcPr/>
          <w:p>
            <w:pPr>
              <w:pStyle w:val="Compact"/>
              <w:jc w:val="left"/>
            </w:pPr>
            <w:r>
              <w:t xml:space="preserve">LPCAT4</w:t>
            </w:r>
          </w:p>
        </w:tc>
        <w:tc>
          <w:tcPr/>
          <w:p>
            <w:pPr>
              <w:pStyle w:val="Compact"/>
              <w:jc w:val="left"/>
            </w:pPr>
            <w:r>
              <w:t xml:space="preserve">TXN</w:t>
            </w:r>
          </w:p>
        </w:tc>
        <w:tc>
          <w:tcPr/>
          <w:p>
            <w:pPr>
              <w:pStyle w:val="Compact"/>
              <w:jc w:val="left"/>
            </w:pPr>
            <w:r>
              <w:t xml:space="preserve">PER1</w:t>
            </w:r>
          </w:p>
        </w:tc>
        <w:tc>
          <w:tcPr/>
          <w:p>
            <w:pPr>
              <w:pStyle w:val="Compact"/>
              <w:jc w:val="left"/>
            </w:pPr>
            <w:r>
              <w:t xml:space="preserve">KRT18</w:t>
            </w:r>
          </w:p>
        </w:tc>
        <w:tc>
          <w:tcPr/>
          <w:p>
            <w:pPr>
              <w:pStyle w:val="Compact"/>
              <w:jc w:val="left"/>
            </w:pPr>
            <w:r>
              <w:t xml:space="preserve">DUOXA2</w:t>
            </w:r>
          </w:p>
        </w:tc>
      </w:tr>
      <w:tr>
        <w:tc>
          <w:tcPr/>
          <w:p>
            <w:pPr>
              <w:pStyle w:val="Compact"/>
              <w:jc w:val="left"/>
            </w:pPr>
            <w:r>
              <w:t xml:space="preserve">FXYD3</w:t>
            </w:r>
          </w:p>
        </w:tc>
        <w:tc>
          <w:tcPr/>
          <w:p>
            <w:pPr>
              <w:pStyle w:val="Compact"/>
              <w:jc w:val="left"/>
            </w:pPr>
            <w:r>
              <w:t xml:space="preserve">BST2</w:t>
            </w:r>
          </w:p>
        </w:tc>
        <w:tc>
          <w:tcPr/>
          <w:p>
            <w:pPr>
              <w:pStyle w:val="Compact"/>
              <w:jc w:val="left"/>
            </w:pPr>
            <w:r>
              <w:t xml:space="preserve">NR4A1</w:t>
            </w:r>
          </w:p>
        </w:tc>
        <w:tc>
          <w:tcPr/>
          <w:p>
            <w:pPr>
              <w:pStyle w:val="Compact"/>
              <w:jc w:val="left"/>
            </w:pPr>
            <w:r>
              <w:t xml:space="preserve">ADAP1</w:t>
            </w:r>
          </w:p>
        </w:tc>
        <w:tc>
          <w:tcPr/>
          <w:p>
            <w:pPr>
              <w:pStyle w:val="Compact"/>
              <w:jc w:val="left"/>
            </w:pPr>
            <w:r>
              <w:t xml:space="preserve">CA12</w:t>
            </w:r>
          </w:p>
        </w:tc>
        <w:tc>
          <w:tcPr/>
          <w:p>
            <w:pPr>
              <w:pStyle w:val="Compact"/>
              <w:jc w:val="left"/>
            </w:pPr>
            <w:r>
              <w:t xml:space="preserve">HLA-DRB5</w:t>
            </w:r>
          </w:p>
        </w:tc>
      </w:tr>
      <w:tr>
        <w:tc>
          <w:tcPr/>
          <w:p>
            <w:pPr>
              <w:pStyle w:val="Compact"/>
              <w:jc w:val="left"/>
            </w:pPr>
            <w:r>
              <w:t xml:space="preserve">SERPING1</w:t>
            </w:r>
          </w:p>
        </w:tc>
        <w:tc>
          <w:tcPr/>
          <w:p>
            <w:pPr>
              <w:pStyle w:val="Compact"/>
              <w:jc w:val="left"/>
            </w:pPr>
            <w:r>
              <w:t xml:space="preserve">EPHA2</w:t>
            </w:r>
          </w:p>
        </w:tc>
        <w:tc>
          <w:tcPr/>
          <w:p>
            <w:pPr>
              <w:pStyle w:val="Compact"/>
              <w:jc w:val="left"/>
            </w:pPr>
            <w:r>
              <w:t xml:space="preserve">AP1M2</w:t>
            </w:r>
          </w:p>
        </w:tc>
        <w:tc>
          <w:tcPr/>
          <w:p>
            <w:pPr>
              <w:pStyle w:val="Compact"/>
              <w:jc w:val="left"/>
            </w:pPr>
            <w:r>
              <w:t xml:space="preserve">TMC4</w:t>
            </w:r>
          </w:p>
        </w:tc>
        <w:tc>
          <w:tcPr/>
          <w:p>
            <w:pPr>
              <w:pStyle w:val="Compact"/>
              <w:jc w:val="left"/>
            </w:pPr>
            <w:r>
              <w:t xml:space="preserve">MYEOV</w:t>
            </w:r>
          </w:p>
        </w:tc>
        <w:tc>
          <w:tcPr/>
          <w:p>
            <w:pPr>
              <w:pStyle w:val="Compact"/>
              <w:jc w:val="left"/>
            </w:pPr>
            <w:r>
              <w:t xml:space="preserve">ARRDC2</w:t>
            </w:r>
          </w:p>
        </w:tc>
      </w:tr>
      <w:tr>
        <w:tc>
          <w:tcPr/>
          <w:p>
            <w:pPr>
              <w:pStyle w:val="Compact"/>
              <w:jc w:val="left"/>
            </w:pPr>
            <w:r>
              <w:t xml:space="preserve">HMGA1</w:t>
            </w:r>
          </w:p>
        </w:tc>
        <w:tc>
          <w:tcPr/>
          <w:p>
            <w:pPr>
              <w:pStyle w:val="Compact"/>
              <w:jc w:val="left"/>
            </w:pPr>
            <w:r>
              <w:t xml:space="preserve">MUC5B</w:t>
            </w:r>
          </w:p>
        </w:tc>
        <w:tc>
          <w:tcPr/>
          <w:p>
            <w:pPr>
              <w:pStyle w:val="Compact"/>
              <w:jc w:val="left"/>
            </w:pPr>
            <w:r>
              <w:t xml:space="preserve">SYNPO</w:t>
            </w:r>
          </w:p>
        </w:tc>
        <w:tc>
          <w:tcPr/>
          <w:p>
            <w:pPr>
              <w:pStyle w:val="Compact"/>
              <w:jc w:val="left"/>
            </w:pPr>
            <w:r>
              <w:t xml:space="preserve">HSD17B2</w:t>
            </w:r>
          </w:p>
        </w:tc>
        <w:tc>
          <w:tcPr/>
          <w:p>
            <w:pPr>
              <w:pStyle w:val="Compact"/>
              <w:jc w:val="left"/>
            </w:pPr>
            <w:r>
              <w:t xml:space="preserve">P4HB</w:t>
            </w:r>
          </w:p>
        </w:tc>
        <w:tc>
          <w:tcPr/>
          <w:p>
            <w:pPr>
              <w:pStyle w:val="Compact"/>
              <w:jc w:val="left"/>
            </w:pPr>
            <w:r>
              <w:t xml:space="preserve">OAS1</w:t>
            </w:r>
          </w:p>
        </w:tc>
      </w:tr>
      <w:tr>
        <w:tc>
          <w:tcPr/>
          <w:p>
            <w:pPr>
              <w:pStyle w:val="Compact"/>
              <w:jc w:val="left"/>
            </w:pPr>
            <w:r>
              <w:t xml:space="preserve">S100A14</w:t>
            </w:r>
          </w:p>
        </w:tc>
        <w:tc>
          <w:tcPr/>
          <w:p>
            <w:pPr>
              <w:pStyle w:val="Compact"/>
              <w:jc w:val="left"/>
            </w:pPr>
            <w:r>
              <w:t xml:space="preserve">KCNN4</w:t>
            </w:r>
          </w:p>
        </w:tc>
        <w:tc>
          <w:tcPr/>
          <w:p>
            <w:pPr>
              <w:pStyle w:val="Compact"/>
              <w:jc w:val="left"/>
            </w:pPr>
            <w:r>
              <w:t xml:space="preserve">ANO1</w:t>
            </w:r>
          </w:p>
        </w:tc>
        <w:tc>
          <w:tcPr/>
          <w:p>
            <w:pPr>
              <w:pStyle w:val="Compact"/>
              <w:jc w:val="left"/>
            </w:pPr>
            <w:r>
              <w:t xml:space="preserve">PTP4A1</w:t>
            </w:r>
          </w:p>
        </w:tc>
        <w:tc>
          <w:tcPr/>
          <w:p>
            <w:pPr>
              <w:pStyle w:val="Compact"/>
              <w:jc w:val="left"/>
            </w:pPr>
            <w:r>
              <w:t xml:space="preserve">VILL</w:t>
            </w:r>
          </w:p>
        </w:tc>
        <w:tc>
          <w:tcPr/>
          <w:p>
            <w:pPr>
              <w:pStyle w:val="Compact"/>
              <w:jc w:val="left"/>
            </w:pPr>
            <w:r>
              <w:t xml:space="preserve">ADRA2A</w:t>
            </w:r>
          </w:p>
        </w:tc>
      </w:tr>
      <w:tr>
        <w:tc>
          <w:tcPr/>
          <w:p>
            <w:pPr>
              <w:pStyle w:val="Compact"/>
              <w:jc w:val="left"/>
            </w:pPr>
            <w:r>
              <w:t xml:space="preserve">H1F0</w:t>
            </w:r>
          </w:p>
        </w:tc>
        <w:tc>
          <w:tcPr/>
          <w:p>
            <w:pPr>
              <w:pStyle w:val="Compact"/>
              <w:jc w:val="left"/>
            </w:pPr>
            <w:r>
              <w:t xml:space="preserve">ITGA3</w:t>
            </w:r>
          </w:p>
        </w:tc>
        <w:tc>
          <w:tcPr/>
          <w:p>
            <w:pPr>
              <w:pStyle w:val="Compact"/>
              <w:jc w:val="left"/>
            </w:pPr>
            <w:r>
              <w:t xml:space="preserve">SIK1</w:t>
            </w:r>
          </w:p>
        </w:tc>
        <w:tc>
          <w:tcPr/>
          <w:p>
            <w:pPr>
              <w:pStyle w:val="Compact"/>
              <w:jc w:val="left"/>
            </w:pPr>
            <w:r>
              <w:t xml:space="preserve">PLAUR</w:t>
            </w:r>
          </w:p>
        </w:tc>
        <w:tc>
          <w:tcPr/>
          <w:p>
            <w:pPr>
              <w:pStyle w:val="Compact"/>
              <w:jc w:val="left"/>
            </w:pPr>
            <w:r>
              <w:t xml:space="preserve">HKDC1</w:t>
            </w:r>
          </w:p>
        </w:tc>
        <w:tc>
          <w:tcPr/>
          <w:p>
            <w:pPr>
              <w:pStyle w:val="Compact"/>
              <w:jc w:val="left"/>
            </w:pPr>
            <w:r>
              <w:t xml:space="preserve">NQO1</w:t>
            </w:r>
          </w:p>
        </w:tc>
      </w:tr>
      <w:tr>
        <w:tc>
          <w:tcPr/>
          <w:p>
            <w:pPr>
              <w:pStyle w:val="Compact"/>
              <w:jc w:val="left"/>
            </w:pPr>
            <w:r>
              <w:t xml:space="preserve">KRT17</w:t>
            </w:r>
          </w:p>
        </w:tc>
        <w:tc>
          <w:tcPr/>
          <w:p>
            <w:pPr>
              <w:pStyle w:val="Compact"/>
              <w:jc w:val="left"/>
            </w:pPr>
            <w:r>
              <w:t xml:space="preserve">TSTA3</w:t>
            </w:r>
          </w:p>
        </w:tc>
        <w:tc>
          <w:tcPr/>
          <w:p>
            <w:pPr>
              <w:pStyle w:val="Compact"/>
              <w:jc w:val="left"/>
            </w:pPr>
            <w:r>
              <w:t xml:space="preserve">EFNB2</w:t>
            </w:r>
          </w:p>
        </w:tc>
        <w:tc>
          <w:tcPr/>
          <w:p>
            <w:pPr>
              <w:pStyle w:val="Compact"/>
              <w:jc w:val="left"/>
            </w:pPr>
            <w:r>
              <w:t xml:space="preserve">ANXA10</w:t>
            </w:r>
          </w:p>
        </w:tc>
        <w:tc>
          <w:tcPr/>
          <w:p>
            <w:pPr>
              <w:pStyle w:val="Compact"/>
              <w:jc w:val="left"/>
            </w:pPr>
            <w:r>
              <w:t xml:space="preserve">STEAP3</w:t>
            </w:r>
          </w:p>
        </w:tc>
        <w:tc>
          <w:tcPr/>
          <w:p>
            <w:pPr>
              <w:pStyle w:val="Compact"/>
              <w:jc w:val="left"/>
            </w:pPr>
            <w:r>
              <w:t xml:space="preserve">LRG1</w:t>
            </w:r>
          </w:p>
        </w:tc>
      </w:tr>
      <w:tr>
        <w:tc>
          <w:tcPr/>
          <w:p>
            <w:pPr>
              <w:pStyle w:val="Compact"/>
              <w:jc w:val="left"/>
            </w:pPr>
            <w:r>
              <w:t xml:space="preserve">CSTB</w:t>
            </w:r>
          </w:p>
        </w:tc>
        <w:tc>
          <w:tcPr/>
          <w:p>
            <w:pPr>
              <w:pStyle w:val="Compact"/>
              <w:jc w:val="left"/>
            </w:pPr>
            <w:r>
              <w:t xml:space="preserve">IFI27</w:t>
            </w:r>
          </w:p>
        </w:tc>
        <w:tc>
          <w:tcPr/>
          <w:p>
            <w:pPr>
              <w:pStyle w:val="Compact"/>
              <w:jc w:val="left"/>
            </w:pPr>
            <w:r>
              <w:t xml:space="preserve">CDKN1A</w:t>
            </w:r>
          </w:p>
        </w:tc>
        <w:tc>
          <w:tcPr/>
          <w:p>
            <w:pPr>
              <w:pStyle w:val="Compact"/>
              <w:jc w:val="left"/>
            </w:pPr>
            <w:r>
              <w:t xml:space="preserve">PYGB</w:t>
            </w:r>
          </w:p>
        </w:tc>
        <w:tc>
          <w:tcPr/>
          <w:p>
            <w:pPr>
              <w:pStyle w:val="Compact"/>
              <w:jc w:val="left"/>
            </w:pPr>
            <w:r>
              <w:t xml:space="preserve">PLEK2</w:t>
            </w:r>
          </w:p>
        </w:tc>
        <w:tc>
          <w:tcPr/>
          <w:p>
            <w:pPr>
              <w:pStyle w:val="Compact"/>
              <w:jc w:val="left"/>
            </w:pPr>
            <w:r>
              <w:t xml:space="preserve">SERPINH1</w:t>
            </w:r>
          </w:p>
        </w:tc>
      </w:tr>
      <w:tr>
        <w:tc>
          <w:tcPr/>
          <w:p>
            <w:pPr>
              <w:pStyle w:val="Compact"/>
              <w:jc w:val="left"/>
            </w:pPr>
            <w:r>
              <w:t xml:space="preserve">ASS1</w:t>
            </w:r>
          </w:p>
        </w:tc>
        <w:tc>
          <w:tcPr/>
          <w:p>
            <w:pPr>
              <w:pStyle w:val="Compact"/>
              <w:jc w:val="left"/>
            </w:pPr>
            <w:r>
              <w:t xml:space="preserve">MMP1</w:t>
            </w:r>
          </w:p>
        </w:tc>
        <w:tc>
          <w:tcPr/>
          <w:p>
            <w:pPr>
              <w:pStyle w:val="Compact"/>
              <w:jc w:val="left"/>
            </w:pPr>
            <w:r>
              <w:t xml:space="preserve">S100A10</w:t>
            </w:r>
          </w:p>
        </w:tc>
        <w:tc>
          <w:tcPr/>
          <w:p>
            <w:pPr>
              <w:pStyle w:val="Compact"/>
              <w:jc w:val="left"/>
            </w:pPr>
            <w:r>
              <w:t xml:space="preserve">CYP2S1</w:t>
            </w:r>
          </w:p>
        </w:tc>
        <w:tc>
          <w:tcPr/>
          <w:p>
            <w:pPr>
              <w:pStyle w:val="Compact"/>
              <w:jc w:val="left"/>
            </w:pPr>
            <w:r>
              <w:t xml:space="preserve">CD68</w:t>
            </w:r>
          </w:p>
        </w:tc>
        <w:tc>
          <w:tcPr/>
          <w:p>
            <w:pPr>
              <w:pStyle w:val="Compact"/>
              <w:jc w:val="left"/>
            </w:pPr>
            <w:r>
              <w:t xml:space="preserve">COL18A1</w:t>
            </w:r>
          </w:p>
        </w:tc>
      </w:tr>
      <w:tr>
        <w:tc>
          <w:tcPr/>
          <w:p>
            <w:pPr>
              <w:pStyle w:val="Compact"/>
              <w:jc w:val="left"/>
            </w:pPr>
            <w:r>
              <w:t xml:space="preserve">EFNB1</w:t>
            </w:r>
          </w:p>
        </w:tc>
        <w:tc>
          <w:tcPr/>
          <w:p>
            <w:pPr>
              <w:pStyle w:val="Compact"/>
              <w:jc w:val="left"/>
            </w:pPr>
            <w:r>
              <w:t xml:space="preserve">SLPI</w:t>
            </w:r>
          </w:p>
        </w:tc>
        <w:tc>
          <w:tcPr/>
          <w:p>
            <w:pPr>
              <w:pStyle w:val="Compact"/>
              <w:jc w:val="left"/>
            </w:pPr>
            <w:r>
              <w:t xml:space="preserve">PKP3</w:t>
            </w:r>
          </w:p>
        </w:tc>
        <w:tc>
          <w:tcPr/>
          <w:p>
            <w:pPr>
              <w:pStyle w:val="Compact"/>
              <w:jc w:val="left"/>
            </w:pPr>
            <w:r>
              <w:t xml:space="preserve">ALDOA</w:t>
            </w:r>
          </w:p>
        </w:tc>
        <w:tc>
          <w:tcPr/>
          <w:p>
            <w:pPr>
              <w:pStyle w:val="Compact"/>
              <w:jc w:val="left"/>
            </w:pPr>
            <w:r>
              <w:t xml:space="preserve">MAFF</w:t>
            </w:r>
          </w:p>
        </w:tc>
        <w:tc>
          <w:tcPr/>
          <w:p>
            <w:pPr>
              <w:pStyle w:val="Compact"/>
              <w:jc w:val="left"/>
            </w:pPr>
            <w:r>
              <w:t xml:space="preserve">CERCAM</w:t>
            </w:r>
          </w:p>
        </w:tc>
      </w:tr>
      <w:tr>
        <w:tc>
          <w:tcPr/>
          <w:p>
            <w:pPr>
              <w:pStyle w:val="Compact"/>
              <w:jc w:val="left"/>
            </w:pPr>
            <w:r>
              <w:t xml:space="preserve">MDK</w:t>
            </w:r>
          </w:p>
        </w:tc>
        <w:tc>
          <w:tcPr/>
          <w:p>
            <w:pPr>
              <w:pStyle w:val="Compact"/>
              <w:jc w:val="left"/>
            </w:pPr>
            <w:r>
              <w:t xml:space="preserve">CLTB</w:t>
            </w:r>
          </w:p>
        </w:tc>
        <w:tc>
          <w:tcPr/>
          <w:p>
            <w:pPr>
              <w:pStyle w:val="Compact"/>
              <w:jc w:val="left"/>
            </w:pPr>
            <w:r>
              <w:t xml:space="preserve">MCM7</w:t>
            </w:r>
          </w:p>
        </w:tc>
        <w:tc>
          <w:tcPr/>
          <w:p>
            <w:pPr>
              <w:pStyle w:val="Compact"/>
              <w:jc w:val="left"/>
            </w:pPr>
            <w:r>
              <w:t xml:space="preserve">CDCP1</w:t>
            </w:r>
          </w:p>
        </w:tc>
        <w:tc>
          <w:tcPr/>
          <w:p>
            <w:pPr>
              <w:pStyle w:val="Compact"/>
              <w:jc w:val="left"/>
            </w:pPr>
            <w:r>
              <w:t xml:space="preserve">CD9</w:t>
            </w:r>
          </w:p>
        </w:tc>
        <w:tc>
          <w:tcPr/>
          <w:p>
            <w:pPr>
              <w:pStyle w:val="Compact"/>
              <w:jc w:val="left"/>
            </w:pPr>
            <w:r>
              <w:t xml:space="preserve">CA9</w:t>
            </w:r>
          </w:p>
        </w:tc>
      </w:tr>
      <w:tr>
        <w:tc>
          <w:tcPr/>
          <w:p>
            <w:pPr>
              <w:pStyle w:val="Compact"/>
              <w:jc w:val="left"/>
            </w:pPr>
            <w:r>
              <w:t xml:space="preserve">LY6E</w:t>
            </w:r>
          </w:p>
        </w:tc>
        <w:tc>
          <w:tcPr/>
          <w:p>
            <w:pPr>
              <w:pStyle w:val="Compact"/>
              <w:jc w:val="left"/>
            </w:pPr>
            <w:r>
              <w:t xml:space="preserve">SPINK1</w:t>
            </w:r>
          </w:p>
        </w:tc>
        <w:tc>
          <w:tcPr/>
          <w:p>
            <w:pPr>
              <w:pStyle w:val="Compact"/>
              <w:jc w:val="left"/>
            </w:pPr>
            <w:r>
              <w:t xml:space="preserve">RARRES3</w:t>
            </w:r>
          </w:p>
        </w:tc>
        <w:tc>
          <w:tcPr/>
          <w:p>
            <w:pPr>
              <w:pStyle w:val="Compact"/>
              <w:jc w:val="left"/>
            </w:pPr>
            <w:r>
              <w:t xml:space="preserve">IFITM3</w:t>
            </w:r>
          </w:p>
        </w:tc>
        <w:tc>
          <w:tcPr/>
          <w:p>
            <w:pPr>
              <w:pStyle w:val="Compact"/>
              <w:jc w:val="left"/>
            </w:pPr>
            <w:r>
              <w:t xml:space="preserve">PLLP</w:t>
            </w:r>
          </w:p>
        </w:tc>
        <w:tc>
          <w:tcPr/>
          <w:p>
            <w:pPr>
              <w:pStyle w:val="Compact"/>
              <w:jc w:val="left"/>
            </w:pPr>
            <w:r>
              <w:t xml:space="preserve">CDHR2</w:t>
            </w:r>
          </w:p>
        </w:tc>
      </w:tr>
      <w:tr>
        <w:tc>
          <w:tcPr/>
          <w:p>
            <w:pPr>
              <w:pStyle w:val="Compact"/>
              <w:jc w:val="left"/>
            </w:pPr>
            <w:r>
              <w:t xml:space="preserve">CAMK2N1</w:t>
            </w:r>
          </w:p>
        </w:tc>
        <w:tc>
          <w:tcPr/>
          <w:p>
            <w:pPr>
              <w:pStyle w:val="Compact"/>
              <w:jc w:val="left"/>
            </w:pPr>
            <w:r>
              <w:t xml:space="preserve">JUP</w:t>
            </w:r>
          </w:p>
        </w:tc>
        <w:tc>
          <w:tcPr/>
          <w:p>
            <w:pPr>
              <w:pStyle w:val="Compact"/>
              <w:jc w:val="left"/>
            </w:pPr>
            <w:r>
              <w:t xml:space="preserve">CEACAM1</w:t>
            </w:r>
          </w:p>
        </w:tc>
        <w:tc>
          <w:tcPr/>
          <w:p>
            <w:pPr>
              <w:pStyle w:val="Compact"/>
              <w:jc w:val="left"/>
            </w:pPr>
            <w:r>
              <w:t xml:space="preserve">BAIAP2L1</w:t>
            </w:r>
          </w:p>
        </w:tc>
        <w:tc>
          <w:tcPr/>
          <w:p>
            <w:pPr>
              <w:pStyle w:val="Compact"/>
              <w:jc w:val="left"/>
            </w:pPr>
            <w:r>
              <w:t xml:space="preserve">EPHB4</w:t>
            </w:r>
          </w:p>
        </w:tc>
        <w:tc>
          <w:tcPr/>
          <w:p>
            <w:pPr>
              <w:pStyle w:val="Compact"/>
              <w:jc w:val="left"/>
            </w:pPr>
            <w:r>
              <w:t xml:space="preserve">ESRP1</w:t>
            </w:r>
          </w:p>
        </w:tc>
      </w:tr>
      <w:tr>
        <w:tc>
          <w:tcPr/>
          <w:p>
            <w:pPr>
              <w:pStyle w:val="Compact"/>
              <w:jc w:val="left"/>
            </w:pPr>
            <w:r>
              <w:t xml:space="preserve">MGLL</w:t>
            </w:r>
          </w:p>
        </w:tc>
        <w:tc>
          <w:tcPr/>
          <w:p>
            <w:pPr>
              <w:pStyle w:val="Compact"/>
              <w:jc w:val="left"/>
            </w:pPr>
            <w:r>
              <w:t xml:space="preserve">PPP1R15A</w:t>
            </w:r>
          </w:p>
        </w:tc>
        <w:tc>
          <w:tcPr/>
          <w:p>
            <w:pPr>
              <w:pStyle w:val="Compact"/>
              <w:jc w:val="left"/>
            </w:pPr>
            <w:r>
              <w:t xml:space="preserve">ALDH2</w:t>
            </w:r>
          </w:p>
        </w:tc>
        <w:tc>
          <w:tcPr/>
          <w:p>
            <w:pPr>
              <w:pStyle w:val="Compact"/>
              <w:jc w:val="left"/>
            </w:pPr>
            <w:r>
              <w:t xml:space="preserve">MGST1</w:t>
            </w:r>
          </w:p>
        </w:tc>
        <w:tc>
          <w:tcPr/>
          <w:p>
            <w:pPr>
              <w:pStyle w:val="Compact"/>
              <w:jc w:val="left"/>
            </w:pPr>
            <w:r>
              <w:t xml:space="preserve">KRT16</w:t>
            </w:r>
          </w:p>
        </w:tc>
        <w:tc>
          <w:tcPr/>
          <w:p>
            <w:pPr>
              <w:pStyle w:val="Compact"/>
              <w:jc w:val="left"/>
            </w:pPr>
            <w:r>
              <w:t xml:space="preserve">CRYZ</w:t>
            </w:r>
          </w:p>
        </w:tc>
      </w:tr>
      <w:tr>
        <w:tc>
          <w:tcPr/>
          <w:p>
            <w:pPr>
              <w:pStyle w:val="Compact"/>
              <w:jc w:val="left"/>
            </w:pPr>
            <w:r>
              <w:t xml:space="preserve">PDZK1IP1</w:t>
            </w:r>
          </w:p>
        </w:tc>
        <w:tc>
          <w:tcPr/>
          <w:p>
            <w:pPr>
              <w:pStyle w:val="Compact"/>
              <w:jc w:val="left"/>
            </w:pPr>
            <w:r>
              <w:t xml:space="preserve">TRIM29</w:t>
            </w:r>
          </w:p>
        </w:tc>
        <w:tc>
          <w:tcPr/>
          <w:p>
            <w:pPr>
              <w:pStyle w:val="Compact"/>
              <w:jc w:val="left"/>
            </w:pPr>
            <w:r>
              <w:t xml:space="preserve">CES2</w:t>
            </w:r>
          </w:p>
        </w:tc>
        <w:tc>
          <w:tcPr/>
          <w:p>
            <w:pPr>
              <w:pStyle w:val="Compact"/>
              <w:jc w:val="left"/>
            </w:pPr>
            <w:r>
              <w:t xml:space="preserve">TFF1</w:t>
            </w:r>
          </w:p>
        </w:tc>
        <w:tc>
          <w:tcPr/>
          <w:p>
            <w:pPr>
              <w:pStyle w:val="Compact"/>
              <w:jc w:val="left"/>
            </w:pPr>
            <w:r>
              <w:t xml:space="preserve">ABLIM3</w:t>
            </w:r>
          </w:p>
        </w:tc>
        <w:tc>
          <w:tcPr/>
          <w:p>
            <w:pPr>
              <w:pStyle w:val="Compact"/>
              <w:jc w:val="left"/>
            </w:pPr>
            <w:r>
              <w:t xml:space="preserve">TAGLN2</w:t>
            </w:r>
          </w:p>
        </w:tc>
      </w:tr>
      <w:tr>
        <w:tc>
          <w:tcPr/>
          <w:p>
            <w:pPr>
              <w:pStyle w:val="Compact"/>
              <w:jc w:val="left"/>
            </w:pPr>
            <w:r>
              <w:t xml:space="preserve">BCL2L1</w:t>
            </w:r>
          </w:p>
        </w:tc>
        <w:tc>
          <w:tcPr/>
          <w:p>
            <w:pPr>
              <w:pStyle w:val="Compact"/>
              <w:jc w:val="left"/>
            </w:pPr>
            <w:r>
              <w:t xml:space="preserve">PPP1R1B</w:t>
            </w:r>
          </w:p>
        </w:tc>
        <w:tc>
          <w:tcPr/>
          <w:p>
            <w:pPr>
              <w:pStyle w:val="Compact"/>
              <w:jc w:val="left"/>
            </w:pPr>
            <w:r>
              <w:t xml:space="preserve">SLC6A8</w:t>
            </w:r>
          </w:p>
        </w:tc>
        <w:tc>
          <w:tcPr/>
          <w:p>
            <w:pPr>
              <w:pStyle w:val="Compact"/>
              <w:jc w:val="left"/>
            </w:pPr>
            <w:r>
              <w:t xml:space="preserve">MUC4</w:t>
            </w:r>
          </w:p>
        </w:tc>
        <w:tc>
          <w:tcPr/>
          <w:p>
            <w:pPr>
              <w:pStyle w:val="Compact"/>
              <w:jc w:val="left"/>
            </w:pPr>
            <w:r>
              <w:t xml:space="preserve">PTPRU</w:t>
            </w:r>
          </w:p>
        </w:tc>
        <w:tc>
          <w:tcPr/>
          <w:p>
            <w:pPr>
              <w:pStyle w:val="Compact"/>
              <w:jc w:val="left"/>
            </w:pPr>
            <w:r>
              <w:t xml:space="preserve">HNF1B</w:t>
            </w:r>
          </w:p>
        </w:tc>
      </w:tr>
      <w:tr>
        <w:tc>
          <w:tcPr/>
          <w:p>
            <w:pPr>
              <w:pStyle w:val="Compact"/>
              <w:jc w:val="left"/>
            </w:pPr>
            <w:r>
              <w:t xml:space="preserve">C19orf33</w:t>
            </w:r>
          </w:p>
        </w:tc>
        <w:tc>
          <w:tcPr/>
          <w:p>
            <w:pPr>
              <w:pStyle w:val="Compact"/>
              <w:jc w:val="left"/>
            </w:pPr>
            <w:r>
              <w:t xml:space="preserve">ARPC1A</w:t>
            </w:r>
          </w:p>
        </w:tc>
        <w:tc>
          <w:tcPr/>
          <w:p>
            <w:pPr>
              <w:pStyle w:val="Compact"/>
              <w:jc w:val="left"/>
            </w:pPr>
            <w:r>
              <w:t xml:space="preserve">PPL</w:t>
            </w:r>
          </w:p>
        </w:tc>
        <w:tc>
          <w:tcPr/>
          <w:p>
            <w:pPr>
              <w:pStyle w:val="Compact"/>
              <w:jc w:val="left"/>
            </w:pPr>
            <w:r>
              <w:t xml:space="preserve">MMP28</w:t>
            </w:r>
          </w:p>
        </w:tc>
        <w:tc>
          <w:tcPr/>
          <w:p>
            <w:pPr>
              <w:pStyle w:val="Compact"/>
              <w:jc w:val="left"/>
            </w:pPr>
            <w:r>
              <w:t xml:space="preserve">MUC6</w:t>
            </w:r>
          </w:p>
        </w:tc>
        <w:tc>
          <w:tcPr/>
          <w:p>
            <w:pPr>
              <w:pStyle w:val="Compact"/>
              <w:jc w:val="left"/>
            </w:pPr>
            <w:r>
              <w:t xml:space="preserve">BMP4</w:t>
            </w:r>
          </w:p>
        </w:tc>
      </w:tr>
      <w:tr>
        <w:tc>
          <w:tcPr/>
          <w:p>
            <w:pPr>
              <w:pStyle w:val="Compact"/>
              <w:jc w:val="left"/>
            </w:pPr>
            <w:r>
              <w:t xml:space="preserve">SFN</w:t>
            </w:r>
          </w:p>
        </w:tc>
        <w:tc>
          <w:tcPr/>
          <w:p>
            <w:pPr>
              <w:pStyle w:val="Compact"/>
              <w:jc w:val="left"/>
            </w:pPr>
            <w:r>
              <w:t xml:space="preserve">GPRC5A</w:t>
            </w:r>
          </w:p>
        </w:tc>
        <w:tc>
          <w:tcPr/>
          <w:p>
            <w:pPr>
              <w:pStyle w:val="Compact"/>
              <w:jc w:val="left"/>
            </w:pPr>
            <w:r>
              <w:t xml:space="preserve">NDRG1</w:t>
            </w:r>
          </w:p>
        </w:tc>
        <w:tc>
          <w:tcPr/>
          <w:p>
            <w:pPr>
              <w:pStyle w:val="Compact"/>
              <w:jc w:val="left"/>
            </w:pPr>
            <w:r>
              <w:t xml:space="preserve">CLDN1</w:t>
            </w:r>
          </w:p>
        </w:tc>
        <w:tc>
          <w:tcPr/>
          <w:p>
            <w:pPr>
              <w:pStyle w:val="Compact"/>
              <w:jc w:val="left"/>
            </w:pPr>
            <w:r>
              <w:t xml:space="preserve">FDFT1</w:t>
            </w:r>
          </w:p>
        </w:tc>
        <w:tc>
          <w:tcPr/>
          <w:p>
            <w:pPr>
              <w:pStyle w:val="Compact"/>
              <w:jc w:val="left"/>
            </w:pPr>
            <w:r>
              <w:t xml:space="preserve">MT1E</w:t>
            </w:r>
          </w:p>
        </w:tc>
      </w:tr>
      <w:tr>
        <w:tc>
          <w:tcPr/>
          <w:p>
            <w:pPr>
              <w:pStyle w:val="Compact"/>
              <w:jc w:val="left"/>
            </w:pPr>
            <w:r>
              <w:t xml:space="preserve">ITGB4</w:t>
            </w:r>
          </w:p>
        </w:tc>
        <w:tc>
          <w:tcPr/>
          <w:p>
            <w:pPr>
              <w:pStyle w:val="Compact"/>
              <w:jc w:val="left"/>
            </w:pPr>
            <w:r>
              <w:t xml:space="preserve">RAB25</w:t>
            </w:r>
          </w:p>
        </w:tc>
        <w:tc>
          <w:tcPr/>
          <w:p>
            <w:pPr>
              <w:pStyle w:val="Compact"/>
              <w:jc w:val="left"/>
            </w:pPr>
            <w:r>
              <w:t xml:space="preserve">AZGP1</w:t>
            </w:r>
          </w:p>
        </w:tc>
        <w:tc>
          <w:tcPr/>
          <w:p>
            <w:pPr>
              <w:pStyle w:val="Compact"/>
              <w:jc w:val="left"/>
            </w:pPr>
            <w:r>
              <w:t xml:space="preserve">TM4SF1</w:t>
            </w:r>
          </w:p>
        </w:tc>
        <w:tc>
          <w:tcPr/>
          <w:p>
            <w:pPr>
              <w:pStyle w:val="Compact"/>
              <w:jc w:val="left"/>
            </w:pPr>
            <w:r>
              <w:t xml:space="preserve">GAPDH</w:t>
            </w:r>
          </w:p>
        </w:tc>
        <w:tc>
          <w:tcPr/>
          <w:p>
            <w:pPr>
              <w:pStyle w:val="Compact"/>
              <w:jc w:val="left"/>
            </w:pPr>
            <w:r>
              <w:t xml:space="preserve">ANGPTL4</w:t>
            </w:r>
          </w:p>
        </w:tc>
      </w:tr>
      <w:tr>
        <w:tc>
          <w:tcPr/>
          <w:p>
            <w:pPr>
              <w:pStyle w:val="Compact"/>
              <w:jc w:val="left"/>
            </w:pPr>
            <w:r>
              <w:t xml:space="preserve">TSPAN1</w:t>
            </w:r>
          </w:p>
        </w:tc>
        <w:tc>
          <w:tcPr/>
          <w:p>
            <w:pPr>
              <w:pStyle w:val="Compact"/>
              <w:jc w:val="left"/>
            </w:pPr>
            <w:r>
              <w:t xml:space="preserve">ZFP36L2</w:t>
            </w:r>
          </w:p>
        </w:tc>
        <w:tc>
          <w:tcPr/>
          <w:p>
            <w:pPr>
              <w:pStyle w:val="Compact"/>
              <w:jc w:val="left"/>
            </w:pPr>
            <w:r>
              <w:t xml:space="preserve">S100A11</w:t>
            </w:r>
          </w:p>
        </w:tc>
        <w:tc>
          <w:tcPr/>
          <w:p>
            <w:pPr>
              <w:pStyle w:val="Compact"/>
              <w:jc w:val="left"/>
            </w:pPr>
            <w:r>
              <w:t xml:space="preserve">TFF3</w:t>
            </w:r>
          </w:p>
        </w:tc>
        <w:tc>
          <w:tcPr/>
          <w:p>
            <w:pPr>
              <w:pStyle w:val="Compact"/>
              <w:jc w:val="left"/>
            </w:pPr>
            <w:r>
              <w:t xml:space="preserve">EPS8L3</w:t>
            </w:r>
          </w:p>
        </w:tc>
        <w:tc>
          <w:tcPr/>
          <w:p>
            <w:pPr>
              <w:pStyle w:val="Compact"/>
              <w:jc w:val="left"/>
            </w:pPr>
            <w:r>
              <w:t xml:space="preserve">CFB</w:t>
            </w:r>
          </w:p>
        </w:tc>
      </w:tr>
      <w:tr>
        <w:tc>
          <w:tcPr/>
          <w:p>
            <w:pPr>
              <w:pStyle w:val="Compact"/>
              <w:jc w:val="left"/>
            </w:pPr>
            <w:r>
              <w:t xml:space="preserve">SLC16A3</w:t>
            </w:r>
          </w:p>
        </w:tc>
        <w:tc>
          <w:tcPr/>
          <w:p>
            <w:pPr>
              <w:pStyle w:val="Compact"/>
              <w:jc w:val="left"/>
            </w:pPr>
            <w:r>
              <w:t xml:space="preserve">CLDN7</w:t>
            </w:r>
          </w:p>
        </w:tc>
        <w:tc>
          <w:tcPr/>
          <w:p>
            <w:pPr>
              <w:pStyle w:val="Compact"/>
              <w:jc w:val="left"/>
            </w:pPr>
            <w:r>
              <w:t xml:space="preserve">SEMA3B</w:t>
            </w:r>
          </w:p>
        </w:tc>
        <w:tc>
          <w:tcPr/>
          <w:p>
            <w:pPr>
              <w:pStyle w:val="Compact"/>
              <w:jc w:val="left"/>
            </w:pPr>
            <w:r>
              <w:t xml:space="preserve">UNC13D</w:t>
            </w:r>
          </w:p>
        </w:tc>
        <w:tc>
          <w:tcPr/>
          <w:p>
            <w:pPr>
              <w:pStyle w:val="Compact"/>
              <w:jc w:val="left"/>
            </w:pPr>
            <w:r>
              <w:t xml:space="preserve">CLDN10</w:t>
            </w:r>
          </w:p>
        </w:tc>
        <w:tc>
          <w:tcPr/>
          <w:p>
            <w:pPr>
              <w:pStyle w:val="Compact"/>
              <w:jc w:val="left"/>
            </w:pPr>
            <w:r>
              <w:t xml:space="preserve">GDF15</w:t>
            </w:r>
          </w:p>
        </w:tc>
      </w:tr>
      <w:tr>
        <w:tc>
          <w:tcPr/>
          <w:p>
            <w:pPr>
              <w:pStyle w:val="Compact"/>
              <w:jc w:val="left"/>
            </w:pPr>
            <w:r>
              <w:t xml:space="preserve">C4A</w:t>
            </w:r>
          </w:p>
        </w:tc>
        <w:tc>
          <w:tcPr/>
          <w:p>
            <w:pPr>
              <w:pStyle w:val="Compact"/>
              <w:jc w:val="left"/>
            </w:pPr>
            <w:r>
              <w:t xml:space="preserve">DDIT4</w:t>
            </w:r>
          </w:p>
        </w:tc>
        <w:tc>
          <w:tcPr/>
          <w:p>
            <w:pPr>
              <w:pStyle w:val="Compact"/>
              <w:jc w:val="left"/>
            </w:pPr>
            <w:r>
              <w:t xml:space="preserve">TNFRSF12A</w:t>
            </w:r>
          </w:p>
        </w:tc>
        <w:tc>
          <w:tcPr/>
          <w:p>
            <w:pPr>
              <w:pStyle w:val="Compact"/>
              <w:jc w:val="left"/>
            </w:pPr>
            <w:r>
              <w:t xml:space="preserve">SERINC2</w:t>
            </w:r>
          </w:p>
        </w:tc>
        <w:tc>
          <w:tcPr/>
          <w:p>
            <w:pPr>
              <w:pStyle w:val="Compact"/>
              <w:jc w:val="left"/>
            </w:pPr>
            <w:r>
              <w:t xml:space="preserve">ITPKC</w:t>
            </w:r>
          </w:p>
        </w:tc>
        <w:tc>
          <w:tcPr/>
          <w:p>
            <w:pPr>
              <w:pStyle w:val="Compact"/>
              <w:jc w:val="left"/>
            </w:pPr>
            <w:r>
              <w:t xml:space="preserve">PADI1</w:t>
            </w:r>
          </w:p>
        </w:tc>
      </w:tr>
      <w:tr>
        <w:tc>
          <w:tcPr/>
          <w:p>
            <w:pPr>
              <w:pStyle w:val="Compact"/>
              <w:jc w:val="left"/>
            </w:pPr>
            <w:r>
              <w:t xml:space="preserve">KLF5</w:t>
            </w:r>
          </w:p>
        </w:tc>
        <w:tc>
          <w:tcPr/>
          <w:p>
            <w:pPr>
              <w:pStyle w:val="Compact"/>
              <w:jc w:val="left"/>
            </w:pPr>
            <w:r>
              <w:t xml:space="preserve">FKBP4</w:t>
            </w:r>
          </w:p>
        </w:tc>
        <w:tc>
          <w:tcPr/>
          <w:p>
            <w:pPr>
              <w:pStyle w:val="Compact"/>
              <w:jc w:val="left"/>
            </w:pPr>
            <w:r>
              <w:t xml:space="preserve">SOX9</w:t>
            </w:r>
          </w:p>
        </w:tc>
        <w:tc>
          <w:tcPr/>
          <w:p>
            <w:pPr>
              <w:pStyle w:val="Compact"/>
              <w:jc w:val="left"/>
            </w:pPr>
            <w:r>
              <w:t xml:space="preserve">SPNS2</w:t>
            </w:r>
          </w:p>
        </w:tc>
        <w:tc>
          <w:tcPr/>
          <w:p>
            <w:pPr>
              <w:pStyle w:val="Compact"/>
              <w:jc w:val="left"/>
            </w:pPr>
            <w:r>
              <w:t xml:space="preserve">LOXL2</w:t>
            </w:r>
          </w:p>
        </w:tc>
        <w:tc>
          <w:tcPr/>
          <w:p>
            <w:pPr>
              <w:pStyle w:val="Compact"/>
              <w:jc w:val="left"/>
            </w:pPr>
            <w:r>
              <w:t xml:space="preserve">TMSB10</w:t>
            </w:r>
          </w:p>
        </w:tc>
      </w:tr>
      <w:tr>
        <w:tc>
          <w:tcPr/>
          <w:p>
            <w:pPr>
              <w:pStyle w:val="Compact"/>
              <w:jc w:val="left"/>
            </w:pPr>
            <w:r>
              <w:t xml:space="preserve">IER2</w:t>
            </w:r>
          </w:p>
        </w:tc>
        <w:tc>
          <w:tcPr/>
          <w:p>
            <w:pPr>
              <w:pStyle w:val="Compact"/>
              <w:jc w:val="left"/>
            </w:pPr>
            <w:r>
              <w:t xml:space="preserve">LAPTM4B</w:t>
            </w:r>
          </w:p>
        </w:tc>
        <w:tc>
          <w:tcPr/>
          <w:p>
            <w:pPr>
              <w:pStyle w:val="Compact"/>
              <w:jc w:val="left"/>
            </w:pPr>
            <w:r>
              <w:t xml:space="preserve">PMEPA1</w:t>
            </w:r>
          </w:p>
        </w:tc>
        <w:tc>
          <w:tcPr/>
          <w:p>
            <w:pPr>
              <w:pStyle w:val="Compact"/>
              <w:jc w:val="left"/>
            </w:pPr>
            <w:r>
              <w:t xml:space="preserve">AQP5</w:t>
            </w:r>
          </w:p>
        </w:tc>
        <w:tc>
          <w:tcPr/>
          <w:p>
            <w:pPr>
              <w:pStyle w:val="Compact"/>
              <w:jc w:val="left"/>
            </w:pPr>
            <w:r>
              <w:t xml:space="preserve">AMIGO2</w:t>
            </w:r>
          </w:p>
        </w:tc>
        <w:tc>
          <w:tcPr/>
          <w:p>
            <w:pPr>
              <w:pStyle w:val="Compact"/>
              <w:jc w:val="left"/>
            </w:pPr>
            <w:r>
              <w:t xml:space="preserve">B2M</w:t>
            </w:r>
          </w:p>
        </w:tc>
      </w:tr>
      <w:tr>
        <w:tc>
          <w:tcPr/>
          <w:p>
            <w:pPr>
              <w:pStyle w:val="Compact"/>
              <w:jc w:val="left"/>
            </w:pPr>
            <w:r>
              <w:t xml:space="preserve">ZFP36L1</w:t>
            </w:r>
          </w:p>
        </w:tc>
        <w:tc>
          <w:tcPr/>
          <w:p>
            <w:pPr>
              <w:pStyle w:val="Compact"/>
              <w:jc w:val="left"/>
            </w:pPr>
            <w:r>
              <w:t xml:space="preserve">MUC13</w:t>
            </w:r>
          </w:p>
        </w:tc>
        <w:tc>
          <w:tcPr/>
          <w:p>
            <w:pPr>
              <w:pStyle w:val="Compact"/>
              <w:jc w:val="left"/>
            </w:pPr>
            <w:r>
              <w:t xml:space="preserve">CYR61</w:t>
            </w:r>
          </w:p>
        </w:tc>
        <w:tc>
          <w:tcPr/>
          <w:p>
            <w:pPr>
              <w:pStyle w:val="Compact"/>
              <w:jc w:val="left"/>
            </w:pPr>
            <w:r>
              <w:t xml:space="preserve">IGFBP4</w:t>
            </w:r>
          </w:p>
        </w:tc>
        <w:tc>
          <w:tcPr/>
          <w:p>
            <w:pPr>
              <w:pStyle w:val="Compact"/>
              <w:jc w:val="left"/>
            </w:pPr>
            <w:r>
              <w:t xml:space="preserve">DUOX2</w:t>
            </w:r>
          </w:p>
        </w:tc>
        <w:tc>
          <w:tcPr/>
          <w:p>
            <w:pPr>
              <w:pStyle w:val="Compact"/>
              <w:jc w:val="left"/>
            </w:pPr>
            <w:r>
              <w:t xml:space="preserve">CAV2</w:t>
            </w:r>
          </w:p>
        </w:tc>
      </w:tr>
      <w:tr>
        <w:tc>
          <w:tcPr/>
          <w:p>
            <w:pPr>
              <w:pStyle w:val="Compact"/>
              <w:jc w:val="left"/>
            </w:pPr>
            <w:r>
              <w:t xml:space="preserve">MAL2</w:t>
            </w:r>
          </w:p>
        </w:tc>
        <w:tc>
          <w:tcPr/>
          <w:p>
            <w:pPr>
              <w:pStyle w:val="Compact"/>
              <w:jc w:val="left"/>
            </w:pPr>
            <w:r>
              <w:t xml:space="preserve">PSCA</w:t>
            </w:r>
          </w:p>
        </w:tc>
        <w:tc>
          <w:tcPr/>
          <w:p>
            <w:pPr>
              <w:pStyle w:val="Compact"/>
              <w:jc w:val="left"/>
            </w:pPr>
            <w:r>
              <w:t xml:space="preserve">EPCAM</w:t>
            </w:r>
          </w:p>
        </w:tc>
        <w:tc>
          <w:tcPr/>
          <w:p>
            <w:pPr>
              <w:pStyle w:val="Compact"/>
              <w:jc w:val="left"/>
            </w:pPr>
            <w:r>
              <w:t xml:space="preserve">SLC7A5</w:t>
            </w:r>
          </w:p>
        </w:tc>
        <w:tc>
          <w:tcPr/>
          <w:p>
            <w:pPr>
              <w:pStyle w:val="Compact"/>
              <w:jc w:val="left"/>
            </w:pPr>
            <w:r>
              <w:t xml:space="preserve">CLDN4</w:t>
            </w:r>
          </w:p>
        </w:tc>
        <w:tc>
          <w:tcPr/>
          <w:p>
            <w:pPr>
              <w:pStyle w:val="Compact"/>
              <w:jc w:val="left"/>
            </w:pPr>
            <w:r>
              <w:t xml:space="preserve">CTSH</w:t>
            </w:r>
          </w:p>
        </w:tc>
      </w:tr>
      <w:tr>
        <w:tc>
          <w:tcPr/>
          <w:p>
            <w:pPr>
              <w:pStyle w:val="Compact"/>
              <w:jc w:val="left"/>
            </w:pPr>
            <w:r>
              <w:t xml:space="preserve">SCNN1A</w:t>
            </w:r>
          </w:p>
        </w:tc>
        <w:tc>
          <w:tcPr/>
          <w:p>
            <w:pPr>
              <w:pStyle w:val="Compact"/>
              <w:jc w:val="left"/>
            </w:pPr>
            <w:r>
              <w:t xml:space="preserve">SDCBP2</w:t>
            </w:r>
          </w:p>
        </w:tc>
        <w:tc>
          <w:tcPr/>
          <w:p>
            <w:pPr>
              <w:pStyle w:val="Compact"/>
              <w:jc w:val="left"/>
            </w:pPr>
            <w:r>
              <w:t xml:space="preserve">BHLHE40</w:t>
            </w:r>
          </w:p>
        </w:tc>
        <w:tc>
          <w:tcPr/>
          <w:p>
            <w:pPr>
              <w:pStyle w:val="Compact"/>
              <w:jc w:val="left"/>
            </w:pPr>
            <w:r>
              <w:t xml:space="preserve">TESC</w:t>
            </w:r>
          </w:p>
        </w:tc>
        <w:tc>
          <w:tcPr/>
          <w:p>
            <w:pPr>
              <w:pStyle w:val="Compact"/>
              <w:jc w:val="left"/>
            </w:pPr>
            <w:r>
              <w:t xml:space="preserve">CAPG</w:t>
            </w:r>
          </w:p>
        </w:tc>
        <w:tc>
          <w:tcPr/>
          <w:p>
            <w:pPr>
              <w:pStyle w:val="Compact"/>
              <w:jc w:val="left"/>
            </w:pPr>
            <w:r>
              <w:t xml:space="preserve">PABPC1</w:t>
            </w:r>
          </w:p>
        </w:tc>
      </w:tr>
      <w:tr>
        <w:tc>
          <w:tcPr/>
          <w:p>
            <w:pPr>
              <w:pStyle w:val="Compact"/>
              <w:jc w:val="left"/>
            </w:pPr>
            <w:r>
              <w:t xml:space="preserve">MALL</w:t>
            </w:r>
          </w:p>
        </w:tc>
        <w:tc>
          <w:tcPr/>
          <w:p>
            <w:pPr>
              <w:pStyle w:val="Compact"/>
              <w:jc w:val="left"/>
            </w:pPr>
            <w:r>
              <w:t xml:space="preserve">PROM2</w:t>
            </w:r>
          </w:p>
        </w:tc>
        <w:tc>
          <w:tcPr/>
          <w:p>
            <w:pPr>
              <w:pStyle w:val="Compact"/>
              <w:jc w:val="left"/>
            </w:pPr>
            <w:r>
              <w:t xml:space="preserve">CX3CL1</w:t>
            </w:r>
          </w:p>
        </w:tc>
        <w:tc>
          <w:tcPr/>
          <w:p>
            <w:pPr>
              <w:pStyle w:val="Compact"/>
              <w:jc w:val="left"/>
            </w:pPr>
            <w:r>
              <w:t xml:space="preserve">IFITM1</w:t>
            </w:r>
          </w:p>
        </w:tc>
        <w:tc>
          <w:tcPr/>
          <w:p>
            <w:pPr>
              <w:pStyle w:val="Compact"/>
              <w:jc w:val="left"/>
            </w:pPr>
            <w:r>
              <w:t xml:space="preserve">CEACAM5</w:t>
            </w:r>
          </w:p>
        </w:tc>
        <w:tc>
          <w:tcPr/>
          <w:p>
            <w:pPr>
              <w:pStyle w:val="Compact"/>
              <w:jc w:val="left"/>
            </w:pPr>
            <w:r>
              <w:t xml:space="preserve">KRT8</w:t>
            </w:r>
          </w:p>
        </w:tc>
      </w:tr>
      <w:tr>
        <w:tc>
          <w:tcPr/>
          <w:p>
            <w:pPr>
              <w:pStyle w:val="Compact"/>
              <w:jc w:val="left"/>
            </w:pPr>
            <w:r>
              <w:t xml:space="preserve">BGN</w:t>
            </w:r>
          </w:p>
        </w:tc>
        <w:tc>
          <w:tcPr/>
          <w:p>
            <w:pPr>
              <w:pStyle w:val="Compact"/>
              <w:jc w:val="left"/>
            </w:pPr>
            <w:r>
              <w:t xml:space="preserve">LRRC8A</w:t>
            </w:r>
          </w:p>
        </w:tc>
        <w:tc>
          <w:tcPr/>
          <w:p>
            <w:pPr>
              <w:pStyle w:val="Compact"/>
              <w:jc w:val="left"/>
            </w:pPr>
            <w:r>
              <w:t xml:space="preserve">SMAD3</w:t>
            </w:r>
          </w:p>
        </w:tc>
        <w:tc>
          <w:tcPr/>
          <w:p>
            <w:pPr>
              <w:pStyle w:val="Compact"/>
              <w:jc w:val="left"/>
            </w:pPr>
            <w:r>
              <w:t xml:space="preserve">KCNK5</w:t>
            </w:r>
          </w:p>
        </w:tc>
        <w:tc>
          <w:tcPr/>
          <w:p>
            <w:pPr>
              <w:pStyle w:val="Compact"/>
              <w:jc w:val="left"/>
            </w:pPr>
            <w:r>
              <w:t xml:space="preserve">VWA1</w:t>
            </w:r>
          </w:p>
        </w:tc>
        <w:tc>
          <w:tcPr/>
          <w:p>
            <w:pPr>
              <w:pStyle w:val="Compact"/>
              <w:jc w:val="left"/>
            </w:pPr>
            <w:r>
              <w:t xml:space="preserve">TAP1</w:t>
            </w:r>
          </w:p>
        </w:tc>
      </w:tr>
    </w:tbl>
    <w:p>
      <w:pPr>
        <w:pStyle w:val="BodyText"/>
      </w:pPr>
      <w:r>
        <w:rPr>
          <w:iCs/>
          <w:i/>
        </w:rPr>
        <w:t xml:space="preserve">Top 270 genes for DeSurv factor D3 (Factor D3 (basal-like tumor)), ranked by factor specificity score</w:t>
      </w:r>
      <w:r>
        <w:rPr>
          <w:iCs/>
          <w:i/>
        </w:rPr>
        <w:t xml:space="preserve"> </w:t>
      </w:r>
      <m:oMath>
        <m:sSub>
          <m:e>
            <m:r>
              <m:t>s</m:t>
            </m:r>
          </m:e>
          <m:sub>
            <m:r>
              <m:t>i</m:t>
            </m:r>
            <m:r>
              <m:t>j</m:t>
            </m:r>
          </m:sub>
        </m:sSub>
      </m:oMath>
      <w:r>
        <w:rPr>
          <w:iCs/>
          <w:i/>
        </w:rPr>
        <w:t xml:space="preserve">.</w:t>
      </w:r>
    </w:p>
    <w:p>
      <w:pPr>
        <w:pStyle w:val="BodyText"/>
      </w:pPr>
      <w:r>
        <w:t xml:space="preserve">\section{Translational transportability into independently treated PDAC cohorts}</w:t>
      </w:r>
    </w:p>
    <w:p>
      <w:pPr>
        <w:pStyle w:val="BodyText"/>
      </w:pPr>
      <w:r>
        <w:t xml:space="preserve">The programs were learned in treatment-naive, non-metastatic PDAC, the setting in which the gene-program matrix</w:t>
      </w:r>
      <w:r>
        <w:t xml:space="preserve"> </w:t>
      </w:r>
      <m:oMath>
        <m:r>
          <m:t>W</m:t>
        </m:r>
      </m:oMath>
      <w:r>
        <w:t xml:space="preserve"> </w:t>
      </w:r>
      <w:r>
        <w:t xml:space="preserve">and Cox coefficients</w:t>
      </w:r>
      <w:r>
        <w:t xml:space="preserve"> </w:t>
      </w:r>
      <m:oMath>
        <m:r>
          <m:t>β</m:t>
        </m:r>
      </m:oMath>
      <w:r>
        <w:t xml:space="preserve"> </w:t>
      </w:r>
      <w:r>
        <w:t xml:space="preserve">were trained. As a translational test we projected the fixed programs, without retraining, into independently treated PDAC and asked whether they retained clinically relevant associations. We used two resources. First, the O’Kane/COMPASS cohort of treated metastatic PDAC (laser-capture microdissected and therefore epithelial-enriched), which supports a transportability test of the tumor-associated</w:t>
      </w:r>
      <w:r>
        <w:t xml:space="preserve"> </w:t>
      </w:r>
      <m:oMath>
        <m:sSub>
          <m:e>
            <m:r>
              <m:t>D</m:t>
            </m:r>
          </m:e>
          <m:sub>
            <m:r>
              <m:t>1</m:t>
            </m:r>
          </m:sub>
        </m:sSub>
      </m:oMath>
      <w:r>
        <w:t xml:space="preserve"> </w:t>
      </w:r>
      <w:r>
        <w:t xml:space="preserve">direction under a model stratified by treatment arm (Fig. [fig:treated]a). Second, the borderline-resectable / locally advanced Linehan cohort, in which paired pre- and post-treatment biopsies allow a within-patient test of whether the stromal</w:t>
      </w:r>
      <w:r>
        <w:t xml:space="preserve"> </w:t>
      </w:r>
      <m:oMath>
        <m:sSub>
          <m:e>
            <m:r>
              <m:t>D</m:t>
            </m:r>
          </m:e>
          <m:sub>
            <m:r>
              <m:t>2</m:t>
            </m:r>
          </m:sub>
        </m:sSub>
      </m:oMath>
      <w:r>
        <w:t xml:space="preserve"> </w:t>
      </w:r>
      <w:r>
        <w:t xml:space="preserve">program changes with therapy (Fig. [fig:treated]b). Both are analysed within a single cohort and, for O’Kane/COMPASS, within treatment arm; no estimate is pooled across cohorts or across treatment arms. The elastic-net penalty shrank the trained survival coefficient for</w:t>
      </w:r>
      <w:r>
        <w:t xml:space="preserve"> </w:t>
      </w:r>
      <m:oMath>
        <m:sSub>
          <m:e>
            <m:r>
              <m:t>D</m:t>
            </m:r>
          </m:e>
          <m:sub>
            <m:r>
              <m:t>2</m:t>
            </m:r>
          </m:sub>
        </m:sSub>
      </m:oMath>
      <w:r>
        <w:t xml:space="preserve"> </w:t>
      </w:r>
      <w:r>
        <w:t xml:space="preserve">to exactly zero in the treatment-naive model (an estimated selection outcome, not an imposed constraint), so the paired analysis is reported as a change in program level and not as evidence that</w:t>
      </w:r>
      <w:r>
        <w:t xml:space="preserve"> </w:t>
      </w:r>
      <m:oMath>
        <m:sSub>
          <m:e>
            <m:r>
              <m:t>D</m:t>
            </m:r>
          </m:e>
          <m:sub>
            <m:r>
              <m:t>2</m:t>
            </m:r>
          </m:sub>
        </m:sSub>
      </m:oMath>
      <w:r>
        <w:t xml:space="preserve"> </w:t>
      </w:r>
      <w:r>
        <w:t xml:space="preserve">predicts survival.</w:t>
      </w:r>
    </w:p>
    <w:p>
      <w:pPr>
        <w:pStyle w:val="BodyText"/>
      </w:pPr>
      <w:r>
        <w:t xml:space="preserve">\subsection{Prognostic transportability of D1 in treated metastatic disease}</w:t>
      </w:r>
    </w:p>
    <w:p>
      <w:pPr>
        <w:pStyle w:val="BodyText"/>
      </w:pPr>
      <w:r>
        <w:t xml:space="preserve">To evaluate transportability in treated metastatic disease without combining treatment arms, we projected the frozen DeSurv programs into the O’Kane/COMPASS cohort and estimated</w:t>
      </w:r>
      <w:r>
        <w:t xml:space="preserve"> </w:t>
      </w:r>
      <m:oMath>
        <m:sSub>
          <m:e>
            <m:r>
              <m:t>D</m:t>
            </m:r>
          </m:e>
          <m:sub>
            <m:r>
              <m:t>1</m:t>
            </m:r>
          </m:sub>
        </m:sSub>
      </m:oMath>
      <w:r>
        <w:t xml:space="preserve"> </w:t>
      </w:r>
      <w:r>
        <w:t xml:space="preserve">associations separately within each arm.</w:t>
      </w:r>
      <w:r>
        <w:t xml:space="preserve"> </w:t>
      </w:r>
      <m:oMath>
        <m:sSub>
          <m:e>
            <m:r>
              <m:t>D</m:t>
            </m:r>
          </m:e>
          <m:sub>
            <m:r>
              <m:t>1</m:t>
            </m:r>
          </m:sub>
        </m:sSub>
      </m:oMath>
      <w:r>
        <w:t xml:space="preserve"> </w:t>
      </w:r>
      <w:r>
        <w:t xml:space="preserve">was associated with lower mortality in the same direction in FOLFIRINOX (HR per SD</w:t>
      </w:r>
      <w:r>
        <w:t xml:space="preserve"> </w:t>
      </w:r>
      <m:oMath>
        <m:r>
          <m:t>0.80</m:t>
        </m:r>
      </m:oMath>
      <w:r>
        <w:t xml:space="preserve"> </w:t>
      </w:r>
      <w:r>
        <w:t xml:space="preserve">(</w:t>
      </w:r>
      <m:oMath>
        <m:r>
          <m:t>0.61</m:t>
        </m:r>
      </m:oMath>
      <w:r>
        <w:t xml:space="preserve">–</w:t>
      </w:r>
      <m:oMath>
        <m:r>
          <m:t>1.03</m:t>
        </m:r>
      </m:oMath>
      <w:r>
        <w:t xml:space="preserve">)), gemcitabine/nab-paclitaxel (HR</w:t>
      </w:r>
      <w:r>
        <w:t xml:space="preserve"> </w:t>
      </w:r>
      <m:oMath>
        <m:r>
          <m:t>0.57</m:t>
        </m:r>
      </m:oMath>
      <w:r>
        <w:t xml:space="preserve"> </w:t>
      </w:r>
      <w:r>
        <w:t xml:space="preserve">(</w:t>
      </w:r>
      <m:oMath>
        <m:r>
          <m:t>0.37</m:t>
        </m:r>
      </m:oMath>
      <w:r>
        <w:t xml:space="preserve">–</w:t>
      </w:r>
      <m:oMath>
        <m:r>
          <m:t>0.86</m:t>
        </m:r>
      </m:oMath>
      <w:r>
        <w:t xml:space="preserve">)) and the GA/experimental arm (HR</w:t>
      </w:r>
      <w:r>
        <w:t xml:space="preserve"> </w:t>
      </w:r>
      <m:oMath>
        <m:r>
          <m:t>0.83</m:t>
        </m:r>
      </m:oMath>
      <w:r>
        <w:t xml:space="preserve"> </w:t>
      </w:r>
      <w:r>
        <w:t xml:space="preserve">(</w:t>
      </w:r>
      <m:oMath>
        <m:r>
          <m:t>0.58</m:t>
        </m:r>
      </m:oMath>
      <w:r>
        <w:t xml:space="preserve">–</w:t>
      </w:r>
      <m:oMath>
        <m:r>
          <m:t>1.20</m:t>
        </m:r>
      </m:oMath>
      <w:r>
        <w:t xml:space="preserve">); Fig. [fig:treated]a). An arm-stratified Cox model allowing treatment-specific baseline hazards yielded a common association of HR</w:t>
      </w:r>
      <w:r>
        <w:t xml:space="preserve"> </w:t>
      </w:r>
      <m:oMath>
        <m:r>
          <m:t>0.75</m:t>
        </m:r>
      </m:oMath>
      <w:r>
        <w:t xml:space="preserve"> </w:t>
      </w:r>
      <w:r>
        <w:t xml:space="preserve">(</w:t>
      </w:r>
      <m:oMath>
        <m:r>
          <m:t>0.62</m:t>
        </m:r>
      </m:oMath>
      <w:r>
        <w:t xml:space="preserve">–</w:t>
      </w:r>
      <m:oMath>
        <m:r>
          <m:t>0.90</m:t>
        </m:r>
      </m:oMath>
      <w:r>
        <w:t xml:space="preserve">) (</w:t>
      </w:r>
      <m:oMath>
        <m:r>
          <m:t>P</m:t>
        </m:r>
        <m:r>
          <m:rPr>
            <m:sty m:val="p"/>
          </m:rPr>
          <m:t>=</m:t>
        </m:r>
        <m:r>
          <m:t>0.003</m:t>
        </m:r>
      </m:oMath>
      <w:r>
        <w:t xml:space="preserve">; 173 patients, 123 deaths), with no evidence of heterogeneity across treatment arms (interaction</w:t>
      </w:r>
      <w:r>
        <w:t xml:space="preserve"> </w:t>
      </w:r>
      <m:oMath>
        <m:r>
          <m:t>P</m:t>
        </m:r>
        <m:r>
          <m:rPr>
            <m:sty m:val="p"/>
          </m:rPr>
          <m:t>=</m:t>
        </m:r>
        <m:r>
          <m:t>0.40</m:t>
        </m:r>
      </m:oMath>
      <w:r>
        <w:t xml:space="preserve">). Because these specimens were epithelial-enriched by laser-capture microdissection, this analysis specifically tests transportability of the tumor-associated</w:t>
      </w:r>
      <w:r>
        <w:t xml:space="preserve"> </w:t>
      </w:r>
      <m:oMath>
        <m:sSub>
          <m:e>
            <m:r>
              <m:t>D</m:t>
            </m:r>
          </m:e>
          <m:sub>
            <m:r>
              <m:t>1</m:t>
            </m:r>
          </m:sub>
        </m:sSub>
      </m:oMath>
      <w:r>
        <w:t xml:space="preserve"> </w:t>
      </w:r>
      <w:r>
        <w:t xml:space="preserve">direction rather than the stromal programs.</w:t>
      </w:r>
    </w:p>
    <w:p>
      <w:pPr>
        <w:pStyle w:val="BodyText"/>
      </w:pPr>
      <w:r>
        <w:t xml:space="preserve">\subsection{Treatment-associated change in D2}</w:t>
      </w:r>
    </w:p>
    <w:p>
      <w:pPr>
        <w:pStyle w:val="BodyText"/>
      </w:pPr>
      <w:r>
        <w:t xml:space="preserve">In the 29 Linehan patients with paired pre- and post-treatment biopsies,</w:t>
      </w:r>
      <w:r>
        <w:t xml:space="preserve"> </w:t>
      </w:r>
      <m:oMath>
        <m:sSub>
          <m:e>
            <m:r>
              <m:t>D</m:t>
            </m:r>
          </m:e>
          <m:sub>
            <m:r>
              <m:t>2</m:t>
            </m:r>
          </m:sub>
        </m:sSub>
      </m:oMath>
      <w:r>
        <w:t xml:space="preserve"> </w:t>
      </w:r>
      <w:r>
        <w:t xml:space="preserve">increased significantly from pre- to post-treatment (paired Wilcoxon 0.013; mean</w:t>
      </w:r>
      <w:r>
        <w:t xml:space="preserve"> </w:t>
      </w:r>
      <m:oMath>
        <m:r>
          <m:t>Δ</m:t>
        </m:r>
        <m:r>
          <m:rPr>
            <m:sty m:val="p"/>
          </m:rPr>
          <m:t>=</m:t>
        </m:r>
        <m:r>
          <m:rPr>
            <m:sty m:val="p"/>
          </m:rPr>
          <m:t>+</m:t>
        </m:r>
        <m:r>
          <m:t>0.34</m:t>
        </m:r>
      </m:oMath>
      <w:r>
        <w:t xml:space="preserve"> </w:t>
      </w:r>
      <w:r>
        <w:t xml:space="preserve">SD; Fig. [fig:treated]b), consistent with treatment-associated remodeling of the proCAF program.</w:t>
      </w:r>
    </w:p>
    <w:p>
      <w:pPr>
        <w:pStyle w:val="BodyText"/>
      </w:pPr>
      <w:r>
        <w:t xml:space="preserve">\subsection{Caveats}</w:t>
      </w:r>
    </w:p>
    <w:p>
      <w:pPr>
        <w:pStyle w:val="BodyText"/>
      </w:pPr>
      <w:r>
        <w:t xml:space="preserve">These analyses are exploratory and prognostic, not predictive: treatment, stage and cohort are confounded, the treated cohorts are modestly sized, and no analysis plan was preregistered. Each analysis is confined to a single cohort, and the O’Kane/COMPASS estimate is stratified by treatment arm; nothing is pooled across cohorts or across arms. We report no program-by-survival association in bulk treated tissue. Robust treated-cohort validation, and any assessment of whether the programs predict differential treatment benefit, will require larger harmonized series with adequately powered treatment-by-program interaction analyses.</w:t>
      </w:r>
    </w:p>
    <w:bookmarkEnd w:id="43"/>
    <w:bookmarkStart w:id="94" w:name="bibliography"/>
    <w:p>
      <w:pPr>
        <w:pStyle w:val="Heading1"/>
      </w:pPr>
      <w:r>
        <w:t xml:space="preserve">SI References</w:t>
      </w:r>
    </w:p>
    <w:bookmarkStart w:id="93" w:name="refs"/>
    <w:bookmarkStart w:id="44" w:name="ref-seung2001algorithms"/>
    <w:p>
      <w:pPr>
        <w:pStyle w:val="Bibliography"/>
      </w:pPr>
      <w:r>
        <w:t xml:space="preserve">1.</w:t>
      </w:r>
      <w:r>
        <w:t xml:space="preserve"> </w:t>
      </w:r>
      <w:r>
        <w:t xml:space="preserve">	</w:t>
      </w:r>
      <w:r>
        <w:t xml:space="preserve">Lee, D. D. &amp; Seung, H. S. Algorithms for non-negative matrix factorization. in</w:t>
      </w:r>
      <w:r>
        <w:t xml:space="preserve"> </w:t>
      </w:r>
      <w:r>
        <w:rPr>
          <w:iCs/>
          <w:i/>
        </w:rPr>
        <w:t xml:space="preserve">Advances in neural information processing systems 13 (NIPS 2000)</w:t>
      </w:r>
      <w:r>
        <w:t xml:space="preserve"> </w:t>
      </w:r>
      <w:r>
        <w:t xml:space="preserve">(eds. Leen, T. K., Dietterich, T. G. &amp; Tresp, V.) 556–562 (MIT Press, 2001).</w:t>
      </w:r>
    </w:p>
    <w:bookmarkEnd w:id="44"/>
    <w:bookmarkStart w:id="46" w:name="ref-pascualmontano2006nonsmooth"/>
    <w:p>
      <w:pPr>
        <w:pStyle w:val="Bibliography"/>
      </w:pPr>
      <w:r>
        <w:t xml:space="preserve">2.</w:t>
      </w:r>
      <w:r>
        <w:t xml:space="preserve"> </w:t>
      </w:r>
      <w:r>
        <w:t xml:space="preserve">	</w:t>
      </w:r>
      <w:r>
        <w:t xml:space="preserve">Pascual-Montano, A., Carazo, J. M., Kochi, K., Lehmann, D. &amp; Pascual-Marqui, R. D.</w:t>
      </w:r>
      <w:r>
        <w:t xml:space="preserve"> </w:t>
      </w:r>
      <w:hyperlink r:id="rId45">
        <w:r>
          <w:rPr>
            <w:rStyle w:val="Hyperlink"/>
          </w:rPr>
          <w:t xml:space="preserve">Nonsmooth nonnegative matrix factorization (nsNMF)</w:t>
        </w:r>
      </w:hyperlink>
      <w:r>
        <w:t xml:space="preserve">.</w:t>
      </w:r>
      <w:r>
        <w:t xml:space="preserve"> </w:t>
      </w:r>
      <w:r>
        <w:rPr>
          <w:iCs/>
          <w:i/>
        </w:rPr>
        <w:t xml:space="preserve">IEEE Transactions on Pattern Analysis and Machine Intelligence</w:t>
      </w:r>
      <w:r>
        <w:t xml:space="preserve"> </w:t>
      </w:r>
      <w:r>
        <w:rPr>
          <w:bCs/>
          <w:b/>
        </w:rPr>
        <w:t xml:space="preserve">28</w:t>
      </w:r>
      <w:r>
        <w:t xml:space="preserve">, 403–415 (2006).</w:t>
      </w:r>
    </w:p>
    <w:bookmarkEnd w:id="46"/>
    <w:bookmarkStart w:id="48" w:name="ref-simon2011regularization"/>
    <w:p>
      <w:pPr>
        <w:pStyle w:val="Bibliography"/>
      </w:pPr>
      <w:r>
        <w:t xml:space="preserve">3.</w:t>
      </w:r>
      <w:r>
        <w:t xml:space="preserve"> </w:t>
      </w:r>
      <w:r>
        <w:t xml:space="preserve">	</w:t>
      </w:r>
      <w:r>
        <w:t xml:space="preserve">Simon, N., Friedman, J. H., Hastie, T. &amp; Tibshirani, R.</w:t>
      </w:r>
      <w:r>
        <w:t xml:space="preserve"> </w:t>
      </w:r>
      <w:hyperlink r:id="rId47">
        <w:r>
          <w:rPr>
            <w:rStyle w:val="Hyperlink"/>
          </w:rPr>
          <w:t xml:space="preserve">Regularization paths for cox’s proportional hazards model via coordinate descent</w:t>
        </w:r>
      </w:hyperlink>
      <w:r>
        <w:t xml:space="preserve">.</w:t>
      </w:r>
      <w:r>
        <w:t xml:space="preserve"> </w:t>
      </w:r>
      <w:r>
        <w:rPr>
          <w:iCs/>
          <w:i/>
        </w:rPr>
        <w:t xml:space="preserve">Journal of Statistical Software</w:t>
      </w:r>
      <w:r>
        <w:t xml:space="preserve"> </w:t>
      </w:r>
      <w:r>
        <w:rPr>
          <w:bCs/>
          <w:b/>
        </w:rPr>
        <w:t xml:space="preserve">39</w:t>
      </w:r>
      <w:r>
        <w:t xml:space="preserve">, 1–13 (2011).</w:t>
      </w:r>
    </w:p>
    <w:bookmarkEnd w:id="48"/>
    <w:bookmarkStart w:id="49" w:name="ref-donoho2004nmf"/>
    <w:p>
      <w:pPr>
        <w:pStyle w:val="Bibliography"/>
      </w:pPr>
      <w:r>
        <w:t xml:space="preserve">4.</w:t>
      </w:r>
      <w:r>
        <w:t xml:space="preserve"> </w:t>
      </w:r>
      <w:r>
        <w:t xml:space="preserve">	</w:t>
      </w:r>
      <w:r>
        <w:t xml:space="preserve">Donoho, D. &amp; Stodden, V. When does non-negative matrix factorization give a correct decomposition into parts? in</w:t>
      </w:r>
      <w:r>
        <w:t xml:space="preserve"> </w:t>
      </w:r>
      <w:r>
        <w:rPr>
          <w:iCs/>
          <w:i/>
        </w:rPr>
        <w:t xml:space="preserve">Advances in neural information processing systems 16 (NIPS 2003)</w:t>
      </w:r>
      <w:r>
        <w:t xml:space="preserve"> </w:t>
      </w:r>
      <w:r>
        <w:t xml:space="preserve">(eds. Thrun, S., Saul, L. K. &amp; Schölkopf, B.) 1141–1148 (MIT Press, 2004).</w:t>
      </w:r>
    </w:p>
    <w:bookmarkEnd w:id="49"/>
    <w:bookmarkStart w:id="51" w:name="ref-laurberg2008uniqueness"/>
    <w:p>
      <w:pPr>
        <w:pStyle w:val="Bibliography"/>
      </w:pPr>
      <w:r>
        <w:t xml:space="preserve">5.</w:t>
      </w:r>
      <w:r>
        <w:t xml:space="preserve"> </w:t>
      </w:r>
      <w:r>
        <w:t xml:space="preserve">	</w:t>
      </w:r>
      <w:r>
        <w:t xml:space="preserve">Laurberg, H., Christensen, M. G., Plumbley, M. D., Hansen, L. K. &amp; Jensen, S. H.</w:t>
      </w:r>
      <w:r>
        <w:t xml:space="preserve"> </w:t>
      </w:r>
      <w:hyperlink r:id="rId50">
        <w:r>
          <w:rPr>
            <w:rStyle w:val="Hyperlink"/>
          </w:rPr>
          <w:t xml:space="preserve">Theorems on positive data: On the uniqueness of NMF</w:t>
        </w:r>
      </w:hyperlink>
      <w:r>
        <w:t xml:space="preserve">.</w:t>
      </w:r>
      <w:r>
        <w:t xml:space="preserve"> </w:t>
      </w:r>
      <w:r>
        <w:rPr>
          <w:iCs/>
          <w:i/>
        </w:rPr>
        <w:t xml:space="preserve">Computational Intelligence and Neuroscience</w:t>
      </w:r>
      <w:r>
        <w:t xml:space="preserve"> </w:t>
      </w:r>
      <w:r>
        <w:rPr>
          <w:bCs/>
          <w:b/>
        </w:rPr>
        <w:t xml:space="preserve">2008</w:t>
      </w:r>
      <w:r>
        <w:t xml:space="preserve">, 764206 (2008).</w:t>
      </w:r>
    </w:p>
    <w:bookmarkEnd w:id="51"/>
    <w:bookmarkStart w:id="52" w:name="ref-gillis2014nmf"/>
    <w:p>
      <w:pPr>
        <w:pStyle w:val="Bibliography"/>
      </w:pPr>
      <w:r>
        <w:t xml:space="preserve">6.</w:t>
      </w:r>
      <w:r>
        <w:t xml:space="preserve"> </w:t>
      </w:r>
      <w:r>
        <w:t xml:space="preserve">	</w:t>
      </w:r>
      <w:r>
        <w:t xml:space="preserve">Gillis, N. The why and how of nonnegative matrix factorization. in</w:t>
      </w:r>
      <w:r>
        <w:t xml:space="preserve"> </w:t>
      </w:r>
      <w:r>
        <w:rPr>
          <w:iCs/>
          <w:i/>
        </w:rPr>
        <w:t xml:space="preserve">Regularization, optimization, kernels, and support vector machines</w:t>
      </w:r>
      <w:r>
        <w:t xml:space="preserve"> </w:t>
      </w:r>
      <w:r>
        <w:t xml:space="preserve">(eds. Suykens, J. A. K., Signoretto, M. &amp; Argyriou, A.) 257–291 (Chapman; Hall/CRC, 2014).</w:t>
      </w:r>
    </w:p>
    <w:bookmarkEnd w:id="52"/>
    <w:bookmarkStart w:id="54" w:name="ref-brunet2004metagenes"/>
    <w:p>
      <w:pPr>
        <w:pStyle w:val="Bibliography"/>
      </w:pPr>
      <w:r>
        <w:t xml:space="preserve">7.</w:t>
      </w:r>
      <w:r>
        <w:t xml:space="preserve"> </w:t>
      </w:r>
      <w:r>
        <w:t xml:space="preserve">	</w:t>
      </w:r>
      <w:r>
        <w:t xml:space="preserve">Brunet, J.-P., Tamayo, P., Golub, T. R. &amp; Mesirov, J. P.</w:t>
      </w:r>
      <w:r>
        <w:t xml:space="preserve"> </w:t>
      </w:r>
      <w:hyperlink r:id="rId53">
        <w:r>
          <w:rPr>
            <w:rStyle w:val="Hyperlink"/>
          </w:rPr>
          <w:t xml:space="preserve">Metagenes and molecular pattern discovery using matrix factorization</w:t>
        </w:r>
      </w:hyperlink>
      <w:r>
        <w:t xml:space="preserve">.</w:t>
      </w:r>
      <w:r>
        <w:t xml:space="preserve"> </w:t>
      </w:r>
      <w:r>
        <w:rPr>
          <w:iCs/>
          <w:i/>
        </w:rPr>
        <w:t xml:space="preserve">Proceedings of the National Academy of Sciences USA</w:t>
      </w:r>
      <w:r>
        <w:t xml:space="preserve"> </w:t>
      </w:r>
      <w:r>
        <w:rPr>
          <w:bCs/>
          <w:b/>
        </w:rPr>
        <w:t xml:space="preserve">101</w:t>
      </w:r>
      <w:r>
        <w:t xml:space="preserve">, 4164–4169 (2004).</w:t>
      </w:r>
    </w:p>
    <w:bookmarkEnd w:id="54"/>
    <w:bookmarkStart w:id="56" w:name="ref-kim2007sparse"/>
    <w:p>
      <w:pPr>
        <w:pStyle w:val="Bibliography"/>
      </w:pPr>
      <w:r>
        <w:t xml:space="preserve">8.</w:t>
      </w:r>
      <w:r>
        <w:t xml:space="preserve"> </w:t>
      </w:r>
      <w:r>
        <w:t xml:space="preserve">	</w:t>
      </w:r>
      <w:r>
        <w:t xml:space="preserve">Kim, J. &amp; Park, H.</w:t>
      </w:r>
      <w:r>
        <w:t xml:space="preserve"> </w:t>
      </w:r>
      <w:r>
        <w:rPr>
          <w:iCs/>
          <w:i/>
        </w:rPr>
        <w:t xml:space="preserve">Sparse Nonnegative Matrix Factorization for Clustering</w:t>
      </w:r>
      <w:r>
        <w:t xml:space="preserve">.</w:t>
      </w:r>
      <w:r>
        <w:t xml:space="preserve"> </w:t>
      </w:r>
      <w:hyperlink r:id="rId55">
        <w:r>
          <w:rPr>
            <w:rStyle w:val="Hyperlink"/>
          </w:rPr>
          <w:t xml:space="preserve">https://faculty.cc.gatech.edu/~hpark/papers/GT-CSE-08-01.pdf</w:t>
        </w:r>
      </w:hyperlink>
      <w:r>
        <w:t xml:space="preserve"> </w:t>
      </w:r>
      <w:r>
        <w:t xml:space="preserve">(2008).</w:t>
      </w:r>
    </w:p>
    <w:bookmarkEnd w:id="56"/>
    <w:bookmarkStart w:id="58" w:name="ref-gillis2012accelerated"/>
    <w:p>
      <w:pPr>
        <w:pStyle w:val="Bibliography"/>
      </w:pPr>
      <w:r>
        <w:t xml:space="preserve">9.</w:t>
      </w:r>
      <w:r>
        <w:t xml:space="preserve"> </w:t>
      </w:r>
      <w:r>
        <w:t xml:space="preserve">	</w:t>
      </w:r>
      <w:r>
        <w:t xml:space="preserve">Gillis, N. &amp; Glineur, F.</w:t>
      </w:r>
      <w:r>
        <w:t xml:space="preserve"> </w:t>
      </w:r>
      <w:hyperlink r:id="rId57">
        <w:r>
          <w:rPr>
            <w:rStyle w:val="Hyperlink"/>
          </w:rPr>
          <w:t xml:space="preserve">Accelerated multiplicative updates and hierarchical ALS algorithms for nonnegative matrix factorization</w:t>
        </w:r>
      </w:hyperlink>
      <w:r>
        <w:t xml:space="preserve">.</w:t>
      </w:r>
      <w:r>
        <w:t xml:space="preserve"> </w:t>
      </w:r>
      <w:r>
        <w:rPr>
          <w:iCs/>
          <w:i/>
        </w:rPr>
        <w:t xml:space="preserve">Neural Computation</w:t>
      </w:r>
      <w:r>
        <w:t xml:space="preserve"> </w:t>
      </w:r>
      <w:r>
        <w:rPr>
          <w:bCs/>
          <w:b/>
        </w:rPr>
        <w:t xml:space="preserve">24</w:t>
      </w:r>
      <w:r>
        <w:t xml:space="preserve">, 1085–1105 (2012).</w:t>
      </w:r>
    </w:p>
    <w:bookmarkEnd w:id="58"/>
    <w:bookmarkStart w:id="59" w:name="ref-blei2007slda"/>
    <w:p>
      <w:pPr>
        <w:pStyle w:val="Bibliography"/>
      </w:pPr>
      <w:r>
        <w:t xml:space="preserve">10.</w:t>
      </w:r>
      <w:r>
        <w:t xml:space="preserve"> </w:t>
      </w:r>
      <w:r>
        <w:t xml:space="preserve">	</w:t>
      </w:r>
      <w:r>
        <w:t xml:space="preserve">Blei, D. M. &amp; McAuliffe, J. D. Supervised topic models. in</w:t>
      </w:r>
      <w:r>
        <w:t xml:space="preserve"> </w:t>
      </w:r>
      <w:r>
        <w:rPr>
          <w:iCs/>
          <w:i/>
        </w:rPr>
        <w:t xml:space="preserve">Advances in neural information processing systems 20 (NIPS 2007)</w:t>
      </w:r>
      <w:r>
        <w:t xml:space="preserve"> </w:t>
      </w:r>
      <w:r>
        <w:t xml:space="preserve">(eds. Platt, J. C., Koller, D., Singer, Y. &amp; Roweis, S. T.) 121–128 (Curran Associates, Inc., 2007).</w:t>
      </w:r>
    </w:p>
    <w:bookmarkEnd w:id="59"/>
    <w:bookmarkStart w:id="61" w:name="ref-raphael2017integrated"/>
    <w:p>
      <w:pPr>
        <w:pStyle w:val="Bibliography"/>
      </w:pPr>
      <w:r>
        <w:t xml:space="preserve">11.</w:t>
      </w:r>
      <w:r>
        <w:t xml:space="preserve"> </w:t>
      </w:r>
      <w:r>
        <w:t xml:space="preserve">	</w:t>
      </w:r>
      <w:r>
        <w:t xml:space="preserve">Raphael, B. J.</w:t>
      </w:r>
      <w:r>
        <w:t xml:space="preserve"> </w:t>
      </w:r>
      <w:r>
        <w:rPr>
          <w:iCs/>
          <w:i/>
        </w:rPr>
        <w:t xml:space="preserve">et al.</w:t>
      </w:r>
      <w:r>
        <w:t xml:space="preserve"> </w:t>
      </w:r>
      <w:hyperlink r:id="rId60">
        <w:r>
          <w:rPr>
            <w:rStyle w:val="Hyperlink"/>
          </w:rPr>
          <w:t xml:space="preserve">Integrated genomic characterization of pancreatic ductal adenocarcinoma</w:t>
        </w:r>
      </w:hyperlink>
      <w:r>
        <w:t xml:space="preserve">.</w:t>
      </w:r>
      <w:r>
        <w:t xml:space="preserve"> </w:t>
      </w:r>
      <w:r>
        <w:rPr>
          <w:iCs/>
          <w:i/>
        </w:rPr>
        <w:t xml:space="preserve">Cancer Cell</w:t>
      </w:r>
      <w:r>
        <w:t xml:space="preserve"> </w:t>
      </w:r>
      <w:r>
        <w:rPr>
          <w:bCs/>
          <w:b/>
        </w:rPr>
        <w:t xml:space="preserve">32</w:t>
      </w:r>
      <w:r>
        <w:t xml:space="preserve">, 185–203 (2017).</w:t>
      </w:r>
    </w:p>
    <w:bookmarkEnd w:id="61"/>
    <w:bookmarkStart w:id="63" w:name="ref-cao2021proteogenomic"/>
    <w:p>
      <w:pPr>
        <w:pStyle w:val="Bibliography"/>
      </w:pPr>
      <w:r>
        <w:t xml:space="preserve">12.</w:t>
      </w:r>
      <w:r>
        <w:t xml:space="preserve"> </w:t>
      </w:r>
      <w:r>
        <w:t xml:space="preserve">	</w:t>
      </w:r>
      <w:r>
        <w:t xml:space="preserve">Cao, L.</w:t>
      </w:r>
      <w:r>
        <w:t xml:space="preserve"> </w:t>
      </w:r>
      <w:r>
        <w:rPr>
          <w:iCs/>
          <w:i/>
        </w:rPr>
        <w:t xml:space="preserve">et al.</w:t>
      </w:r>
      <w:r>
        <w:t xml:space="preserve"> </w:t>
      </w:r>
      <w:hyperlink r:id="rId62">
        <w:r>
          <w:rPr>
            <w:rStyle w:val="Hyperlink"/>
          </w:rPr>
          <w:t xml:space="preserve">Proteogenomic characterization of pancreatic ductal adenocarcinoma</w:t>
        </w:r>
      </w:hyperlink>
      <w:r>
        <w:t xml:space="preserve">.</w:t>
      </w:r>
      <w:r>
        <w:t xml:space="preserve"> </w:t>
      </w:r>
      <w:r>
        <w:rPr>
          <w:iCs/>
          <w:i/>
        </w:rPr>
        <w:t xml:space="preserve">Cell</w:t>
      </w:r>
      <w:r>
        <w:t xml:space="preserve"> </w:t>
      </w:r>
      <w:r>
        <w:rPr>
          <w:bCs/>
          <w:b/>
        </w:rPr>
        <w:t xml:space="preserve">184</w:t>
      </w:r>
      <w:r>
        <w:t xml:space="preserve">, 5031–5052 (2021).</w:t>
      </w:r>
    </w:p>
    <w:bookmarkEnd w:id="63"/>
    <w:bookmarkStart w:id="65" w:name="ref-dijk2020unsupervised"/>
    <w:p>
      <w:pPr>
        <w:pStyle w:val="Bibliography"/>
      </w:pPr>
      <w:r>
        <w:t xml:space="preserve">13.</w:t>
      </w:r>
      <w:r>
        <w:t xml:space="preserve"> </w:t>
      </w:r>
      <w:r>
        <w:t xml:space="preserve">	</w:t>
      </w:r>
      <w:r>
        <w:t xml:space="preserve">Dijk, F.</w:t>
      </w:r>
      <w:r>
        <w:t xml:space="preserve"> </w:t>
      </w:r>
      <w:r>
        <w:rPr>
          <w:iCs/>
          <w:i/>
        </w:rPr>
        <w:t xml:space="preserve">et al.</w:t>
      </w:r>
      <w:r>
        <w:t xml:space="preserve"> </w:t>
      </w:r>
      <w:hyperlink r:id="rId64">
        <w:r>
          <w:rPr>
            <w:rStyle w:val="Hyperlink"/>
          </w:rPr>
          <w:t xml:space="preserve">Unsupervised class discovery in pancreatic ductal adenocarcinoma reveals cell-intrinsic mesenchymal features and high concordance between existing classification systems</w:t>
        </w:r>
      </w:hyperlink>
      <w:r>
        <w:t xml:space="preserve">.</w:t>
      </w:r>
      <w:r>
        <w:t xml:space="preserve"> </w:t>
      </w:r>
      <w:r>
        <w:rPr>
          <w:iCs/>
          <w:i/>
        </w:rPr>
        <w:t xml:space="preserve">Scientific Reports</w:t>
      </w:r>
      <w:r>
        <w:t xml:space="preserve"> </w:t>
      </w:r>
      <w:r>
        <w:rPr>
          <w:bCs/>
          <w:b/>
        </w:rPr>
        <w:t xml:space="preserve">10</w:t>
      </w:r>
      <w:r>
        <w:t xml:space="preserve">, 337 (2020).</w:t>
      </w:r>
    </w:p>
    <w:bookmarkEnd w:id="65"/>
    <w:bookmarkStart w:id="67" w:name="ref-moffitt2015virtual"/>
    <w:p>
      <w:pPr>
        <w:pStyle w:val="Bibliography"/>
      </w:pPr>
      <w:r>
        <w:t xml:space="preserve">14.</w:t>
      </w:r>
      <w:r>
        <w:t xml:space="preserve"> </w:t>
      </w:r>
      <w:r>
        <w:t xml:space="preserve">	</w:t>
      </w:r>
      <w:r>
        <w:t xml:space="preserve">Moffitt, R. A.</w:t>
      </w:r>
      <w:r>
        <w:t xml:space="preserve"> </w:t>
      </w:r>
      <w:r>
        <w:rPr>
          <w:iCs/>
          <w:i/>
        </w:rPr>
        <w:t xml:space="preserve">et al.</w:t>
      </w:r>
      <w:r>
        <w:t xml:space="preserve"> </w:t>
      </w:r>
      <w:hyperlink r:id="rId66">
        <w:r>
          <w:rPr>
            <w:rStyle w:val="Hyperlink"/>
          </w:rPr>
          <w:t xml:space="preserve">Virtual microdissection identifies distinct tumor- and stroma-specific subtypes of pancreatic ductal adenocarcinoma</w:t>
        </w:r>
      </w:hyperlink>
      <w:r>
        <w:t xml:space="preserve">.</w:t>
      </w:r>
      <w:r>
        <w:t xml:space="preserve"> </w:t>
      </w:r>
      <w:r>
        <w:rPr>
          <w:iCs/>
          <w:i/>
        </w:rPr>
        <w:t xml:space="preserve">Nature Genetics</w:t>
      </w:r>
      <w:r>
        <w:t xml:space="preserve"> </w:t>
      </w:r>
      <w:r>
        <w:rPr>
          <w:bCs/>
          <w:b/>
        </w:rPr>
        <w:t xml:space="preserve">47</w:t>
      </w:r>
      <w:r>
        <w:t xml:space="preserve">, 1168–1178 (2015).</w:t>
      </w:r>
    </w:p>
    <w:bookmarkEnd w:id="67"/>
    <w:bookmarkStart w:id="69" w:name="ref-Bailey2016"/>
    <w:p>
      <w:pPr>
        <w:pStyle w:val="Bibliography"/>
      </w:pPr>
      <w:r>
        <w:t xml:space="preserve">15.</w:t>
      </w:r>
      <w:r>
        <w:t xml:space="preserve"> </w:t>
      </w:r>
      <w:r>
        <w:t xml:space="preserve">	</w:t>
      </w:r>
      <w:r>
        <w:t xml:space="preserve">Bailey, P.</w:t>
      </w:r>
      <w:r>
        <w:t xml:space="preserve"> </w:t>
      </w:r>
      <w:r>
        <w:rPr>
          <w:iCs/>
          <w:i/>
        </w:rPr>
        <w:t xml:space="preserve">et al.</w:t>
      </w:r>
      <w:r>
        <w:t xml:space="preserve"> </w:t>
      </w:r>
      <w:hyperlink r:id="rId68">
        <w:r>
          <w:rPr>
            <w:rStyle w:val="Hyperlink"/>
          </w:rPr>
          <w:t xml:space="preserve">Genomic analyses identify molecular subtypes of pancreatic cancer</w:t>
        </w:r>
      </w:hyperlink>
      <w:r>
        <w:t xml:space="preserve">.</w:t>
      </w:r>
      <w:r>
        <w:t xml:space="preserve"> </w:t>
      </w:r>
      <w:r>
        <w:rPr>
          <w:iCs/>
          <w:i/>
        </w:rPr>
        <w:t xml:space="preserve">Nature</w:t>
      </w:r>
      <w:r>
        <w:t xml:space="preserve"> </w:t>
      </w:r>
      <w:r>
        <w:rPr>
          <w:bCs/>
          <w:b/>
        </w:rPr>
        <w:t xml:space="preserve">531</w:t>
      </w:r>
      <w:r>
        <w:t xml:space="preserve">, 47–52 (2016).</w:t>
      </w:r>
    </w:p>
    <w:bookmarkEnd w:id="69"/>
    <w:bookmarkStart w:id="71" w:name="ref-puleo2018stratification"/>
    <w:p>
      <w:pPr>
        <w:pStyle w:val="Bibliography"/>
      </w:pPr>
      <w:r>
        <w:t xml:space="preserve">16.</w:t>
      </w:r>
      <w:r>
        <w:t xml:space="preserve"> </w:t>
      </w:r>
      <w:r>
        <w:t xml:space="preserve">	</w:t>
      </w:r>
      <w:r>
        <w:t xml:space="preserve">Puleo, F.</w:t>
      </w:r>
      <w:r>
        <w:t xml:space="preserve"> </w:t>
      </w:r>
      <w:r>
        <w:rPr>
          <w:iCs/>
          <w:i/>
        </w:rPr>
        <w:t xml:space="preserve">et al.</w:t>
      </w:r>
      <w:r>
        <w:t xml:space="preserve"> </w:t>
      </w:r>
      <w:hyperlink r:id="rId70">
        <w:r>
          <w:rPr>
            <w:rStyle w:val="Hyperlink"/>
          </w:rPr>
          <w:t xml:space="preserve">Stratification of pancreatic ductal adenocarcinomas based on tumor and microenvironment features</w:t>
        </w:r>
      </w:hyperlink>
      <w:r>
        <w:t xml:space="preserve">.</w:t>
      </w:r>
      <w:r>
        <w:t xml:space="preserve"> </w:t>
      </w:r>
      <w:r>
        <w:rPr>
          <w:iCs/>
          <w:i/>
        </w:rPr>
        <w:t xml:space="preserve">Gastroenterology</w:t>
      </w:r>
      <w:r>
        <w:t xml:space="preserve"> </w:t>
      </w:r>
      <w:r>
        <w:rPr>
          <w:bCs/>
          <w:b/>
        </w:rPr>
        <w:t xml:space="preserve">155</w:t>
      </w:r>
      <w:r>
        <w:t xml:space="preserve">, 1999–2013 (2018).</w:t>
      </w:r>
    </w:p>
    <w:bookmarkEnd w:id="71"/>
    <w:bookmarkStart w:id="73" w:name="ref-rashid2020purity"/>
    <w:p>
      <w:pPr>
        <w:pStyle w:val="Bibliography"/>
      </w:pPr>
      <w:r>
        <w:t xml:space="preserve">17.</w:t>
      </w:r>
      <w:r>
        <w:t xml:space="preserve"> </w:t>
      </w:r>
      <w:r>
        <w:t xml:space="preserve">	</w:t>
      </w:r>
      <w:r>
        <w:t xml:space="preserve">Rashid, N. U.</w:t>
      </w:r>
      <w:r>
        <w:t xml:space="preserve"> </w:t>
      </w:r>
      <w:r>
        <w:rPr>
          <w:iCs/>
          <w:i/>
        </w:rPr>
        <w:t xml:space="preserve">et al.</w:t>
      </w:r>
      <w:r>
        <w:t xml:space="preserve"> </w:t>
      </w:r>
      <w:hyperlink r:id="rId72">
        <w:r>
          <w:rPr>
            <w:rStyle w:val="Hyperlink"/>
          </w:rPr>
          <w:t xml:space="preserve">Purity independent subtyping of tumors (PurIST), a clinically robust, single-sample classifier for tumor subtyping in pancreatic cancer</w:t>
        </w:r>
      </w:hyperlink>
      <w:r>
        <w:t xml:space="preserve">.</w:t>
      </w:r>
      <w:r>
        <w:t xml:space="preserve"> </w:t>
      </w:r>
      <w:r>
        <w:rPr>
          <w:iCs/>
          <w:i/>
        </w:rPr>
        <w:t xml:space="preserve">Clinical Cancer Research</w:t>
      </w:r>
      <w:r>
        <w:t xml:space="preserve"> </w:t>
      </w:r>
      <w:r>
        <w:rPr>
          <w:bCs/>
          <w:b/>
        </w:rPr>
        <w:t xml:space="preserve">26</w:t>
      </w:r>
      <w:r>
        <w:t xml:space="preserve">, 82–92 (2020).</w:t>
      </w:r>
    </w:p>
    <w:bookmarkEnd w:id="73"/>
    <w:bookmarkStart w:id="75" w:name="ref-peng2024determination"/>
    <w:p>
      <w:pPr>
        <w:pStyle w:val="Bibliography"/>
      </w:pPr>
      <w:r>
        <w:t xml:space="preserve">18.</w:t>
      </w:r>
      <w:r>
        <w:t xml:space="preserve"> </w:t>
      </w:r>
      <w:r>
        <w:t xml:space="preserve">	</w:t>
      </w:r>
      <w:r>
        <w:t xml:space="preserve">Peng, X. L.</w:t>
      </w:r>
      <w:r>
        <w:t xml:space="preserve"> </w:t>
      </w:r>
      <w:r>
        <w:rPr>
          <w:iCs/>
          <w:i/>
        </w:rPr>
        <w:t xml:space="preserve">et al.</w:t>
      </w:r>
      <w:r>
        <w:t xml:space="preserve"> </w:t>
      </w:r>
      <w:hyperlink r:id="rId74">
        <w:r>
          <w:rPr>
            <w:rStyle w:val="Hyperlink"/>
          </w:rPr>
          <w:t xml:space="preserve">DeCAF defines clinical fibroblast subtypes and multidimensional tumor-stroma crosstalk shaping prognosis and immunotherapy response</w:t>
        </w:r>
      </w:hyperlink>
      <w:r>
        <w:t xml:space="preserve">.</w:t>
      </w:r>
      <w:r>
        <w:t xml:space="preserve"> </w:t>
      </w:r>
      <w:r>
        <w:rPr>
          <w:iCs/>
          <w:i/>
        </w:rPr>
        <w:t xml:space="preserve">Cell Reports Medicine</w:t>
      </w:r>
      <w:r>
        <w:t xml:space="preserve"> </w:t>
      </w:r>
      <w:r>
        <w:rPr>
          <w:bCs/>
          <w:b/>
        </w:rPr>
        <w:t xml:space="preserve">7</w:t>
      </w:r>
      <w:r>
        <w:t xml:space="preserve">, 102611 (2026).</w:t>
      </w:r>
    </w:p>
    <w:bookmarkEnd w:id="75"/>
    <w:bookmarkStart w:id="77" w:name="ref-collisson2011subtypes"/>
    <w:p>
      <w:pPr>
        <w:pStyle w:val="Bibliography"/>
      </w:pPr>
      <w:r>
        <w:t xml:space="preserve">19.</w:t>
      </w:r>
      <w:r>
        <w:t xml:space="preserve"> </w:t>
      </w:r>
      <w:r>
        <w:t xml:space="preserve">	</w:t>
      </w:r>
      <w:r>
        <w:t xml:space="preserve">Collisson, E. A.</w:t>
      </w:r>
      <w:r>
        <w:t xml:space="preserve"> </w:t>
      </w:r>
      <w:r>
        <w:rPr>
          <w:iCs/>
          <w:i/>
        </w:rPr>
        <w:t xml:space="preserve">et al.</w:t>
      </w:r>
      <w:r>
        <w:t xml:space="preserve"> </w:t>
      </w:r>
      <w:hyperlink r:id="rId76">
        <w:r>
          <w:rPr>
            <w:rStyle w:val="Hyperlink"/>
          </w:rPr>
          <w:t xml:space="preserve">Subtypes of pancreatic ductal adenocarcinoma and their differing responses to therapy</w:t>
        </w:r>
      </w:hyperlink>
      <w:r>
        <w:t xml:space="preserve">.</w:t>
      </w:r>
      <w:r>
        <w:t xml:space="preserve"> </w:t>
      </w:r>
      <w:r>
        <w:rPr>
          <w:iCs/>
          <w:i/>
        </w:rPr>
        <w:t xml:space="preserve">Nature Medicine</w:t>
      </w:r>
      <w:r>
        <w:t xml:space="preserve"> </w:t>
      </w:r>
      <w:r>
        <w:rPr>
          <w:bCs/>
          <w:b/>
        </w:rPr>
        <w:t xml:space="preserve">17</w:t>
      </w:r>
      <w:r>
        <w:t xml:space="preserve">, 500–503 (2011).</w:t>
      </w:r>
    </w:p>
    <w:bookmarkEnd w:id="77"/>
    <w:bookmarkStart w:id="79" w:name="ref-peng2019novo"/>
    <w:p>
      <w:pPr>
        <w:pStyle w:val="Bibliography"/>
      </w:pPr>
      <w:r>
        <w:t xml:space="preserve">20.</w:t>
      </w:r>
      <w:r>
        <w:t xml:space="preserve"> </w:t>
      </w:r>
      <w:r>
        <w:t xml:space="preserve">	</w:t>
      </w:r>
      <w:r>
        <w:t xml:space="preserve">Peng, X. L., Moffitt, R. A., Torphy, R. J., Volmar, K. E. &amp; Yeh, J. J.</w:t>
      </w:r>
      <w:r>
        <w:t xml:space="preserve"> </w:t>
      </w:r>
      <w:hyperlink r:id="rId78">
        <w:r>
          <w:rPr>
            <w:rStyle w:val="Hyperlink"/>
          </w:rPr>
          <w:t xml:space="preserve">De novo compartment deconvolution and weight estimation of tumor samples using DECODER</w:t>
        </w:r>
      </w:hyperlink>
      <w:r>
        <w:t xml:space="preserve">.</w:t>
      </w:r>
      <w:r>
        <w:t xml:space="preserve"> </w:t>
      </w:r>
      <w:r>
        <w:rPr>
          <w:iCs/>
          <w:i/>
        </w:rPr>
        <w:t xml:space="preserve">Nature Communications</w:t>
      </w:r>
      <w:r>
        <w:t xml:space="preserve"> </w:t>
      </w:r>
      <w:r>
        <w:rPr>
          <w:bCs/>
          <w:b/>
        </w:rPr>
        <w:t xml:space="preserve">10</w:t>
      </w:r>
      <w:r>
        <w:t xml:space="preserve">, 4729 (2019).</w:t>
      </w:r>
    </w:p>
    <w:bookmarkEnd w:id="79"/>
    <w:bookmarkStart w:id="81" w:name="ref-Maurer2019"/>
    <w:p>
      <w:pPr>
        <w:pStyle w:val="Bibliography"/>
      </w:pPr>
      <w:r>
        <w:t xml:space="preserve">21.</w:t>
      </w:r>
      <w:r>
        <w:t xml:space="preserve"> </w:t>
      </w:r>
      <w:r>
        <w:t xml:space="preserve">	</w:t>
      </w:r>
      <w:r>
        <w:t xml:space="preserve">Maurer, C.</w:t>
      </w:r>
      <w:r>
        <w:t xml:space="preserve"> </w:t>
      </w:r>
      <w:r>
        <w:rPr>
          <w:iCs/>
          <w:i/>
        </w:rPr>
        <w:t xml:space="preserve">et al.</w:t>
      </w:r>
      <w:r>
        <w:t xml:space="preserve"> </w:t>
      </w:r>
      <w:hyperlink r:id="rId80">
        <w:r>
          <w:rPr>
            <w:rStyle w:val="Hyperlink"/>
          </w:rPr>
          <w:t xml:space="preserve">Experimental microdissection enables functional harmonisation of pancreatic cancer subtypes</w:t>
        </w:r>
      </w:hyperlink>
      <w:r>
        <w:t xml:space="preserve">.</w:t>
      </w:r>
      <w:r>
        <w:t xml:space="preserve"> </w:t>
      </w:r>
      <w:r>
        <w:rPr>
          <w:iCs/>
          <w:i/>
        </w:rPr>
        <w:t xml:space="preserve">Gut</w:t>
      </w:r>
      <w:r>
        <w:t xml:space="preserve"> </w:t>
      </w:r>
      <w:r>
        <w:rPr>
          <w:bCs/>
          <w:b/>
        </w:rPr>
        <w:t xml:space="preserve">68</w:t>
      </w:r>
      <w:r>
        <w:t xml:space="preserve">, 1034–1043 (2019).</w:t>
      </w:r>
    </w:p>
    <w:bookmarkEnd w:id="81"/>
    <w:bookmarkStart w:id="83" w:name="ref-elyada2019cross"/>
    <w:p>
      <w:pPr>
        <w:pStyle w:val="Bibliography"/>
      </w:pPr>
      <w:r>
        <w:t xml:space="preserve">22.</w:t>
      </w:r>
      <w:r>
        <w:t xml:space="preserve"> </w:t>
      </w:r>
      <w:r>
        <w:t xml:space="preserve">	</w:t>
      </w:r>
      <w:r>
        <w:t xml:space="preserve">Elyada, E.</w:t>
      </w:r>
      <w:r>
        <w:t xml:space="preserve"> </w:t>
      </w:r>
      <w:r>
        <w:rPr>
          <w:iCs/>
          <w:i/>
        </w:rPr>
        <w:t xml:space="preserve">et al.</w:t>
      </w:r>
      <w:r>
        <w:t xml:space="preserve"> </w:t>
      </w:r>
      <w:hyperlink r:id="rId82">
        <w:r>
          <w:rPr>
            <w:rStyle w:val="Hyperlink"/>
          </w:rPr>
          <w:t xml:space="preserve">Cross-species single-cell analysis of pancreatic ductal adenocarcinoma reveals antigen-presenting cancer-associated fibroblasts</w:t>
        </w:r>
      </w:hyperlink>
      <w:r>
        <w:t xml:space="preserve">.</w:t>
      </w:r>
      <w:r>
        <w:t xml:space="preserve"> </w:t>
      </w:r>
      <w:r>
        <w:rPr>
          <w:iCs/>
          <w:i/>
        </w:rPr>
        <w:t xml:space="preserve">Cancer Discovery</w:t>
      </w:r>
      <w:r>
        <w:t xml:space="preserve"> </w:t>
      </w:r>
      <w:r>
        <w:rPr>
          <w:bCs/>
          <w:b/>
        </w:rPr>
        <w:t xml:space="preserve">9</w:t>
      </w:r>
      <w:r>
        <w:t xml:space="preserve">, 1102–1123 (2019).</w:t>
      </w:r>
    </w:p>
    <w:bookmarkEnd w:id="83"/>
    <w:bookmarkStart w:id="85" w:name="ref-leary2023s"/>
    <w:p>
      <w:pPr>
        <w:pStyle w:val="Bibliography"/>
      </w:pPr>
      <w:r>
        <w:t xml:space="preserve">23.</w:t>
      </w:r>
      <w:r>
        <w:t xml:space="preserve"> </w:t>
      </w:r>
      <w:r>
        <w:t xml:space="preserve">	</w:t>
      </w:r>
      <w:r>
        <w:t xml:space="preserve">Leary, J. R.</w:t>
      </w:r>
      <w:r>
        <w:t xml:space="preserve"> </w:t>
      </w:r>
      <w:r>
        <w:rPr>
          <w:iCs/>
          <w:i/>
        </w:rPr>
        <w:t xml:space="preserve">et al.</w:t>
      </w:r>
      <w:r>
        <w:t xml:space="preserve"> </w:t>
      </w:r>
      <w:hyperlink r:id="rId84">
        <w:r>
          <w:rPr>
            <w:rStyle w:val="Hyperlink"/>
          </w:rPr>
          <w:t xml:space="preserve">Sub-cluster identification through semi-supervised optimization of rare-cell silhouettes (</w:t>
        </w:r>
        <w:r>
          <w:rPr>
            <w:rStyle w:val="Hyperlink"/>
          </w:rPr>
          <w:t xml:space="preserve">SCISSORS</w:t>
        </w:r>
        <w:r>
          <w:rPr>
            <w:rStyle w:val="Hyperlink"/>
          </w:rPr>
          <w:t xml:space="preserve">) in single-cell</w:t>
        </w:r>
        <w:r>
          <w:rPr>
            <w:rStyle w:val="Hyperlink"/>
          </w:rPr>
          <w:t xml:space="preserve"> </w:t>
        </w:r>
        <w:r>
          <w:rPr>
            <w:rStyle w:val="Hyperlink"/>
          </w:rPr>
          <w:t xml:space="preserve">RNA</w:t>
        </w:r>
        <w:r>
          <w:rPr>
            <w:rStyle w:val="Hyperlink"/>
          </w:rPr>
          <w:t xml:space="preserve">-sequencing</w:t>
        </w:r>
      </w:hyperlink>
      <w:r>
        <w:t xml:space="preserve">.</w:t>
      </w:r>
      <w:r>
        <w:t xml:space="preserve"> </w:t>
      </w:r>
      <w:r>
        <w:rPr>
          <w:iCs/>
          <w:i/>
        </w:rPr>
        <w:t xml:space="preserve">Bioinformatics</w:t>
      </w:r>
      <w:r>
        <w:t xml:space="preserve"> </w:t>
      </w:r>
      <w:r>
        <w:rPr>
          <w:bCs/>
          <w:b/>
        </w:rPr>
        <w:t xml:space="preserve">39</w:t>
      </w:r>
      <w:r>
        <w:t xml:space="preserve">, btad449 (2023).</w:t>
      </w:r>
    </w:p>
    <w:bookmarkEnd w:id="85"/>
    <w:bookmarkStart w:id="87" w:name="ref-chansengyue2020transcription"/>
    <w:p>
      <w:pPr>
        <w:pStyle w:val="Bibliography"/>
      </w:pPr>
      <w:r>
        <w:t xml:space="preserve">24.</w:t>
      </w:r>
      <w:r>
        <w:t xml:space="preserve"> </w:t>
      </w:r>
      <w:r>
        <w:t xml:space="preserve">	</w:t>
      </w:r>
      <w:r>
        <w:t xml:space="preserve">Chan-Seng-Yue, M.</w:t>
      </w:r>
      <w:r>
        <w:t xml:space="preserve"> </w:t>
      </w:r>
      <w:r>
        <w:rPr>
          <w:iCs/>
          <w:i/>
        </w:rPr>
        <w:t xml:space="preserve">et al.</w:t>
      </w:r>
      <w:r>
        <w:t xml:space="preserve"> </w:t>
      </w:r>
      <w:hyperlink r:id="rId86">
        <w:r>
          <w:rPr>
            <w:rStyle w:val="Hyperlink"/>
          </w:rPr>
          <w:t xml:space="preserve">Transcription phenotypes of pancreatic cancer are driven by genomic events during tumor evolution</w:t>
        </w:r>
      </w:hyperlink>
      <w:r>
        <w:t xml:space="preserve">.</w:t>
      </w:r>
      <w:r>
        <w:t xml:space="preserve"> </w:t>
      </w:r>
      <w:r>
        <w:rPr>
          <w:iCs/>
          <w:i/>
        </w:rPr>
        <w:t xml:space="preserve">Nature Genetics</w:t>
      </w:r>
      <w:r>
        <w:t xml:space="preserve"> </w:t>
      </w:r>
      <w:r>
        <w:rPr>
          <w:bCs/>
          <w:b/>
        </w:rPr>
        <w:t xml:space="preserve">52</w:t>
      </w:r>
      <w:r>
        <w:t xml:space="preserve">, 231–240 (2020).</w:t>
      </w:r>
    </w:p>
    <w:bookmarkEnd w:id="87"/>
    <w:bookmarkStart w:id="88" w:name="ref-shapley1953value"/>
    <w:p>
      <w:pPr>
        <w:pStyle w:val="Bibliography"/>
      </w:pPr>
      <w:r>
        <w:t xml:space="preserve">25.</w:t>
      </w:r>
      <w:r>
        <w:t xml:space="preserve"> </w:t>
      </w:r>
      <w:r>
        <w:t xml:space="preserve">	</w:t>
      </w:r>
      <w:r>
        <w:t xml:space="preserve">Shapley, L. S. A value for n-person games. in</w:t>
      </w:r>
      <w:r>
        <w:t xml:space="preserve"> </w:t>
      </w:r>
      <w:r>
        <w:rPr>
          <w:iCs/>
          <w:i/>
        </w:rPr>
        <w:t xml:space="preserve">Contributions to the theory of games, volume II</w:t>
      </w:r>
      <w:r>
        <w:t xml:space="preserve"> </w:t>
      </w:r>
      <w:r>
        <w:t xml:space="preserve">(eds. Kuhn, H. W. &amp; Tucker, A. W.) 307–317 (Princeton University Press, 1953).</w:t>
      </w:r>
    </w:p>
    <w:bookmarkEnd w:id="88"/>
    <w:bookmarkStart w:id="90" w:name="ref-birolo2025beyondcox"/>
    <w:p>
      <w:pPr>
        <w:pStyle w:val="Bibliography"/>
      </w:pPr>
      <w:r>
        <w:t xml:space="preserve">26.</w:t>
      </w:r>
      <w:r>
        <w:t xml:space="preserve"> </w:t>
      </w:r>
      <w:r>
        <w:t xml:space="preserve">	</w:t>
      </w:r>
      <w:r>
        <w:t xml:space="preserve">Birolo, G.</w:t>
      </w:r>
      <w:r>
        <w:t xml:space="preserve"> </w:t>
      </w:r>
      <w:r>
        <w:rPr>
          <w:iCs/>
          <w:i/>
        </w:rPr>
        <w:t xml:space="preserve">et al.</w:t>
      </w:r>
      <w:r>
        <w:t xml:space="preserve"> </w:t>
      </w:r>
      <w:hyperlink r:id="rId89">
        <w:r>
          <w:rPr>
            <w:rStyle w:val="Hyperlink"/>
          </w:rPr>
          <w:t xml:space="preserve">Beyond</w:t>
        </w:r>
        <w:r>
          <w:rPr>
            <w:rStyle w:val="Hyperlink"/>
          </w:rPr>
          <w:t xml:space="preserve"> </w:t>
        </w:r>
        <w:r>
          <w:rPr>
            <w:rStyle w:val="Hyperlink"/>
          </w:rPr>
          <w:t xml:space="preserve">Cox</w:t>
        </w:r>
        <w:r>
          <w:rPr>
            <w:rStyle w:val="Hyperlink"/>
          </w:rPr>
          <w:t xml:space="preserve"> </w:t>
        </w:r>
        <w:r>
          <w:rPr>
            <w:rStyle w:val="Hyperlink"/>
          </w:rPr>
          <w:t xml:space="preserve">models: Assessing the performance of machine-learning methods in non-proportional hazards and non-linear survival analysis</w:t>
        </w:r>
      </w:hyperlink>
      <w:r>
        <w:t xml:space="preserve">.</w:t>
      </w:r>
      <w:r>
        <w:t xml:space="preserve"> </w:t>
      </w:r>
      <w:r>
        <w:rPr>
          <w:iCs/>
          <w:i/>
        </w:rPr>
        <w:t xml:space="preserve">Computers in Biology and Medicine</w:t>
      </w:r>
      <w:r>
        <w:t xml:space="preserve"> </w:t>
      </w:r>
      <w:r>
        <w:rPr>
          <w:bCs/>
          <w:b/>
        </w:rPr>
        <w:t xml:space="preserve">198</w:t>
      </w:r>
      <w:r>
        <w:t xml:space="preserve">, 111176 (2025).</w:t>
      </w:r>
    </w:p>
    <w:bookmarkEnd w:id="90"/>
    <w:bookmarkStart w:id="92" w:name="ref-hao2021dnnsurv"/>
    <w:p>
      <w:pPr>
        <w:pStyle w:val="Bibliography"/>
      </w:pPr>
      <w:r>
        <w:t xml:space="preserve">27.</w:t>
      </w:r>
      <w:r>
        <w:t xml:space="preserve"> </w:t>
      </w:r>
      <w:r>
        <w:t xml:space="preserve">	</w:t>
      </w:r>
      <w:r>
        <w:t xml:space="preserve">Hao, L., Kim, J., Kwon, S. &amp; Ha, I. D.</w:t>
      </w:r>
      <w:r>
        <w:t xml:space="preserve"> </w:t>
      </w:r>
      <w:hyperlink r:id="rId91">
        <w:r>
          <w:rPr>
            <w:rStyle w:val="Hyperlink"/>
          </w:rPr>
          <w:t xml:space="preserve">Deep learning-based survival analysis for high-dimensional survival data</w:t>
        </w:r>
      </w:hyperlink>
      <w:r>
        <w:t xml:space="preserve">.</w:t>
      </w:r>
      <w:r>
        <w:t xml:space="preserve"> </w:t>
      </w:r>
      <w:r>
        <w:rPr>
          <w:iCs/>
          <w:i/>
        </w:rPr>
        <w:t xml:space="preserve">Mathematics</w:t>
      </w:r>
      <w:r>
        <w:t xml:space="preserve"> </w:t>
      </w:r>
      <w:r>
        <w:rPr>
          <w:bCs/>
          <w:b/>
        </w:rPr>
        <w:t xml:space="preserve">9</w:t>
      </w:r>
      <w:r>
        <w:t xml:space="preserve">, 1244 (2021).</w:t>
      </w:r>
    </w:p>
    <w:bookmarkEnd w:id="92"/>
    <w:bookmarkEnd w:id="93"/>
    <w:bookmarkEnd w:id="9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28" Target="media/rId28.png"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40" Target="media/rId40.png" /><Relationship Type="http://schemas.openxmlformats.org/officeDocument/2006/relationships/hyperlink" Id="rId60" Target="https://doi.org/10.1016/j.ccell.2017.07.007" TargetMode="External" /><Relationship Type="http://schemas.openxmlformats.org/officeDocument/2006/relationships/hyperlink" Id="rId62" Target="https://doi.org/10.1016/j.cell.2021.08.023" TargetMode="External" /><Relationship Type="http://schemas.openxmlformats.org/officeDocument/2006/relationships/hyperlink" Id="rId89" Target="https://doi.org/10.1016/j.compbiomed.2025.111176" TargetMode="External" /><Relationship Type="http://schemas.openxmlformats.org/officeDocument/2006/relationships/hyperlink" Id="rId74" Target="https://doi.org/10.1016/j.xcrm.2026.102611" TargetMode="External" /><Relationship Type="http://schemas.openxmlformats.org/officeDocument/2006/relationships/hyperlink" Id="rId68" Target="https://doi.org/10.1038/nature16965" TargetMode="External" /><Relationship Type="http://schemas.openxmlformats.org/officeDocument/2006/relationships/hyperlink" Id="rId66" Target="https://doi.org/10.1038/ng.3398" TargetMode="External" /><Relationship Type="http://schemas.openxmlformats.org/officeDocument/2006/relationships/hyperlink" Id="rId76" Target="https://doi.org/10.1038/nm.2344" TargetMode="External" /><Relationship Type="http://schemas.openxmlformats.org/officeDocument/2006/relationships/hyperlink" Id="rId78" Target="https://doi.org/10.1038/s41467-019-12517-7" TargetMode="External" /><Relationship Type="http://schemas.openxmlformats.org/officeDocument/2006/relationships/hyperlink" Id="rId86" Target="https://doi.org/10.1038/s41588-019-0566-9" TargetMode="External" /><Relationship Type="http://schemas.openxmlformats.org/officeDocument/2006/relationships/hyperlink" Id="rId64" Target="https://doi.org/10.1038/s41598-019-56826-9" TargetMode="External" /><Relationship Type="http://schemas.openxmlformats.org/officeDocument/2006/relationships/hyperlink" Id="rId70" Target="https://doi.org/10.1053/j.gastro.2018.08.033" TargetMode="External" /><Relationship Type="http://schemas.openxmlformats.org/officeDocument/2006/relationships/hyperlink" Id="rId53" Target="https://doi.org/10.1073/pnas.0308531101" TargetMode="External" /><Relationship Type="http://schemas.openxmlformats.org/officeDocument/2006/relationships/hyperlink" Id="rId84" Target="https://doi.org/10.1093/bioinformatics/btad449" TargetMode="External" /><Relationship Type="http://schemas.openxmlformats.org/officeDocument/2006/relationships/hyperlink" Id="rId45" Target="https://doi.org/10.1109/TPAMI.2006.60" TargetMode="External" /><Relationship Type="http://schemas.openxmlformats.org/officeDocument/2006/relationships/hyperlink" Id="rId80" Target="https://doi.org/10.1136/gutjnl-2018-317706" TargetMode="External" /><Relationship Type="http://schemas.openxmlformats.org/officeDocument/2006/relationships/hyperlink" Id="rId50" Target="https://doi.org/10.1155/2008/764206" TargetMode="External" /><Relationship Type="http://schemas.openxmlformats.org/officeDocument/2006/relationships/hyperlink" Id="rId72" Target="https://doi.org/10.1158/1078-0432.CCR-19-1467" TargetMode="External" /><Relationship Type="http://schemas.openxmlformats.org/officeDocument/2006/relationships/hyperlink" Id="rId82" Target="https://doi.org/10.1158/2159-8290.CD-19-0094" TargetMode="External" /><Relationship Type="http://schemas.openxmlformats.org/officeDocument/2006/relationships/hyperlink" Id="rId57" Target="https://doi.org/10.1162/NECO_a_00256" TargetMode="External" /><Relationship Type="http://schemas.openxmlformats.org/officeDocument/2006/relationships/hyperlink" Id="rId47" Target="https://doi.org/10.18637/jss.v039.i05" TargetMode="External" /><Relationship Type="http://schemas.openxmlformats.org/officeDocument/2006/relationships/hyperlink" Id="rId91" Target="https://doi.org/10.3390/math9111244" TargetMode="External" /><Relationship Type="http://schemas.openxmlformats.org/officeDocument/2006/relationships/hyperlink" Id="rId55" Target="https://faculty.cc.gatech.edu/~hpark/papers/GT-CSE-08-01.pdf" TargetMode="External" /></Relationships>
</file>

<file path=word/_rels/footnotes.xml.rels><?xml version="1.0" encoding="UTF-8"?><Relationships xmlns="http://schemas.openxmlformats.org/package/2006/relationships"><Relationship Type="http://schemas.openxmlformats.org/officeDocument/2006/relationships/hyperlink" Id="rId60" Target="https://doi.org/10.1016/j.ccell.2017.07.007" TargetMode="External" /><Relationship Type="http://schemas.openxmlformats.org/officeDocument/2006/relationships/hyperlink" Id="rId62" Target="https://doi.org/10.1016/j.cell.2021.08.023" TargetMode="External" /><Relationship Type="http://schemas.openxmlformats.org/officeDocument/2006/relationships/hyperlink" Id="rId89" Target="https://doi.org/10.1016/j.compbiomed.2025.111176" TargetMode="External" /><Relationship Type="http://schemas.openxmlformats.org/officeDocument/2006/relationships/hyperlink" Id="rId74" Target="https://doi.org/10.1016/j.xcrm.2026.102611" TargetMode="External" /><Relationship Type="http://schemas.openxmlformats.org/officeDocument/2006/relationships/hyperlink" Id="rId68" Target="https://doi.org/10.1038/nature16965" TargetMode="External" /><Relationship Type="http://schemas.openxmlformats.org/officeDocument/2006/relationships/hyperlink" Id="rId66" Target="https://doi.org/10.1038/ng.3398" TargetMode="External" /><Relationship Type="http://schemas.openxmlformats.org/officeDocument/2006/relationships/hyperlink" Id="rId76" Target="https://doi.org/10.1038/nm.2344" TargetMode="External" /><Relationship Type="http://schemas.openxmlformats.org/officeDocument/2006/relationships/hyperlink" Id="rId78" Target="https://doi.org/10.1038/s41467-019-12517-7" TargetMode="External" /><Relationship Type="http://schemas.openxmlformats.org/officeDocument/2006/relationships/hyperlink" Id="rId86" Target="https://doi.org/10.1038/s41588-019-0566-9" TargetMode="External" /><Relationship Type="http://schemas.openxmlformats.org/officeDocument/2006/relationships/hyperlink" Id="rId64" Target="https://doi.org/10.1038/s41598-019-56826-9" TargetMode="External" /><Relationship Type="http://schemas.openxmlformats.org/officeDocument/2006/relationships/hyperlink" Id="rId70" Target="https://doi.org/10.1053/j.gastro.2018.08.033" TargetMode="External" /><Relationship Type="http://schemas.openxmlformats.org/officeDocument/2006/relationships/hyperlink" Id="rId53" Target="https://doi.org/10.1073/pnas.0308531101" TargetMode="External" /><Relationship Type="http://schemas.openxmlformats.org/officeDocument/2006/relationships/hyperlink" Id="rId84" Target="https://doi.org/10.1093/bioinformatics/btad449" TargetMode="External" /><Relationship Type="http://schemas.openxmlformats.org/officeDocument/2006/relationships/hyperlink" Id="rId45" Target="https://doi.org/10.1109/TPAMI.2006.60" TargetMode="External" /><Relationship Type="http://schemas.openxmlformats.org/officeDocument/2006/relationships/hyperlink" Id="rId80" Target="https://doi.org/10.1136/gutjnl-2018-317706" TargetMode="External" /><Relationship Type="http://schemas.openxmlformats.org/officeDocument/2006/relationships/hyperlink" Id="rId50" Target="https://doi.org/10.1155/2008/764206" TargetMode="External" /><Relationship Type="http://schemas.openxmlformats.org/officeDocument/2006/relationships/hyperlink" Id="rId72" Target="https://doi.org/10.1158/1078-0432.CCR-19-1467" TargetMode="External" /><Relationship Type="http://schemas.openxmlformats.org/officeDocument/2006/relationships/hyperlink" Id="rId82" Target="https://doi.org/10.1158/2159-8290.CD-19-0094" TargetMode="External" /><Relationship Type="http://schemas.openxmlformats.org/officeDocument/2006/relationships/hyperlink" Id="rId57" Target="https://doi.org/10.1162/NECO_a_00256" TargetMode="External" /><Relationship Type="http://schemas.openxmlformats.org/officeDocument/2006/relationships/hyperlink" Id="rId47" Target="https://doi.org/10.18637/jss.v039.i05" TargetMode="External" /><Relationship Type="http://schemas.openxmlformats.org/officeDocument/2006/relationships/hyperlink" Id="rId91" Target="https://doi.org/10.3390/math9111244" TargetMode="External" /><Relationship Type="http://schemas.openxmlformats.org/officeDocument/2006/relationships/hyperlink" Id="rId55" Target="https://faculty.cc.gatech.edu/~hpark/papers/GT-CSE-08-01.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Information</dc:title>
  <dc:creator>Amber M. Young, Alisa Yurovsky, Xianlu Laura Peng, Jen Jen Yeh, Didong Li, Naim U. Rashid</dc:creator>
  <cp:keywords/>
  <dcterms:created xsi:type="dcterms:W3CDTF">2026-08-16T01:15:44Z</dcterms:created>
  <dcterms:modified xsi:type="dcterms:W3CDTF">2026-08-16T01:15:44Z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references_30102025.bib</vt:lpwstr>
  </property>
  <property fmtid="{D5CDD505-2E9C-101B-9397-08002B2CF9AE}" pid="3" name="csl">
    <vt:lpwstr>nature.csl</vt:lpwstr>
  </property>
  <property fmtid="{D5CDD505-2E9C-101B-9397-08002B2CF9AE}" pid="4" name="header-includes">
    <vt:lpwstr/>
  </property>
  <property fmtid="{D5CDD505-2E9C-101B-9397-08002B2CF9AE}" pid="5" name="link-citations">
    <vt:lpwstr>True</vt:lpwstr>
  </property>
  <property fmtid="{D5CDD505-2E9C-101B-9397-08002B2CF9AE}" pid="6" name="output">
    <vt:lpwstr/>
  </property>
  <property fmtid="{D5CDD505-2E9C-101B-9397-08002B2CF9AE}" pid="7" name="reference-section-title">
    <vt:lpwstr>SI References</vt:lpwstr>
  </property>
  <property fmtid="{D5CDD505-2E9C-101B-9397-08002B2CF9AE}" pid="8" name="subtitle">
    <vt:lpwstr>Survival-supervised deconvolution identifies a replicable tumor–stroma prognostic architecture in pancreatic cancer</vt:lpwstr>
  </property>
</Properties>
</file>